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8DC44" w14:textId="77777777" w:rsidR="00446259" w:rsidRPr="002F76E8"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sidRPr="002F76E8">
        <w:rPr>
          <w:rFonts w:ascii="Arial" w:hAnsi="Arial" w:cs="Arial"/>
          <w:b/>
        </w:rPr>
        <w:t xml:space="preserve"> 1. </w:t>
      </w:r>
      <w:r>
        <w:rPr>
          <w:rFonts w:ascii="Arial" w:hAnsi="Arial" w:cs="Arial"/>
          <w:b/>
        </w:rPr>
        <w:t>Sequence alignments and phylogenetic tree of t</w:t>
      </w:r>
      <w:r w:rsidRPr="002F76E8">
        <w:rPr>
          <w:rFonts w:ascii="Arial" w:hAnsi="Arial" w:cs="Arial"/>
          <w:b/>
        </w:rPr>
        <w:t>rypsinogen gene evolution in primates</w:t>
      </w:r>
    </w:p>
    <w:p w14:paraId="47A7071A" w14:textId="77777777" w:rsidR="00446259" w:rsidRDefault="00446259" w:rsidP="00446259">
      <w:pPr>
        <w:rPr>
          <w:rFonts w:ascii="Arial" w:hAnsi="Arial" w:cs="Arial"/>
        </w:rPr>
      </w:pPr>
      <w:r w:rsidRPr="005067D0">
        <w:rPr>
          <w:rFonts w:ascii="Arial" w:hAnsi="Arial" w:cs="Arial"/>
        </w:rPr>
        <w:t>(A)</w:t>
      </w:r>
      <w:r w:rsidRPr="002F76E8">
        <w:rPr>
          <w:rFonts w:ascii="Arial" w:hAnsi="Arial" w:cs="Arial"/>
        </w:rPr>
        <w:t xml:space="preserve"> </w:t>
      </w:r>
      <w:r w:rsidRPr="00DB30AE">
        <w:rPr>
          <w:rFonts w:ascii="Arial" w:hAnsi="Arial" w:cs="Arial"/>
        </w:rPr>
        <w:t>Sequence alignment of trypsinogen genes between human 5-copy sequence and other primate sequence</w:t>
      </w:r>
      <w:r>
        <w:rPr>
          <w:rFonts w:ascii="Arial" w:hAnsi="Arial" w:cs="Arial" w:hint="eastAsia"/>
        </w:rPr>
        <w:t>.</w:t>
      </w:r>
      <w:r>
        <w:rPr>
          <w:rFonts w:ascii="Arial" w:hAnsi="Arial" w:cs="Arial"/>
        </w:rPr>
        <w:t xml:space="preserve"> </w:t>
      </w:r>
      <w:r w:rsidRPr="00DB30AE">
        <w:rPr>
          <w:rFonts w:ascii="Arial" w:hAnsi="Arial" w:cs="Arial"/>
        </w:rPr>
        <w:t xml:space="preserve">The vertical axis represents the 5-copy trypsinogen gene structure in </w:t>
      </w:r>
      <w:r>
        <w:rPr>
          <w:rFonts w:ascii="Arial" w:hAnsi="Arial" w:cs="Arial"/>
        </w:rPr>
        <w:t xml:space="preserve">the </w:t>
      </w:r>
      <w:r w:rsidRPr="00DB30AE">
        <w:rPr>
          <w:rFonts w:ascii="Arial" w:hAnsi="Arial" w:cs="Arial"/>
        </w:rPr>
        <w:t>human reference genome GRCh38 (chr7_KI270803v1_alt:749409-801557). The horizontal axis represents the homologous primate sequence. Blue lines indicate the alignments between species and the numbers indicate tandem duplicated copies in the primates. IDY, identity; COV, coverage.</w:t>
      </w:r>
      <w:r>
        <w:rPr>
          <w:rFonts w:ascii="Arial" w:hAnsi="Arial" w:cs="Arial"/>
        </w:rPr>
        <w:t xml:space="preserve"> (B) </w:t>
      </w:r>
      <w:r w:rsidRPr="00C22036">
        <w:rPr>
          <w:rFonts w:ascii="Arial" w:hAnsi="Arial" w:cs="Arial"/>
        </w:rPr>
        <w:t>Species tree of primates with divergence time obtained from</w:t>
      </w:r>
      <w:bookmarkStart w:id="0" w:name="_Hlk111973314"/>
      <w:r w:rsidRPr="00C22036">
        <w:rPr>
          <w:rFonts w:ascii="Arial" w:hAnsi="Arial" w:cs="Arial"/>
        </w:rPr>
        <w:t xml:space="preserve"> TimeTree</w:t>
      </w:r>
      <w:bookmarkEnd w:id="0"/>
      <w:r>
        <w:rPr>
          <w:rFonts w:ascii="Arial" w:hAnsi="Arial" w:cs="Arial"/>
        </w:rPr>
        <w:t xml:space="preserve"> </w:t>
      </w:r>
      <w:r w:rsidRPr="00483D32">
        <w:rPr>
          <w:rFonts w:ascii="Arial" w:hAnsi="Arial" w:cs="Arial"/>
          <w:color w:val="0070C0"/>
        </w:rPr>
        <w:t>(Kumar et al., 2017)</w:t>
      </w:r>
      <w:r w:rsidRPr="00C22036">
        <w:rPr>
          <w:rFonts w:ascii="Arial" w:hAnsi="Arial" w:cs="Arial"/>
        </w:rPr>
        <w:t xml:space="preserve">. The trypsinogen gene copy number at </w:t>
      </w:r>
      <w:r>
        <w:rPr>
          <w:rFonts w:ascii="Arial" w:hAnsi="Arial" w:cs="Arial"/>
        </w:rPr>
        <w:t xml:space="preserve">the </w:t>
      </w:r>
      <w:r w:rsidRPr="00C22036">
        <w:rPr>
          <w:rFonts w:ascii="Arial" w:hAnsi="Arial" w:cs="Arial"/>
          <w:i/>
          <w:iCs/>
        </w:rPr>
        <w:t>PRSS1</w:t>
      </w:r>
      <w:r w:rsidRPr="00C22036">
        <w:rPr>
          <w:rFonts w:ascii="Arial" w:hAnsi="Arial" w:cs="Arial"/>
        </w:rPr>
        <w:t>-</w:t>
      </w:r>
      <w:r w:rsidRPr="00C22036">
        <w:rPr>
          <w:rFonts w:ascii="Arial" w:hAnsi="Arial" w:cs="Arial"/>
          <w:i/>
          <w:iCs/>
        </w:rPr>
        <w:t>PRSS2</w:t>
      </w:r>
      <w:r w:rsidRPr="00C22036">
        <w:rPr>
          <w:rFonts w:ascii="Arial" w:hAnsi="Arial" w:cs="Arial"/>
        </w:rPr>
        <w:t xml:space="preserve"> locus </w:t>
      </w:r>
      <w:r>
        <w:rPr>
          <w:rFonts w:ascii="Arial" w:hAnsi="Arial" w:cs="Arial"/>
        </w:rPr>
        <w:t>is</w:t>
      </w:r>
      <w:r w:rsidRPr="00C22036">
        <w:rPr>
          <w:rFonts w:ascii="Arial" w:hAnsi="Arial" w:cs="Arial"/>
        </w:rPr>
        <w:t xml:space="preserve"> shown next to the species name. Delta signal represents partial alignment. </w:t>
      </w:r>
      <w:r>
        <w:rPr>
          <w:rFonts w:ascii="Arial" w:hAnsi="Arial" w:cs="Arial"/>
        </w:rPr>
        <w:t>(C)</w:t>
      </w:r>
      <w:r w:rsidRPr="00C22036">
        <w:rPr>
          <w:rFonts w:ascii="Arial" w:hAnsi="Arial" w:cs="Arial"/>
        </w:rPr>
        <w:t xml:space="preserve"> Bayesian phylogenetic tree of different trypsinogen gene </w:t>
      </w:r>
      <w:r>
        <w:rPr>
          <w:rFonts w:ascii="Arial" w:hAnsi="Arial" w:cs="Arial"/>
        </w:rPr>
        <w:t>copies</w:t>
      </w:r>
      <w:r w:rsidRPr="00C22036">
        <w:rPr>
          <w:rFonts w:ascii="Arial" w:hAnsi="Arial" w:cs="Arial"/>
        </w:rPr>
        <w:t xml:space="preserve"> (including both genic and intergenic regions). The duplication time </w:t>
      </w:r>
      <w:r>
        <w:rPr>
          <w:rFonts w:ascii="Arial" w:hAnsi="Arial" w:cs="Arial"/>
        </w:rPr>
        <w:t>is</w:t>
      </w:r>
      <w:r w:rsidRPr="00C22036">
        <w:rPr>
          <w:rFonts w:ascii="Arial" w:hAnsi="Arial" w:cs="Arial"/>
        </w:rPr>
        <w:t xml:space="preserve"> highlighted in red. See </w:t>
      </w:r>
      <w:r>
        <w:rPr>
          <w:rFonts w:ascii="Arial" w:hAnsi="Arial" w:cs="Arial"/>
          <w:color w:val="FF0000"/>
        </w:rPr>
        <w:t xml:space="preserve">Supplementary Table </w:t>
      </w:r>
      <w:r w:rsidRPr="00E62FF7">
        <w:rPr>
          <w:rFonts w:ascii="Arial" w:hAnsi="Arial" w:cs="Arial"/>
          <w:color w:val="FF0000"/>
        </w:rPr>
        <w:t>1</w:t>
      </w:r>
      <w:r w:rsidRPr="00C22036">
        <w:rPr>
          <w:rFonts w:ascii="Arial" w:hAnsi="Arial" w:cs="Arial"/>
        </w:rPr>
        <w:t xml:space="preserve"> for </w:t>
      </w:r>
      <w:r>
        <w:rPr>
          <w:rFonts w:ascii="Arial" w:hAnsi="Arial" w:cs="Arial"/>
        </w:rPr>
        <w:t xml:space="preserve">the </w:t>
      </w:r>
      <w:r w:rsidRPr="00C22036">
        <w:rPr>
          <w:rFonts w:ascii="Arial" w:hAnsi="Arial" w:cs="Arial"/>
        </w:rPr>
        <w:t>positions of each copy.</w:t>
      </w:r>
      <w:r w:rsidRPr="00A575EE">
        <w:t xml:space="preserve"> </w:t>
      </w:r>
      <w:r w:rsidRPr="00A575EE">
        <w:rPr>
          <w:rFonts w:ascii="Arial" w:hAnsi="Arial" w:cs="Arial"/>
        </w:rPr>
        <w:t>(D)</w:t>
      </w:r>
      <w:r>
        <w:rPr>
          <w:rFonts w:ascii="Arial" w:hAnsi="Arial" w:cs="Arial"/>
        </w:rPr>
        <w:t xml:space="preserve"> </w:t>
      </w:r>
      <w:r w:rsidRPr="00A575EE">
        <w:rPr>
          <w:rFonts w:ascii="Arial" w:hAnsi="Arial" w:cs="Arial"/>
        </w:rPr>
        <w:t>Sequence identity between different trypsinogen gene copies</w:t>
      </w:r>
      <w:r>
        <w:rPr>
          <w:rFonts w:ascii="Arial" w:hAnsi="Arial" w:cs="Arial"/>
        </w:rPr>
        <w:t xml:space="preserve">. </w:t>
      </w:r>
      <w:r w:rsidRPr="00A575EE">
        <w:rPr>
          <w:rFonts w:ascii="Arial" w:hAnsi="Arial" w:cs="Arial"/>
        </w:rPr>
        <w:t>The heatmap of sequence identity of trypsinogen genes for intra- and inter-species in human, chimpanzee, gibbon</w:t>
      </w:r>
      <w:r>
        <w:rPr>
          <w:rFonts w:ascii="Arial" w:hAnsi="Arial" w:cs="Arial"/>
        </w:rPr>
        <w:t>,</w:t>
      </w:r>
      <w:r w:rsidRPr="00A575EE">
        <w:rPr>
          <w:rFonts w:ascii="Arial" w:hAnsi="Arial" w:cs="Arial"/>
        </w:rPr>
        <w:t xml:space="preserve"> and gelada. The intra-species self-alignment in the diagonal element (identity &gt;99%) is marked in gray for display </w:t>
      </w:r>
      <w:r>
        <w:rPr>
          <w:rFonts w:ascii="Arial" w:hAnsi="Arial" w:cs="Arial"/>
        </w:rPr>
        <w:t>purposes</w:t>
      </w:r>
      <w:r w:rsidRPr="00A575EE">
        <w:rPr>
          <w:rFonts w:ascii="Arial" w:hAnsi="Arial" w:cs="Arial"/>
        </w:rPr>
        <w:t>.</w:t>
      </w:r>
    </w:p>
    <w:p w14:paraId="6DC84796" w14:textId="77777777" w:rsidR="00446259" w:rsidRDefault="00446259" w:rsidP="00446259">
      <w:pPr>
        <w:widowControl/>
        <w:jc w:val="left"/>
        <w:rPr>
          <w:rFonts w:ascii="Arial" w:hAnsi="Arial" w:cs="Arial"/>
        </w:rPr>
      </w:pPr>
    </w:p>
    <w:p w14:paraId="376F28D9" w14:textId="77777777" w:rsidR="00446259" w:rsidRDefault="00446259" w:rsidP="00446259">
      <w:pPr>
        <w:widowControl/>
        <w:jc w:val="left"/>
      </w:pPr>
      <w:r>
        <w:br w:type="page"/>
      </w:r>
    </w:p>
    <w:p w14:paraId="3E7EE147" w14:textId="77777777" w:rsidR="00446259" w:rsidRPr="00555F77" w:rsidRDefault="00446259" w:rsidP="00446259"/>
    <w:p w14:paraId="24952F78" w14:textId="77777777" w:rsidR="00446259" w:rsidRPr="002F76E8"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sidRPr="002F76E8">
        <w:rPr>
          <w:rFonts w:ascii="Arial" w:hAnsi="Arial" w:cs="Arial"/>
          <w:b/>
        </w:rPr>
        <w:t xml:space="preserve"> </w:t>
      </w:r>
      <w:r>
        <w:rPr>
          <w:rFonts w:ascii="Arial" w:hAnsi="Arial" w:cs="Arial"/>
          <w:b/>
        </w:rPr>
        <w:t>2</w:t>
      </w:r>
      <w:r w:rsidRPr="002F76E8">
        <w:rPr>
          <w:rFonts w:ascii="Arial" w:hAnsi="Arial" w:cs="Arial"/>
          <w:b/>
        </w:rPr>
        <w:t>.</w:t>
      </w:r>
      <w:r w:rsidRPr="00A35869">
        <w:rPr>
          <w:rFonts w:ascii="Arial" w:hAnsi="Arial" w:cs="Arial"/>
          <w:b/>
        </w:rPr>
        <w:t xml:space="preserve"> Diagram of trypsinogen gene evolution in primates</w:t>
      </w:r>
    </w:p>
    <w:p w14:paraId="0A4ADDCC" w14:textId="77777777" w:rsidR="00446259" w:rsidRDefault="00446259" w:rsidP="00446259">
      <w:pPr>
        <w:rPr>
          <w:rFonts w:ascii="Arial" w:hAnsi="Arial" w:cs="Arial"/>
        </w:rPr>
      </w:pPr>
      <w:r w:rsidRPr="005067D0">
        <w:rPr>
          <w:rFonts w:ascii="Arial" w:hAnsi="Arial" w:cs="Arial"/>
        </w:rPr>
        <w:t>(A)</w:t>
      </w:r>
      <w:r w:rsidRPr="002F76E8">
        <w:rPr>
          <w:rFonts w:ascii="Arial" w:hAnsi="Arial" w:cs="Arial"/>
        </w:rPr>
        <w:t xml:space="preserve"> </w:t>
      </w:r>
      <w:r w:rsidRPr="000A6005">
        <w:rPr>
          <w:rFonts w:ascii="Arial" w:hAnsi="Arial" w:cs="Arial"/>
        </w:rPr>
        <w:t xml:space="preserve">The evolution model of trypsinogen genes in </w:t>
      </w:r>
      <w:r>
        <w:rPr>
          <w:rFonts w:ascii="Arial" w:hAnsi="Arial" w:cs="Arial"/>
        </w:rPr>
        <w:t>apes (upper panel) and old world monkeys (lower panel).</w:t>
      </w:r>
      <w:r w:rsidRPr="000A6005">
        <w:rPr>
          <w:rFonts w:ascii="Arial" w:hAnsi="Arial" w:cs="Arial"/>
        </w:rPr>
        <w:t xml:space="preserve"> </w:t>
      </w:r>
      <w:r>
        <w:rPr>
          <w:rFonts w:ascii="Arial" w:hAnsi="Arial" w:cs="Arial"/>
        </w:rPr>
        <w:t>D</w:t>
      </w:r>
      <w:r w:rsidRPr="00A35869">
        <w:rPr>
          <w:rFonts w:ascii="Arial" w:hAnsi="Arial" w:cs="Arial"/>
        </w:rPr>
        <w:t>uplication occurred independently in</w:t>
      </w:r>
      <w:r>
        <w:rPr>
          <w:rFonts w:ascii="Arial" w:hAnsi="Arial" w:cs="Arial"/>
        </w:rPr>
        <w:t xml:space="preserve"> the two lineages</w:t>
      </w:r>
      <w:r w:rsidRPr="00A35869">
        <w:rPr>
          <w:rFonts w:ascii="Arial" w:hAnsi="Arial" w:cs="Arial"/>
        </w:rPr>
        <w:t>. The duplicated copies at the trypsinogen gene cluster (</w:t>
      </w:r>
      <w:r w:rsidRPr="00A35869">
        <w:rPr>
          <w:rFonts w:ascii="Arial" w:hAnsi="Arial" w:cs="Arial"/>
          <w:i/>
          <w:iCs/>
        </w:rPr>
        <w:t>PRSS1</w:t>
      </w:r>
      <w:r w:rsidRPr="00A35869">
        <w:rPr>
          <w:rFonts w:ascii="Arial" w:hAnsi="Arial" w:cs="Arial"/>
        </w:rPr>
        <w:t>-</w:t>
      </w:r>
      <w:r w:rsidRPr="00A35869">
        <w:rPr>
          <w:rFonts w:ascii="Arial" w:hAnsi="Arial" w:cs="Arial"/>
          <w:i/>
          <w:iCs/>
        </w:rPr>
        <w:t>PRSS2</w:t>
      </w:r>
      <w:r w:rsidRPr="00A35869">
        <w:rPr>
          <w:rFonts w:ascii="Arial" w:hAnsi="Arial" w:cs="Arial"/>
        </w:rPr>
        <w:t xml:space="preserve"> locus) might have experienced a 3-copy form after the first wave of expansion in both the apes and old world monkeys lineages.</w:t>
      </w:r>
      <w:r>
        <w:rPr>
          <w:rFonts w:ascii="Arial" w:hAnsi="Arial" w:cs="Arial"/>
        </w:rPr>
        <w:t xml:space="preserve"> (B-D) The haplotype structure of gibbon is more likely formed by deletion from the 6-copy structure rather than an ancestral duplication form (3-copy) after the first expansion event. The ancestral form model (B), i.e., an ancestral duplication form after the first expansion event, would lead to an equivalent sequence identity between gibbon and the two paralogous duplications in great apes (IDY1=IDY2). The derived form model (C), i.e., a deletion form after the second expansion event, would lead to a higher sequence identity for gibbon and the orthologous copy in great ape (IDY1) than that for gibbon and the paralogous copy in great ape (IDY2). (D) IDY1 is significantly larger than IDY2 in the observed data, supporting the derived form model. IDY, sequence identity. ***, P&lt;0.001.</w:t>
      </w:r>
    </w:p>
    <w:p w14:paraId="752B8E5B" w14:textId="77777777" w:rsidR="00446259" w:rsidRDefault="00446259" w:rsidP="00446259">
      <w:pPr>
        <w:widowControl/>
        <w:jc w:val="left"/>
        <w:rPr>
          <w:rFonts w:ascii="Arial" w:hAnsi="Arial" w:cs="Arial"/>
        </w:rPr>
      </w:pPr>
      <w:r>
        <w:rPr>
          <w:rFonts w:ascii="Arial" w:hAnsi="Arial" w:cs="Arial"/>
        </w:rPr>
        <w:br w:type="page"/>
      </w:r>
    </w:p>
    <w:p w14:paraId="2301428E" w14:textId="77777777" w:rsidR="00446259" w:rsidRPr="001219BB" w:rsidRDefault="00446259" w:rsidP="00446259">
      <w:pPr>
        <w:widowControl/>
        <w:jc w:val="left"/>
        <w:rPr>
          <w:rFonts w:ascii="Arial" w:hAnsi="Arial" w:cs="Arial"/>
          <w:b/>
        </w:rPr>
      </w:pPr>
      <w:r>
        <w:rPr>
          <w:rFonts w:ascii="Arial" w:hAnsi="Arial" w:cs="Arial" w:hint="eastAsia"/>
          <w:b/>
        </w:rPr>
        <w:lastRenderedPageBreak/>
        <w:t xml:space="preserve">Extended Data </w:t>
      </w:r>
      <w:r>
        <w:rPr>
          <w:rFonts w:ascii="Arial" w:hAnsi="Arial" w:cs="Arial"/>
          <w:b/>
        </w:rPr>
        <w:t>Fig.</w:t>
      </w:r>
      <w:r w:rsidRPr="002F76E8">
        <w:rPr>
          <w:rFonts w:ascii="Arial" w:hAnsi="Arial" w:cs="Arial"/>
          <w:b/>
        </w:rPr>
        <w:t xml:space="preserve"> </w:t>
      </w:r>
      <w:r>
        <w:rPr>
          <w:rFonts w:ascii="Arial" w:hAnsi="Arial" w:cs="Arial" w:hint="eastAsia"/>
          <w:b/>
        </w:rPr>
        <w:t>3</w:t>
      </w:r>
      <w:r w:rsidRPr="002F76E8">
        <w:rPr>
          <w:rFonts w:ascii="Arial" w:hAnsi="Arial" w:cs="Arial"/>
          <w:b/>
        </w:rPr>
        <w:t>.</w:t>
      </w:r>
      <w:r>
        <w:rPr>
          <w:rFonts w:ascii="Arial" w:hAnsi="Arial" w:cs="Arial"/>
          <w:b/>
        </w:rPr>
        <w:t xml:space="preserve"> Human-specific deletion of t</w:t>
      </w:r>
      <w:r w:rsidRPr="002F76E8">
        <w:rPr>
          <w:rFonts w:ascii="Arial" w:hAnsi="Arial" w:cs="Arial"/>
          <w:b/>
        </w:rPr>
        <w:t>rypsinogen gene</w:t>
      </w:r>
      <w:r>
        <w:rPr>
          <w:rFonts w:ascii="Arial" w:hAnsi="Arial" w:cs="Arial"/>
          <w:b/>
        </w:rPr>
        <w:t>s</w:t>
      </w:r>
    </w:p>
    <w:p w14:paraId="0263010E" w14:textId="77777777" w:rsidR="00446259" w:rsidRDefault="00446259" w:rsidP="00446259">
      <w:pPr>
        <w:widowControl/>
        <w:jc w:val="left"/>
        <w:rPr>
          <w:rFonts w:ascii="Arial" w:hAnsi="Arial" w:cs="Arial"/>
        </w:rPr>
      </w:pPr>
      <w:r>
        <w:rPr>
          <w:rFonts w:ascii="Arial" w:hAnsi="Arial" w:cs="Arial"/>
        </w:rPr>
        <w:t>(</w:t>
      </w:r>
      <w:r w:rsidRPr="00E11720">
        <w:rPr>
          <w:rFonts w:ascii="Arial" w:hAnsi="Arial" w:cs="Arial"/>
        </w:rPr>
        <w:t>A</w:t>
      </w:r>
      <w:r>
        <w:rPr>
          <w:rFonts w:ascii="Arial" w:hAnsi="Arial" w:cs="Arial"/>
        </w:rPr>
        <w:t>)</w:t>
      </w:r>
      <w:r w:rsidRPr="00E11720">
        <w:rPr>
          <w:rFonts w:ascii="Arial" w:hAnsi="Arial" w:cs="Arial"/>
        </w:rPr>
        <w:t xml:space="preserve"> Diploid </w:t>
      </w:r>
      <w:r>
        <w:rPr>
          <w:rFonts w:ascii="Arial" w:hAnsi="Arial" w:cs="Arial"/>
        </w:rPr>
        <w:t xml:space="preserve">trypsinogen </w:t>
      </w:r>
      <w:r w:rsidRPr="00E11720">
        <w:rPr>
          <w:rFonts w:ascii="Arial" w:hAnsi="Arial" w:cs="Arial"/>
        </w:rPr>
        <w:t xml:space="preserve">gene copy number of great ape samples at </w:t>
      </w:r>
      <w:r w:rsidRPr="005067D0">
        <w:rPr>
          <w:rFonts w:ascii="Arial" w:hAnsi="Arial" w:cs="Arial"/>
          <w:i/>
          <w:iCs/>
        </w:rPr>
        <w:t>PRSS1-PRSS2</w:t>
      </w:r>
      <w:r w:rsidRPr="00E11720">
        <w:rPr>
          <w:rFonts w:ascii="Arial" w:hAnsi="Arial" w:cs="Arial"/>
        </w:rPr>
        <w:t xml:space="preserve"> locus. </w:t>
      </w:r>
      <w:r>
        <w:rPr>
          <w:rFonts w:ascii="Arial" w:hAnsi="Arial" w:cs="Arial"/>
        </w:rPr>
        <w:t>(</w:t>
      </w:r>
      <w:r w:rsidRPr="00E11720">
        <w:rPr>
          <w:rFonts w:ascii="Arial" w:hAnsi="Arial" w:cs="Arial"/>
        </w:rPr>
        <w:t>B</w:t>
      </w:r>
      <w:r>
        <w:rPr>
          <w:rFonts w:ascii="Arial" w:hAnsi="Arial" w:cs="Arial"/>
        </w:rPr>
        <w:t>)</w:t>
      </w:r>
      <w:r w:rsidRPr="00E11720">
        <w:rPr>
          <w:rFonts w:ascii="Arial" w:hAnsi="Arial" w:cs="Arial"/>
        </w:rPr>
        <w:t xml:space="preserve"> Short read alignment of archaic and modern human samples to</w:t>
      </w:r>
      <w:r>
        <w:rPr>
          <w:rFonts w:ascii="Arial" w:hAnsi="Arial" w:cs="Arial"/>
        </w:rPr>
        <w:t xml:space="preserve"> a</w:t>
      </w:r>
      <w:r w:rsidRPr="00E11720">
        <w:rPr>
          <w:rFonts w:ascii="Arial" w:hAnsi="Arial" w:cs="Arial"/>
        </w:rPr>
        <w:t xml:space="preserve"> </w:t>
      </w:r>
      <w:r>
        <w:rPr>
          <w:rFonts w:ascii="Arial" w:hAnsi="Arial" w:cs="Arial"/>
        </w:rPr>
        <w:t xml:space="preserve">6-copy </w:t>
      </w:r>
      <w:r w:rsidRPr="00E11720">
        <w:rPr>
          <w:rFonts w:ascii="Arial" w:hAnsi="Arial" w:cs="Arial"/>
        </w:rPr>
        <w:t xml:space="preserve">chimpanzee assembly. The </w:t>
      </w:r>
      <w:r>
        <w:rPr>
          <w:rFonts w:ascii="Arial" w:hAnsi="Arial" w:cs="Arial" w:hint="eastAsia"/>
        </w:rPr>
        <w:t>red</w:t>
      </w:r>
      <w:r w:rsidRPr="00E11720">
        <w:rPr>
          <w:rFonts w:ascii="Arial" w:hAnsi="Arial" w:cs="Arial"/>
        </w:rPr>
        <w:t xml:space="preserve"> frame denotes the </w:t>
      </w:r>
      <w:r>
        <w:rPr>
          <w:rFonts w:ascii="Arial" w:hAnsi="Arial" w:cs="Arial"/>
        </w:rPr>
        <w:t xml:space="preserve">shared </w:t>
      </w:r>
      <w:r w:rsidRPr="00E11720">
        <w:rPr>
          <w:rFonts w:ascii="Arial" w:hAnsi="Arial" w:cs="Arial"/>
        </w:rPr>
        <w:t xml:space="preserve">human-specific deletion and the </w:t>
      </w:r>
      <w:r>
        <w:rPr>
          <w:rFonts w:ascii="Arial" w:hAnsi="Arial" w:cs="Arial" w:hint="eastAsia"/>
        </w:rPr>
        <w:t>black</w:t>
      </w:r>
      <w:r w:rsidRPr="00E11720">
        <w:rPr>
          <w:rFonts w:ascii="Arial" w:hAnsi="Arial" w:cs="Arial"/>
        </w:rPr>
        <w:t xml:space="preserve"> </w:t>
      </w:r>
      <w:r>
        <w:rPr>
          <w:rFonts w:ascii="Arial" w:hAnsi="Arial" w:cs="Arial"/>
        </w:rPr>
        <w:t>frame</w:t>
      </w:r>
      <w:r w:rsidRPr="00E11720">
        <w:rPr>
          <w:rFonts w:ascii="Arial" w:hAnsi="Arial" w:cs="Arial"/>
        </w:rPr>
        <w:t xml:space="preserve"> </w:t>
      </w:r>
      <w:r>
        <w:rPr>
          <w:rFonts w:ascii="Arial" w:hAnsi="Arial" w:cs="Arial"/>
        </w:rPr>
        <w:t>denotes</w:t>
      </w:r>
      <w:r w:rsidRPr="00E11720">
        <w:rPr>
          <w:rFonts w:ascii="Arial" w:hAnsi="Arial" w:cs="Arial"/>
        </w:rPr>
        <w:t xml:space="preserve"> the polymorphic deletion in </w:t>
      </w:r>
      <w:r>
        <w:rPr>
          <w:rFonts w:ascii="Arial" w:hAnsi="Arial" w:cs="Arial"/>
        </w:rPr>
        <w:t>humans</w:t>
      </w:r>
      <w:r>
        <w:rPr>
          <w:rFonts w:ascii="Arial" w:hAnsi="Arial" w:cs="Arial" w:hint="eastAsia"/>
        </w:rPr>
        <w:t xml:space="preserve">, which include </w:t>
      </w:r>
      <w:r>
        <w:rPr>
          <w:rFonts w:ascii="Arial" w:hAnsi="Arial" w:cs="Arial"/>
        </w:rPr>
        <w:t>homozygous</w:t>
      </w:r>
      <w:r>
        <w:rPr>
          <w:rFonts w:ascii="Arial" w:hAnsi="Arial" w:cs="Arial" w:hint="eastAsia"/>
        </w:rPr>
        <w:t xml:space="preserve"> deletion in Denisovan, NA12878, NA20799, and heterozygous deletion in NA19214</w:t>
      </w:r>
      <w:r w:rsidRPr="00E11720">
        <w:rPr>
          <w:rFonts w:ascii="Arial" w:hAnsi="Arial" w:cs="Arial"/>
        </w:rPr>
        <w:t>.</w:t>
      </w:r>
      <w:r>
        <w:rPr>
          <w:rFonts w:ascii="Arial" w:hAnsi="Arial" w:cs="Arial"/>
        </w:rPr>
        <w:t xml:space="preserve"> HOM, </w:t>
      </w:r>
      <w:r>
        <w:rPr>
          <w:rFonts w:ascii="Arial" w:hAnsi="Arial" w:cs="Arial" w:hint="eastAsia"/>
        </w:rPr>
        <w:t>homozygous</w:t>
      </w:r>
      <w:r>
        <w:rPr>
          <w:rFonts w:ascii="Arial" w:hAnsi="Arial" w:cs="Arial"/>
        </w:rPr>
        <w:t>; HET, heterozygous.</w:t>
      </w:r>
      <w:r w:rsidRPr="00E11720">
        <w:rPr>
          <w:rFonts w:ascii="Arial" w:hAnsi="Arial" w:cs="Arial"/>
        </w:rPr>
        <w:t xml:space="preserve"> </w:t>
      </w:r>
      <w:r>
        <w:rPr>
          <w:rFonts w:ascii="Arial" w:hAnsi="Arial" w:cs="Arial"/>
        </w:rPr>
        <w:t>(C)</w:t>
      </w:r>
      <w:r>
        <w:rPr>
          <w:rFonts w:ascii="Arial" w:hAnsi="Arial" w:cs="Arial" w:hint="eastAsia"/>
        </w:rPr>
        <w:t xml:space="preserve"> Non-allelic</w:t>
      </w:r>
      <w:r w:rsidRPr="00E11720">
        <w:rPr>
          <w:rFonts w:ascii="Arial" w:hAnsi="Arial" w:cs="Arial"/>
        </w:rPr>
        <w:t xml:space="preserve"> Homologous </w:t>
      </w:r>
      <w:r>
        <w:rPr>
          <w:rFonts w:ascii="Arial" w:hAnsi="Arial" w:cs="Arial" w:hint="eastAsia"/>
        </w:rPr>
        <w:t>R</w:t>
      </w:r>
      <w:r w:rsidRPr="00E11720">
        <w:rPr>
          <w:rFonts w:ascii="Arial" w:hAnsi="Arial" w:cs="Arial"/>
        </w:rPr>
        <w:t>ecombination</w:t>
      </w:r>
      <w:r>
        <w:rPr>
          <w:rFonts w:ascii="Arial" w:hAnsi="Arial" w:cs="Arial" w:hint="eastAsia"/>
        </w:rPr>
        <w:t xml:space="preserve"> (NAHR) models of</w:t>
      </w:r>
      <w:r w:rsidRPr="00E11720">
        <w:rPr>
          <w:rFonts w:ascii="Arial" w:hAnsi="Arial" w:cs="Arial"/>
        </w:rPr>
        <w:t xml:space="preserve"> trypsinogen gene deletion in </w:t>
      </w:r>
      <w:r>
        <w:rPr>
          <w:rFonts w:ascii="Arial" w:hAnsi="Arial" w:cs="Arial"/>
        </w:rPr>
        <w:t xml:space="preserve">the </w:t>
      </w:r>
      <w:r w:rsidRPr="00E11720">
        <w:rPr>
          <w:rFonts w:ascii="Arial" w:hAnsi="Arial" w:cs="Arial"/>
        </w:rPr>
        <w:t xml:space="preserve">human lineage. The blue box shows </w:t>
      </w:r>
      <w:r>
        <w:rPr>
          <w:rFonts w:ascii="Arial" w:hAnsi="Arial" w:cs="Arial"/>
        </w:rPr>
        <w:t>an</w:t>
      </w:r>
      <w:r w:rsidRPr="00E11720">
        <w:rPr>
          <w:rFonts w:ascii="Arial" w:hAnsi="Arial" w:cs="Arial"/>
        </w:rPr>
        <w:t xml:space="preserve"> NAHR model </w:t>
      </w:r>
      <w:r>
        <w:rPr>
          <w:rFonts w:ascii="Arial" w:hAnsi="Arial" w:cs="Arial"/>
        </w:rPr>
        <w:t>of the mutation mechanism from a 6-copy structure to a fused 5-copy structure</w:t>
      </w:r>
      <w:r w:rsidRPr="00E11720">
        <w:rPr>
          <w:rFonts w:ascii="Arial" w:hAnsi="Arial" w:cs="Arial"/>
        </w:rPr>
        <w:t>. The NAHR occurs at the centromeric 1.7 kb of the first copy and the telomeric 8.9 kb of the second copy of the six-copy sequence in the common ancestor of chimpanzee and human</w:t>
      </w:r>
      <w:r>
        <w:rPr>
          <w:rFonts w:ascii="Arial" w:hAnsi="Arial" w:cs="Arial"/>
        </w:rPr>
        <w:t xml:space="preserve"> without affecting the </w:t>
      </w:r>
      <w:r w:rsidRPr="00090B61">
        <w:rPr>
          <w:rFonts w:ascii="Arial" w:hAnsi="Arial" w:cs="Arial"/>
          <w:i/>
          <w:iCs/>
        </w:rPr>
        <w:t>PRSS1</w:t>
      </w:r>
      <w:r>
        <w:rPr>
          <w:rFonts w:ascii="Arial" w:hAnsi="Arial" w:cs="Arial"/>
        </w:rPr>
        <w:t xml:space="preserve"> gene body</w:t>
      </w:r>
      <w:r w:rsidRPr="00E11720">
        <w:rPr>
          <w:rFonts w:ascii="Arial" w:hAnsi="Arial" w:cs="Arial"/>
        </w:rPr>
        <w:t xml:space="preserve">. The orange box shows how the long-form haplotype evolved into </w:t>
      </w:r>
      <w:r>
        <w:rPr>
          <w:rFonts w:ascii="Arial" w:hAnsi="Arial" w:cs="Arial"/>
        </w:rPr>
        <w:t xml:space="preserve">a </w:t>
      </w:r>
      <w:r w:rsidRPr="00E11720">
        <w:rPr>
          <w:rFonts w:ascii="Arial" w:hAnsi="Arial" w:cs="Arial"/>
        </w:rPr>
        <w:t xml:space="preserve">4-copy haplotype in Denisovan and African </w:t>
      </w:r>
      <w:r>
        <w:rPr>
          <w:rFonts w:ascii="Arial" w:hAnsi="Arial" w:cs="Arial"/>
        </w:rPr>
        <w:t>populations</w:t>
      </w:r>
      <w:r w:rsidRPr="00E11720">
        <w:rPr>
          <w:rFonts w:ascii="Arial" w:hAnsi="Arial" w:cs="Arial"/>
        </w:rPr>
        <w:t xml:space="preserve"> by NAHR and</w:t>
      </w:r>
      <w:r>
        <w:rPr>
          <w:rFonts w:ascii="Arial" w:hAnsi="Arial" w:cs="Arial"/>
        </w:rPr>
        <w:t xml:space="preserve"> how</w:t>
      </w:r>
      <w:r w:rsidRPr="00E11720">
        <w:rPr>
          <w:rFonts w:ascii="Arial" w:hAnsi="Arial" w:cs="Arial"/>
        </w:rPr>
        <w:t xml:space="preserve"> the long-form haplotype evolved into </w:t>
      </w:r>
      <w:r>
        <w:rPr>
          <w:rFonts w:ascii="Arial" w:hAnsi="Arial" w:cs="Arial"/>
        </w:rPr>
        <w:t xml:space="preserve">the </w:t>
      </w:r>
      <w:r w:rsidRPr="00E11720">
        <w:rPr>
          <w:rFonts w:ascii="Arial" w:hAnsi="Arial" w:cs="Arial"/>
        </w:rPr>
        <w:t xml:space="preserve">3-copy </w:t>
      </w:r>
      <w:r>
        <w:rPr>
          <w:rFonts w:ascii="Arial" w:hAnsi="Arial" w:cs="Arial"/>
        </w:rPr>
        <w:t>structure</w:t>
      </w:r>
      <w:r w:rsidRPr="00E11720">
        <w:rPr>
          <w:rFonts w:ascii="Arial" w:hAnsi="Arial" w:cs="Arial"/>
        </w:rPr>
        <w:t xml:space="preserve"> by homologous recombination [probably mediated by LINE </w:t>
      </w:r>
      <w:r>
        <w:rPr>
          <w:rFonts w:ascii="Arial" w:hAnsi="Arial" w:cs="Arial"/>
        </w:rPr>
        <w:t xml:space="preserve">element </w:t>
      </w:r>
      <w:r w:rsidRPr="00E11720">
        <w:rPr>
          <w:rFonts w:ascii="Arial" w:hAnsi="Arial" w:cs="Arial"/>
        </w:rPr>
        <w:t>(green)]. The genes in black represent the protein-coding genes and those in gray represent the pseudogenes.</w:t>
      </w:r>
    </w:p>
    <w:p w14:paraId="2B2C23CB" w14:textId="77777777" w:rsidR="00446259" w:rsidRDefault="00446259" w:rsidP="00446259">
      <w:pPr>
        <w:widowControl/>
        <w:jc w:val="left"/>
        <w:rPr>
          <w:rFonts w:ascii="Arial" w:hAnsi="Arial" w:cs="Arial"/>
        </w:rPr>
      </w:pPr>
    </w:p>
    <w:p w14:paraId="5765F4F2" w14:textId="77777777" w:rsidR="00446259" w:rsidRDefault="00446259" w:rsidP="00446259"/>
    <w:p w14:paraId="7D72BC5B" w14:textId="77777777" w:rsidR="00446259" w:rsidRDefault="00446259" w:rsidP="00446259"/>
    <w:p w14:paraId="35B0E419" w14:textId="77777777" w:rsidR="00446259" w:rsidRDefault="00446259" w:rsidP="00446259">
      <w:pPr>
        <w:widowControl/>
        <w:jc w:val="left"/>
      </w:pPr>
      <w:r>
        <w:br w:type="page"/>
      </w:r>
    </w:p>
    <w:p w14:paraId="5E2B626E" w14:textId="77777777" w:rsidR="00446259" w:rsidRDefault="00446259" w:rsidP="00446259">
      <w:pPr>
        <w:jc w:val="center"/>
      </w:pPr>
    </w:p>
    <w:p w14:paraId="416BFD83" w14:textId="77777777" w:rsidR="00446259" w:rsidRPr="004677E4"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sidRPr="002F76E8">
        <w:rPr>
          <w:rFonts w:ascii="Arial" w:hAnsi="Arial" w:cs="Arial"/>
          <w:b/>
        </w:rPr>
        <w:t xml:space="preserve"> </w:t>
      </w:r>
      <w:r>
        <w:rPr>
          <w:rFonts w:ascii="Arial" w:hAnsi="Arial" w:cs="Arial" w:hint="eastAsia"/>
          <w:b/>
        </w:rPr>
        <w:t>4</w:t>
      </w:r>
      <w:r w:rsidRPr="002F76E8">
        <w:rPr>
          <w:rFonts w:ascii="Arial" w:hAnsi="Arial" w:cs="Arial"/>
          <w:b/>
        </w:rPr>
        <w:t>.</w:t>
      </w:r>
      <w:r w:rsidRPr="00A35869">
        <w:rPr>
          <w:rFonts w:ascii="Arial" w:hAnsi="Arial" w:cs="Arial"/>
          <w:b/>
        </w:rPr>
        <w:t xml:space="preserve"> </w:t>
      </w:r>
      <w:r w:rsidRPr="004677E4">
        <w:rPr>
          <w:rFonts w:ascii="Arial" w:hAnsi="Arial" w:cs="Arial"/>
          <w:b/>
        </w:rPr>
        <w:t xml:space="preserve">Natural selection test of </w:t>
      </w:r>
      <w:r>
        <w:rPr>
          <w:rFonts w:ascii="Arial" w:hAnsi="Arial" w:cs="Arial"/>
          <w:b/>
        </w:rPr>
        <w:t xml:space="preserve">the </w:t>
      </w:r>
      <w:r w:rsidRPr="004677E4">
        <w:rPr>
          <w:rFonts w:ascii="Arial" w:hAnsi="Arial" w:cs="Arial"/>
          <w:b/>
        </w:rPr>
        <w:t>trypsinogen coding sequence</w:t>
      </w:r>
    </w:p>
    <w:p w14:paraId="66E9657A" w14:textId="77777777" w:rsidR="00446259" w:rsidRPr="00555F77" w:rsidRDefault="00446259" w:rsidP="00446259">
      <w:pPr>
        <w:rPr>
          <w:bCs/>
        </w:rPr>
      </w:pPr>
      <w:r w:rsidRPr="004677E4">
        <w:rPr>
          <w:rFonts w:ascii="Arial" w:hAnsi="Arial" w:cs="Arial"/>
          <w:bCs/>
        </w:rPr>
        <w:t>Branch model of dN/dS test for coding sequences of trypsinogen genes in great apes (A), non-human great apes (B), modern humans (C</w:t>
      </w:r>
      <w:r>
        <w:rPr>
          <w:rFonts w:ascii="Arial" w:hAnsi="Arial" w:cs="Arial"/>
          <w:bCs/>
        </w:rPr>
        <w:t>),</w:t>
      </w:r>
      <w:r w:rsidRPr="004677E4">
        <w:rPr>
          <w:rFonts w:ascii="Arial" w:hAnsi="Arial" w:cs="Arial"/>
          <w:bCs/>
        </w:rPr>
        <w:t xml:space="preserve"> and </w:t>
      </w:r>
      <w:r>
        <w:rPr>
          <w:rFonts w:ascii="Arial" w:hAnsi="Arial" w:cs="Arial"/>
          <w:bCs/>
        </w:rPr>
        <w:t>(</w:t>
      </w:r>
      <w:r w:rsidRPr="004677E4">
        <w:rPr>
          <w:rFonts w:ascii="Arial" w:hAnsi="Arial" w:cs="Arial"/>
          <w:bCs/>
        </w:rPr>
        <w:t xml:space="preserve">D). The phylogeny in (A) and (B) is constructed by the entire trypsinogen gene copy (including genic and intergenic regions). The phylogeny in (C) and (D) is identical, which is constructed by the coding sequences of polymorphic haplotypes in modern </w:t>
      </w:r>
      <w:r>
        <w:rPr>
          <w:rFonts w:ascii="Arial" w:hAnsi="Arial" w:cs="Arial"/>
          <w:bCs/>
        </w:rPr>
        <w:t>humans</w:t>
      </w:r>
      <w:r w:rsidRPr="004677E4">
        <w:rPr>
          <w:rFonts w:ascii="Arial" w:hAnsi="Arial" w:cs="Arial"/>
          <w:bCs/>
        </w:rPr>
        <w:t xml:space="preserve">. The foreground branches in (C) are the trypsinogen genes such as </w:t>
      </w:r>
      <w:r>
        <w:rPr>
          <w:rFonts w:ascii="Arial" w:hAnsi="Arial" w:cs="Arial"/>
          <w:bCs/>
        </w:rPr>
        <w:t xml:space="preserve">those </w:t>
      </w:r>
      <w:r w:rsidRPr="004677E4">
        <w:rPr>
          <w:rFonts w:ascii="Arial" w:hAnsi="Arial" w:cs="Arial"/>
          <w:bCs/>
        </w:rPr>
        <w:t xml:space="preserve">colored in </w:t>
      </w:r>
      <w:r w:rsidRPr="004677E4">
        <w:rPr>
          <w:rFonts w:ascii="Arial" w:hAnsi="Arial" w:cs="Arial"/>
          <w:bCs/>
          <w:i/>
          <w:iCs/>
        </w:rPr>
        <w:t>PRSS1</w:t>
      </w:r>
      <w:r w:rsidRPr="004677E4">
        <w:rPr>
          <w:rFonts w:ascii="Arial" w:hAnsi="Arial" w:cs="Arial"/>
          <w:bCs/>
        </w:rPr>
        <w:t xml:space="preserve"> and </w:t>
      </w:r>
      <w:r w:rsidRPr="004677E4">
        <w:rPr>
          <w:rFonts w:ascii="Arial" w:hAnsi="Arial" w:cs="Arial"/>
          <w:bCs/>
          <w:i/>
          <w:iCs/>
        </w:rPr>
        <w:t>PRSS2</w:t>
      </w:r>
      <w:r w:rsidRPr="004677E4">
        <w:rPr>
          <w:rFonts w:ascii="Arial" w:hAnsi="Arial" w:cs="Arial"/>
          <w:bCs/>
        </w:rPr>
        <w:t xml:space="preserve">, while the foreground branches in (D) are different combinations </w:t>
      </w:r>
      <w:r>
        <w:rPr>
          <w:rFonts w:ascii="Arial" w:hAnsi="Arial" w:cs="Arial"/>
          <w:bCs/>
        </w:rPr>
        <w:t>of</w:t>
      </w:r>
      <w:r w:rsidRPr="004677E4">
        <w:rPr>
          <w:rFonts w:ascii="Arial" w:hAnsi="Arial" w:cs="Arial"/>
          <w:bCs/>
        </w:rPr>
        <w:t xml:space="preserve"> each of the trypsinogen </w:t>
      </w:r>
      <w:r>
        <w:rPr>
          <w:rFonts w:ascii="Arial" w:hAnsi="Arial" w:cs="Arial"/>
          <w:bCs/>
        </w:rPr>
        <w:t>genes</w:t>
      </w:r>
      <w:r w:rsidRPr="004677E4">
        <w:rPr>
          <w:rFonts w:ascii="Arial" w:hAnsi="Arial" w:cs="Arial"/>
          <w:bCs/>
        </w:rPr>
        <w:t xml:space="preserve"> with haplotypes from a given population. The outer color circle </w:t>
      </w:r>
      <w:r>
        <w:rPr>
          <w:rFonts w:ascii="Arial" w:hAnsi="Arial" w:cs="Arial"/>
          <w:bCs/>
        </w:rPr>
        <w:t xml:space="preserve">in (D) </w:t>
      </w:r>
      <w:r w:rsidRPr="004677E4">
        <w:rPr>
          <w:rFonts w:ascii="Arial" w:hAnsi="Arial" w:cs="Arial"/>
          <w:bCs/>
        </w:rPr>
        <w:t xml:space="preserve">represents the haplotype that was observed in </w:t>
      </w:r>
      <w:r>
        <w:rPr>
          <w:rFonts w:ascii="Arial" w:hAnsi="Arial" w:cs="Arial"/>
          <w:bCs/>
        </w:rPr>
        <w:t>corresponding</w:t>
      </w:r>
      <w:r w:rsidRPr="004677E4">
        <w:rPr>
          <w:rFonts w:ascii="Arial" w:hAnsi="Arial" w:cs="Arial"/>
          <w:bCs/>
        </w:rPr>
        <w:t xml:space="preserve"> populations: orange, African; blue, European; Green, East Asian. For example, the branches highlighted in red at </w:t>
      </w:r>
      <w:r w:rsidRPr="00F6240D">
        <w:rPr>
          <w:rFonts w:ascii="Arial" w:hAnsi="Arial" w:cs="Arial"/>
          <w:bCs/>
          <w:i/>
          <w:iCs/>
        </w:rPr>
        <w:t>PRSS2</w:t>
      </w:r>
      <w:r w:rsidRPr="004677E4">
        <w:rPr>
          <w:rFonts w:ascii="Arial" w:hAnsi="Arial" w:cs="Arial"/>
          <w:bCs/>
        </w:rPr>
        <w:t xml:space="preserve"> </w:t>
      </w:r>
      <w:r>
        <w:rPr>
          <w:rFonts w:ascii="Arial" w:hAnsi="Arial" w:cs="Arial"/>
          <w:bCs/>
        </w:rPr>
        <w:t xml:space="preserve">with significant </w:t>
      </w:r>
      <w:r w:rsidRPr="004677E4">
        <w:rPr>
          <w:rFonts w:ascii="Arial" w:hAnsi="Arial" w:cs="Arial"/>
          <w:bCs/>
        </w:rPr>
        <w:t>dN/dS</w:t>
      </w:r>
      <w:r>
        <w:rPr>
          <w:rFonts w:ascii="Arial" w:hAnsi="Arial" w:cs="Arial"/>
          <w:bCs/>
        </w:rPr>
        <w:t>&gt;1 r</w:t>
      </w:r>
      <w:r w:rsidRPr="004677E4">
        <w:rPr>
          <w:rFonts w:ascii="Arial" w:hAnsi="Arial" w:cs="Arial"/>
          <w:bCs/>
        </w:rPr>
        <w:t xml:space="preserve">epresent the foreground branch with </w:t>
      </w:r>
      <w:r w:rsidRPr="00C05F01">
        <w:rPr>
          <w:rFonts w:ascii="Arial" w:hAnsi="Arial" w:cs="Arial"/>
          <w:bCs/>
          <w:i/>
          <w:iCs/>
        </w:rPr>
        <w:t>PRSS2</w:t>
      </w:r>
      <w:r w:rsidRPr="004677E4">
        <w:rPr>
          <w:rFonts w:ascii="Arial" w:hAnsi="Arial" w:cs="Arial"/>
          <w:bCs/>
        </w:rPr>
        <w:t xml:space="preserve"> coding sequence observed in any one of the African, European</w:t>
      </w:r>
      <w:r>
        <w:rPr>
          <w:rFonts w:ascii="Arial" w:hAnsi="Arial" w:cs="Arial"/>
          <w:bCs/>
        </w:rPr>
        <w:t>,</w:t>
      </w:r>
      <w:r w:rsidRPr="004677E4">
        <w:rPr>
          <w:rFonts w:ascii="Arial" w:hAnsi="Arial" w:cs="Arial"/>
          <w:bCs/>
        </w:rPr>
        <w:t xml:space="preserve"> and East Asian populations</w:t>
      </w:r>
      <w:r>
        <w:rPr>
          <w:rFonts w:ascii="Arial" w:hAnsi="Arial" w:cs="Arial"/>
          <w:bCs/>
        </w:rPr>
        <w:t xml:space="preserve"> (P&lt;0.05, likelihood ratio test)</w:t>
      </w:r>
      <w:r w:rsidRPr="004677E4">
        <w:rPr>
          <w:rFonts w:ascii="Arial" w:hAnsi="Arial" w:cs="Arial"/>
          <w:bCs/>
        </w:rPr>
        <w:t xml:space="preserve">. See </w:t>
      </w:r>
      <w:r>
        <w:rPr>
          <w:rFonts w:ascii="Arial" w:hAnsi="Arial" w:cs="Arial"/>
          <w:bCs/>
          <w:color w:val="FF0000"/>
        </w:rPr>
        <w:t xml:space="preserve">Supplementary Table </w:t>
      </w:r>
      <w:r>
        <w:rPr>
          <w:rFonts w:ascii="Arial" w:hAnsi="Arial" w:cs="Arial" w:hint="eastAsia"/>
          <w:bCs/>
          <w:color w:val="FF0000"/>
        </w:rPr>
        <w:t>6</w:t>
      </w:r>
      <w:r w:rsidRPr="004677E4">
        <w:rPr>
          <w:rFonts w:ascii="Arial" w:hAnsi="Arial" w:cs="Arial"/>
          <w:bCs/>
        </w:rPr>
        <w:t xml:space="preserve"> for the ID of coding sequences in (C) and (D).</w:t>
      </w:r>
    </w:p>
    <w:p w14:paraId="22E6DFD3" w14:textId="77777777" w:rsidR="00446259" w:rsidRDefault="00446259" w:rsidP="00446259">
      <w:pPr>
        <w:widowControl/>
        <w:jc w:val="left"/>
      </w:pPr>
      <w:r>
        <w:br w:type="page"/>
      </w:r>
    </w:p>
    <w:p w14:paraId="0E2567B7" w14:textId="77777777" w:rsidR="00446259" w:rsidRDefault="00446259" w:rsidP="00446259"/>
    <w:p w14:paraId="4C088496" w14:textId="77777777" w:rsidR="00446259" w:rsidRPr="004677E4"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sidRPr="002F76E8">
        <w:rPr>
          <w:rFonts w:ascii="Arial" w:hAnsi="Arial" w:cs="Arial"/>
          <w:b/>
        </w:rPr>
        <w:t xml:space="preserve"> </w:t>
      </w:r>
      <w:r>
        <w:rPr>
          <w:rFonts w:ascii="Arial" w:hAnsi="Arial" w:cs="Arial" w:hint="eastAsia"/>
          <w:b/>
        </w:rPr>
        <w:t>5</w:t>
      </w:r>
      <w:r w:rsidRPr="002F76E8">
        <w:rPr>
          <w:rFonts w:ascii="Arial" w:hAnsi="Arial" w:cs="Arial"/>
          <w:b/>
        </w:rPr>
        <w:t>.</w:t>
      </w:r>
      <w:r w:rsidRPr="00A35869">
        <w:rPr>
          <w:rFonts w:ascii="Arial" w:hAnsi="Arial" w:cs="Arial"/>
          <w:b/>
        </w:rPr>
        <w:t xml:space="preserve"> </w:t>
      </w:r>
      <w:r>
        <w:rPr>
          <w:rFonts w:ascii="Arial" w:hAnsi="Arial" w:cs="Arial"/>
          <w:b/>
        </w:rPr>
        <w:t>Haplotype polymorphism in human populations</w:t>
      </w:r>
    </w:p>
    <w:p w14:paraId="7DD355AA" w14:textId="77777777" w:rsidR="00446259" w:rsidRDefault="00446259" w:rsidP="00446259">
      <w:pPr>
        <w:rPr>
          <w:rFonts w:ascii="Arial" w:hAnsi="Arial" w:cs="Arial"/>
          <w:bCs/>
        </w:rPr>
      </w:pPr>
      <w:r w:rsidRPr="00A277B7">
        <w:rPr>
          <w:rFonts w:ascii="Arial" w:hAnsi="Arial" w:cs="Arial"/>
          <w:bCs/>
        </w:rPr>
        <w:t>(A</w:t>
      </w:r>
      <w:r>
        <w:rPr>
          <w:rFonts w:ascii="Arial" w:hAnsi="Arial" w:cs="Arial"/>
          <w:bCs/>
        </w:rPr>
        <w:t xml:space="preserve">) Short-form haplotype frequency in super-populations. </w:t>
      </w:r>
      <w:r w:rsidRPr="00A277B7">
        <w:rPr>
          <w:rFonts w:ascii="Arial" w:hAnsi="Arial" w:cs="Arial"/>
          <w:bCs/>
        </w:rPr>
        <w:t>(B)</w:t>
      </w:r>
      <w:r>
        <w:rPr>
          <w:rFonts w:ascii="Arial" w:hAnsi="Arial" w:cs="Arial"/>
          <w:bCs/>
        </w:rPr>
        <w:t xml:space="preserve"> </w:t>
      </w:r>
      <w:r w:rsidRPr="000C4213">
        <w:rPr>
          <w:rFonts w:ascii="Arial" w:hAnsi="Arial" w:cs="Arial"/>
          <w:bCs/>
        </w:rPr>
        <w:t>UPGMA clustering of haplotypes with variants of MAF&gt;0.01 in 2,027 worldwide samples.</w:t>
      </w:r>
      <w:r>
        <w:rPr>
          <w:rFonts w:ascii="Arial" w:hAnsi="Arial" w:cs="Arial"/>
          <w:bCs/>
        </w:rPr>
        <w:t xml:space="preserve"> (C)</w:t>
      </w:r>
      <w:r w:rsidRPr="000C4213">
        <w:rPr>
          <w:rFonts w:ascii="Arial" w:hAnsi="Arial" w:cs="Arial"/>
          <w:bCs/>
        </w:rPr>
        <w:t xml:space="preserve"> </w:t>
      </w:r>
      <w:r>
        <w:rPr>
          <w:rFonts w:ascii="Arial" w:hAnsi="Arial" w:cs="Arial"/>
          <w:bCs/>
        </w:rPr>
        <w:t>The variant</w:t>
      </w:r>
      <w:r w:rsidRPr="000C4213">
        <w:rPr>
          <w:rFonts w:ascii="Arial" w:hAnsi="Arial" w:cs="Arial"/>
          <w:bCs/>
        </w:rPr>
        <w:t xml:space="preserve"> pattern in each haplotype group. Each line represents an individual haplotype. In each haplotype box, the reference and alternative allele to GRCh38 alternative contig (chr7_KI270803v1_alt) w</w:t>
      </w:r>
      <w:r>
        <w:rPr>
          <w:rFonts w:ascii="Arial" w:hAnsi="Arial" w:cs="Arial" w:hint="eastAsia"/>
          <w:bCs/>
        </w:rPr>
        <w:t>ere</w:t>
      </w:r>
      <w:r w:rsidRPr="000C4213">
        <w:rPr>
          <w:rFonts w:ascii="Arial" w:hAnsi="Arial" w:cs="Arial"/>
          <w:bCs/>
        </w:rPr>
        <w:t xml:space="preserve"> </w:t>
      </w:r>
      <w:r>
        <w:rPr>
          <w:rFonts w:ascii="Arial" w:hAnsi="Arial" w:cs="Arial"/>
          <w:bCs/>
        </w:rPr>
        <w:t>colored</w:t>
      </w:r>
      <w:r w:rsidRPr="000C4213">
        <w:rPr>
          <w:rFonts w:ascii="Arial" w:hAnsi="Arial" w:cs="Arial"/>
          <w:bCs/>
        </w:rPr>
        <w:t xml:space="preserve"> grey and black, respectively. The group-specific sequences were </w:t>
      </w:r>
      <w:r>
        <w:rPr>
          <w:rFonts w:ascii="Arial" w:hAnsi="Arial" w:cs="Arial"/>
          <w:bCs/>
        </w:rPr>
        <w:t>highlighted</w:t>
      </w:r>
      <w:r w:rsidRPr="000C4213">
        <w:rPr>
          <w:rFonts w:ascii="Arial" w:hAnsi="Arial" w:cs="Arial"/>
          <w:bCs/>
        </w:rPr>
        <w:t xml:space="preserve"> by different colors of the outer frame.</w:t>
      </w:r>
      <w:r>
        <w:rPr>
          <w:rFonts w:ascii="Arial" w:hAnsi="Arial" w:cs="Arial"/>
          <w:bCs/>
        </w:rPr>
        <w:t xml:space="preserve"> </w:t>
      </w:r>
      <w:r w:rsidRPr="00E7028F">
        <w:rPr>
          <w:rFonts w:ascii="Arial" w:hAnsi="Arial" w:cs="Arial"/>
          <w:bCs/>
        </w:rPr>
        <w:t>The boundaries of the trypsinogen gene duplicates</w:t>
      </w:r>
      <w:r>
        <w:rPr>
          <w:rFonts w:ascii="Arial" w:hAnsi="Arial" w:cs="Arial"/>
          <w:bCs/>
        </w:rPr>
        <w:t xml:space="preserve"> (including both genic and intergenic regions)</w:t>
      </w:r>
      <w:r w:rsidRPr="00E7028F">
        <w:rPr>
          <w:rFonts w:ascii="Arial" w:hAnsi="Arial" w:cs="Arial"/>
          <w:bCs/>
        </w:rPr>
        <w:t xml:space="preserve"> are separated with </w:t>
      </w:r>
      <w:r>
        <w:rPr>
          <w:rFonts w:ascii="Arial" w:hAnsi="Arial" w:cs="Arial"/>
          <w:bCs/>
        </w:rPr>
        <w:t xml:space="preserve">a </w:t>
      </w:r>
      <w:r w:rsidRPr="00E7028F">
        <w:rPr>
          <w:rFonts w:ascii="Arial" w:hAnsi="Arial" w:cs="Arial"/>
          <w:bCs/>
        </w:rPr>
        <w:t xml:space="preserve">red </w:t>
      </w:r>
      <w:r>
        <w:rPr>
          <w:rFonts w:ascii="Arial" w:hAnsi="Arial" w:cs="Arial"/>
          <w:bCs/>
        </w:rPr>
        <w:t>dashed</w:t>
      </w:r>
      <w:r w:rsidRPr="00E7028F">
        <w:rPr>
          <w:rFonts w:ascii="Arial" w:hAnsi="Arial" w:cs="Arial"/>
          <w:bCs/>
        </w:rPr>
        <w:t xml:space="preserve"> line.</w:t>
      </w:r>
      <w:r>
        <w:rPr>
          <w:rFonts w:ascii="Arial" w:hAnsi="Arial" w:cs="Arial"/>
          <w:bCs/>
        </w:rPr>
        <w:t xml:space="preserve"> (D) Yin-Yang haplotype of H3 and non-H3 haplotypes at the </w:t>
      </w:r>
      <w:r w:rsidRPr="00E7028F">
        <w:rPr>
          <w:rFonts w:ascii="Arial" w:hAnsi="Arial" w:cs="Arial"/>
          <w:bCs/>
          <w:i/>
          <w:iCs/>
        </w:rPr>
        <w:t>PRSS3P1</w:t>
      </w:r>
      <w:r>
        <w:rPr>
          <w:rFonts w:ascii="Arial" w:hAnsi="Arial" w:cs="Arial"/>
          <w:bCs/>
        </w:rPr>
        <w:t xml:space="preserve"> and </w:t>
      </w:r>
      <w:r w:rsidRPr="00E7028F">
        <w:rPr>
          <w:rFonts w:ascii="Arial" w:hAnsi="Arial" w:cs="Arial"/>
          <w:bCs/>
          <w:i/>
          <w:iCs/>
        </w:rPr>
        <w:t>PRSS3P2</w:t>
      </w:r>
      <w:r>
        <w:rPr>
          <w:rFonts w:ascii="Arial" w:hAnsi="Arial" w:cs="Arial"/>
          <w:bCs/>
        </w:rPr>
        <w:t xml:space="preserve"> regions.</w:t>
      </w:r>
      <w:r w:rsidRPr="000C4213">
        <w:rPr>
          <w:rFonts w:ascii="Arial" w:hAnsi="Arial" w:cs="Arial"/>
          <w:bCs/>
        </w:rPr>
        <w:t xml:space="preserve"> </w:t>
      </w:r>
      <w:r w:rsidRPr="00E7028F">
        <w:rPr>
          <w:rFonts w:ascii="Arial" w:hAnsi="Arial" w:cs="Arial"/>
          <w:bCs/>
        </w:rPr>
        <w:t xml:space="preserve">Each line represents a haplotype and each column denotes a variant satisfying MAF&gt;0.01 (upper panel) and MAF&gt;0.05 (lower panel). </w:t>
      </w:r>
      <w:r>
        <w:rPr>
          <w:rFonts w:ascii="Arial" w:hAnsi="Arial" w:cs="Arial"/>
          <w:bCs/>
        </w:rPr>
        <w:t xml:space="preserve">The reference genome and the colors of the variants are identical to (B). </w:t>
      </w:r>
      <w:r w:rsidRPr="00E7028F">
        <w:rPr>
          <w:rFonts w:ascii="Arial" w:hAnsi="Arial" w:cs="Arial"/>
          <w:bCs/>
        </w:rPr>
        <w:t xml:space="preserve">The blue frame denotes the typical region of </w:t>
      </w:r>
      <w:r>
        <w:rPr>
          <w:rFonts w:ascii="Arial" w:hAnsi="Arial" w:cs="Arial"/>
          <w:bCs/>
        </w:rPr>
        <w:t xml:space="preserve">the </w:t>
      </w:r>
      <w:r w:rsidRPr="00E7028F">
        <w:rPr>
          <w:rFonts w:ascii="Arial" w:hAnsi="Arial" w:cs="Arial"/>
          <w:bCs/>
        </w:rPr>
        <w:t xml:space="preserve">Yin-yang pattern </w:t>
      </w:r>
      <w:r>
        <w:rPr>
          <w:rFonts w:ascii="Arial" w:hAnsi="Arial" w:cs="Arial"/>
          <w:bCs/>
        </w:rPr>
        <w:t>where</w:t>
      </w:r>
      <w:r w:rsidRPr="00E7028F">
        <w:rPr>
          <w:rFonts w:ascii="Arial" w:hAnsi="Arial" w:cs="Arial"/>
          <w:bCs/>
        </w:rPr>
        <w:t xml:space="preserve"> the consecutive variants have </w:t>
      </w:r>
      <w:r>
        <w:rPr>
          <w:rFonts w:ascii="Arial" w:hAnsi="Arial" w:cs="Arial" w:hint="eastAsia"/>
          <w:bCs/>
        </w:rPr>
        <w:t xml:space="preserve">different </w:t>
      </w:r>
      <w:r w:rsidRPr="00E7028F">
        <w:rPr>
          <w:rFonts w:ascii="Arial" w:hAnsi="Arial" w:cs="Arial"/>
          <w:bCs/>
        </w:rPr>
        <w:t xml:space="preserve">alleles. </w:t>
      </w:r>
      <w:r>
        <w:rPr>
          <w:rFonts w:ascii="Arial" w:hAnsi="Arial" w:cs="Arial"/>
          <w:bCs/>
        </w:rPr>
        <w:t>All t</w:t>
      </w:r>
      <w:r w:rsidRPr="00E7028F">
        <w:rPr>
          <w:rFonts w:ascii="Arial" w:hAnsi="Arial" w:cs="Arial"/>
          <w:bCs/>
        </w:rPr>
        <w:t xml:space="preserve">he archaic hominids </w:t>
      </w:r>
      <w:r>
        <w:rPr>
          <w:rFonts w:ascii="Arial" w:hAnsi="Arial" w:cs="Arial"/>
          <w:bCs/>
        </w:rPr>
        <w:t>carry</w:t>
      </w:r>
      <w:r w:rsidRPr="00E7028F">
        <w:rPr>
          <w:rFonts w:ascii="Arial" w:hAnsi="Arial" w:cs="Arial"/>
          <w:bCs/>
        </w:rPr>
        <w:t xml:space="preserve"> H3-like haplotypes. </w:t>
      </w:r>
      <w:r>
        <w:rPr>
          <w:rFonts w:ascii="Arial" w:hAnsi="Arial" w:cs="Arial"/>
          <w:bCs/>
        </w:rPr>
        <w:t>(E)</w:t>
      </w:r>
      <w:r w:rsidRPr="00E7028F">
        <w:rPr>
          <w:rFonts w:ascii="Arial" w:hAnsi="Arial" w:cs="Arial"/>
          <w:bCs/>
        </w:rPr>
        <w:t xml:space="preserve"> </w:t>
      </w:r>
      <w:r>
        <w:rPr>
          <w:rFonts w:ascii="Arial" w:hAnsi="Arial" w:cs="Arial"/>
          <w:bCs/>
        </w:rPr>
        <w:t>E</w:t>
      </w:r>
      <w:r w:rsidRPr="00E7028F">
        <w:rPr>
          <w:rFonts w:ascii="Arial" w:hAnsi="Arial" w:cs="Arial"/>
          <w:bCs/>
        </w:rPr>
        <w:t xml:space="preserve">xtended haplotype homozygosity (EHH) of the H3 </w:t>
      </w:r>
      <w:r>
        <w:rPr>
          <w:rFonts w:ascii="Arial" w:hAnsi="Arial" w:cs="Arial"/>
          <w:bCs/>
        </w:rPr>
        <w:t xml:space="preserve">and </w:t>
      </w:r>
      <w:r w:rsidRPr="00E7028F">
        <w:rPr>
          <w:rFonts w:ascii="Arial" w:hAnsi="Arial" w:cs="Arial"/>
          <w:bCs/>
        </w:rPr>
        <w:t>non-H3 haplotype</w:t>
      </w:r>
      <w:r>
        <w:rPr>
          <w:rFonts w:ascii="Arial" w:hAnsi="Arial" w:cs="Arial"/>
          <w:bCs/>
        </w:rPr>
        <w:t>. (F)</w:t>
      </w:r>
      <w:r w:rsidRPr="00E7028F">
        <w:rPr>
          <w:rFonts w:ascii="Arial" w:hAnsi="Arial" w:cs="Arial"/>
          <w:bCs/>
        </w:rPr>
        <w:t xml:space="preserve"> The H3 haplotypes at GRCh38 primary chromosome 7 regions show a significant negative Tajima’s D value compared with a background distribution of all haplotypes (including the short-form haplotypes) with </w:t>
      </w:r>
      <w:r>
        <w:rPr>
          <w:rFonts w:ascii="Arial" w:hAnsi="Arial" w:cs="Arial"/>
          <w:bCs/>
        </w:rPr>
        <w:t xml:space="preserve">a </w:t>
      </w:r>
      <w:r w:rsidRPr="00E7028F">
        <w:rPr>
          <w:rFonts w:ascii="Arial" w:hAnsi="Arial" w:cs="Arial"/>
          <w:bCs/>
        </w:rPr>
        <w:t>30-kb window.</w:t>
      </w:r>
      <w:r>
        <w:rPr>
          <w:rFonts w:ascii="Arial" w:hAnsi="Arial" w:cs="Arial"/>
          <w:bCs/>
        </w:rPr>
        <w:t xml:space="preserve"> Both (E) and (F) indicate the H3 haplotype is under positive selection.</w:t>
      </w:r>
    </w:p>
    <w:p w14:paraId="2F8A5F88" w14:textId="77777777" w:rsidR="00446259" w:rsidRDefault="00446259" w:rsidP="00446259">
      <w:pPr>
        <w:rPr>
          <w:rFonts w:ascii="Arial" w:hAnsi="Arial" w:cs="Arial"/>
          <w:bCs/>
        </w:rPr>
      </w:pPr>
    </w:p>
    <w:p w14:paraId="6A7FB926" w14:textId="77777777" w:rsidR="00446259" w:rsidRDefault="00446259" w:rsidP="00446259">
      <w:pPr>
        <w:widowControl/>
        <w:jc w:val="left"/>
        <w:rPr>
          <w:rFonts w:ascii="Arial" w:hAnsi="Arial" w:cs="Arial"/>
          <w:bCs/>
        </w:rPr>
      </w:pPr>
      <w:r>
        <w:rPr>
          <w:rFonts w:ascii="Arial" w:hAnsi="Arial" w:cs="Arial"/>
          <w:bCs/>
        </w:rPr>
        <w:br w:type="page"/>
      </w:r>
    </w:p>
    <w:p w14:paraId="40EED15A" w14:textId="77777777" w:rsidR="00446259" w:rsidRDefault="00446259" w:rsidP="00446259"/>
    <w:p w14:paraId="24E24EC7" w14:textId="77777777" w:rsidR="00446259" w:rsidRPr="004677E4"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Pr>
          <w:rFonts w:ascii="Arial" w:hAnsi="Arial" w:cs="Arial" w:hint="eastAsia"/>
          <w:b/>
        </w:rPr>
        <w:t xml:space="preserve"> 6</w:t>
      </w:r>
      <w:r w:rsidRPr="002F76E8">
        <w:rPr>
          <w:rFonts w:ascii="Arial" w:hAnsi="Arial" w:cs="Arial"/>
          <w:b/>
        </w:rPr>
        <w:t>.</w:t>
      </w:r>
      <w:r w:rsidRPr="00A35869">
        <w:rPr>
          <w:rFonts w:ascii="Arial" w:hAnsi="Arial" w:cs="Arial"/>
          <w:b/>
        </w:rPr>
        <w:t xml:space="preserve"> </w:t>
      </w:r>
      <w:r>
        <w:rPr>
          <w:rFonts w:ascii="Arial" w:hAnsi="Arial" w:cs="Arial"/>
          <w:b/>
        </w:rPr>
        <w:t>Haplotype evolution in human populations</w:t>
      </w:r>
    </w:p>
    <w:p w14:paraId="18F4DD0C" w14:textId="77777777" w:rsidR="00446259" w:rsidRDefault="00446259" w:rsidP="00446259">
      <w:r w:rsidRPr="00A277B7">
        <w:rPr>
          <w:rFonts w:ascii="Arial" w:hAnsi="Arial" w:cs="Arial"/>
          <w:bCs/>
        </w:rPr>
        <w:t>(A</w:t>
      </w:r>
      <w:r>
        <w:rPr>
          <w:rFonts w:ascii="Arial" w:hAnsi="Arial" w:cs="Arial"/>
          <w:bCs/>
        </w:rPr>
        <w:t xml:space="preserve">) </w:t>
      </w:r>
      <w:r w:rsidRPr="00FF227B">
        <w:rPr>
          <w:rFonts w:ascii="Arial" w:hAnsi="Arial" w:cs="Arial"/>
          <w:bCs/>
        </w:rPr>
        <w:t xml:space="preserve">Phylogenetic tree of long-form haplotypes in </w:t>
      </w:r>
      <w:r>
        <w:rPr>
          <w:rFonts w:ascii="Arial" w:hAnsi="Arial" w:cs="Arial"/>
          <w:bCs/>
        </w:rPr>
        <w:t xml:space="preserve">an </w:t>
      </w:r>
      <w:r w:rsidRPr="00FF227B">
        <w:rPr>
          <w:rFonts w:ascii="Arial" w:hAnsi="Arial" w:cs="Arial"/>
          <w:bCs/>
        </w:rPr>
        <w:t>African population</w:t>
      </w:r>
      <w:r>
        <w:rPr>
          <w:rFonts w:ascii="Arial" w:hAnsi="Arial" w:cs="Arial"/>
          <w:bCs/>
        </w:rPr>
        <w:t xml:space="preserve">. </w:t>
      </w:r>
      <w:r w:rsidRPr="00FF227B">
        <w:rPr>
          <w:rFonts w:ascii="Arial" w:hAnsi="Arial" w:cs="Arial"/>
          <w:bCs/>
        </w:rPr>
        <w:t xml:space="preserve">Four haplotypes from each subgroup were selected to construct the phylogeny except H5-3 which only has two samples. The 52-kb full sequences at </w:t>
      </w:r>
      <w:r>
        <w:rPr>
          <w:rFonts w:ascii="Arial" w:hAnsi="Arial" w:cs="Arial"/>
          <w:bCs/>
        </w:rPr>
        <w:t xml:space="preserve">the </w:t>
      </w:r>
      <w:r w:rsidRPr="00FF227B">
        <w:rPr>
          <w:rFonts w:ascii="Arial" w:hAnsi="Arial" w:cs="Arial"/>
          <w:bCs/>
          <w:i/>
          <w:iCs/>
        </w:rPr>
        <w:t>PRSS1-PRSS2</w:t>
      </w:r>
      <w:r w:rsidRPr="00FF227B">
        <w:rPr>
          <w:rFonts w:ascii="Arial" w:hAnsi="Arial" w:cs="Arial"/>
          <w:bCs/>
        </w:rPr>
        <w:t xml:space="preserve"> locus were used in the analysis.</w:t>
      </w:r>
      <w:r>
        <w:rPr>
          <w:rFonts w:ascii="Arial" w:hAnsi="Arial" w:cs="Arial"/>
          <w:bCs/>
        </w:rPr>
        <w:t xml:space="preserve"> H5 has a deep coalescence compared with other haplotype groups. (B) Illustration of H5 haplotypes and p</w:t>
      </w:r>
      <w:r w:rsidRPr="00FF227B">
        <w:rPr>
          <w:rFonts w:ascii="Arial" w:hAnsi="Arial" w:cs="Arial"/>
          <w:bCs/>
        </w:rPr>
        <w:t>airwise nucleotide difference of each group in the African population</w:t>
      </w:r>
      <w:r>
        <w:rPr>
          <w:rFonts w:ascii="Arial" w:hAnsi="Arial" w:cs="Arial"/>
          <w:bCs/>
        </w:rPr>
        <w:t xml:space="preserve">. The colors of each gene copy refer to those of the variant pattern in </w:t>
      </w:r>
      <w:r>
        <w:rPr>
          <w:rFonts w:ascii="Arial" w:hAnsi="Arial" w:cs="Arial"/>
          <w:bCs/>
          <w:color w:val="FF0000"/>
        </w:rPr>
        <w:t>Fig.</w:t>
      </w:r>
      <w:r w:rsidRPr="007B441E">
        <w:rPr>
          <w:rFonts w:ascii="Arial" w:hAnsi="Arial" w:cs="Arial"/>
          <w:bCs/>
          <w:color w:val="FF0000"/>
        </w:rPr>
        <w:t xml:space="preserve"> S4C</w:t>
      </w:r>
      <w:r>
        <w:rPr>
          <w:rFonts w:ascii="Arial" w:hAnsi="Arial" w:cs="Arial"/>
          <w:bCs/>
        </w:rPr>
        <w:t>. Boxplots show n</w:t>
      </w:r>
      <w:r w:rsidRPr="00FF227B">
        <w:rPr>
          <w:rFonts w:ascii="Arial" w:hAnsi="Arial" w:cs="Arial"/>
          <w:bCs/>
        </w:rPr>
        <w:t xml:space="preserve">ucleotide </w:t>
      </w:r>
      <w:r>
        <w:rPr>
          <w:rFonts w:ascii="Arial" w:hAnsi="Arial" w:cs="Arial"/>
          <w:bCs/>
        </w:rPr>
        <w:t>differences</w:t>
      </w:r>
      <w:r w:rsidRPr="00FF227B">
        <w:rPr>
          <w:rFonts w:ascii="Arial" w:hAnsi="Arial" w:cs="Arial"/>
          <w:bCs/>
        </w:rPr>
        <w:t xml:space="preserve"> for a pair of haplotypes in the same group. Because of the presence of the short-form haplotype, the density of nucleotide difference was calculated when </w:t>
      </w:r>
      <w:r>
        <w:rPr>
          <w:rFonts w:ascii="Arial" w:hAnsi="Arial" w:cs="Arial"/>
          <w:bCs/>
        </w:rPr>
        <w:t>comparing</w:t>
      </w:r>
      <w:r w:rsidRPr="00FF227B">
        <w:rPr>
          <w:rFonts w:ascii="Arial" w:hAnsi="Arial" w:cs="Arial"/>
          <w:bCs/>
        </w:rPr>
        <w:t xml:space="preserve"> all five copies (the “All” panel on the left).</w:t>
      </w:r>
      <w:r>
        <w:rPr>
          <w:rFonts w:ascii="Arial" w:hAnsi="Arial" w:cs="Arial"/>
          <w:bCs/>
        </w:rPr>
        <w:t xml:space="preserve"> (C) </w:t>
      </w:r>
      <w:r w:rsidRPr="00FF227B">
        <w:rPr>
          <w:rFonts w:ascii="Arial" w:hAnsi="Arial" w:cs="Arial"/>
          <w:bCs/>
        </w:rPr>
        <w:t xml:space="preserve">Evolution history inference of human haplotypes. </w:t>
      </w:r>
      <w:r>
        <w:rPr>
          <w:rFonts w:ascii="Arial" w:hAnsi="Arial" w:cs="Arial"/>
          <w:bCs/>
        </w:rPr>
        <w:t>The ancestral state was based on the state which has the smallest nucleotide difference compared with the chimpanzee sequence. The solid</w:t>
      </w:r>
      <w:r w:rsidRPr="00FF227B">
        <w:rPr>
          <w:rFonts w:ascii="Arial" w:hAnsi="Arial" w:cs="Arial"/>
          <w:bCs/>
        </w:rPr>
        <w:t xml:space="preserve"> line indicates the process possibly mediated by mutation</w:t>
      </w:r>
      <w:r>
        <w:rPr>
          <w:rFonts w:ascii="Arial" w:hAnsi="Arial" w:cs="Arial"/>
          <w:bCs/>
        </w:rPr>
        <w:t>s</w:t>
      </w:r>
      <w:r w:rsidRPr="00FF227B">
        <w:rPr>
          <w:rFonts w:ascii="Arial" w:hAnsi="Arial" w:cs="Arial"/>
          <w:bCs/>
        </w:rPr>
        <w:t xml:space="preserve">; </w:t>
      </w:r>
      <w:r>
        <w:rPr>
          <w:rFonts w:ascii="Arial" w:hAnsi="Arial" w:cs="Arial"/>
          <w:bCs/>
        </w:rPr>
        <w:t>the dashed</w:t>
      </w:r>
      <w:r w:rsidRPr="00FF227B">
        <w:rPr>
          <w:rFonts w:ascii="Arial" w:hAnsi="Arial" w:cs="Arial"/>
          <w:bCs/>
        </w:rPr>
        <w:t xml:space="preserve"> line indicates the process </w:t>
      </w:r>
      <w:r>
        <w:rPr>
          <w:rFonts w:ascii="Arial" w:hAnsi="Arial" w:cs="Arial"/>
          <w:bCs/>
        </w:rPr>
        <w:t>possibly</w:t>
      </w:r>
      <w:r w:rsidRPr="00FF227B">
        <w:rPr>
          <w:rFonts w:ascii="Arial" w:hAnsi="Arial" w:cs="Arial"/>
          <w:bCs/>
        </w:rPr>
        <w:t xml:space="preserve"> mediated by recombination.</w:t>
      </w:r>
      <w:r>
        <w:rPr>
          <w:rFonts w:ascii="Arial" w:hAnsi="Arial" w:cs="Arial"/>
          <w:bCs/>
        </w:rPr>
        <w:t xml:space="preserve"> The shaded</w:t>
      </w:r>
      <w:r w:rsidRPr="00FF227B">
        <w:rPr>
          <w:rFonts w:ascii="Arial" w:hAnsi="Arial" w:cs="Arial"/>
          <w:bCs/>
        </w:rPr>
        <w:t xml:space="preserve"> grey box indicates </w:t>
      </w:r>
      <w:r>
        <w:rPr>
          <w:rFonts w:ascii="Arial" w:hAnsi="Arial" w:cs="Arial"/>
          <w:bCs/>
        </w:rPr>
        <w:t xml:space="preserve">the </w:t>
      </w:r>
      <w:r w:rsidRPr="00FF227B">
        <w:rPr>
          <w:rFonts w:ascii="Arial" w:hAnsi="Arial" w:cs="Arial"/>
          <w:bCs/>
        </w:rPr>
        <w:t>deletion event.</w:t>
      </w:r>
    </w:p>
    <w:p w14:paraId="04D0C40B" w14:textId="77777777" w:rsidR="00446259" w:rsidRDefault="00446259" w:rsidP="00446259"/>
    <w:p w14:paraId="57FD93B1" w14:textId="77777777" w:rsidR="00446259" w:rsidRDefault="00446259" w:rsidP="00446259"/>
    <w:p w14:paraId="3617C1E5" w14:textId="77777777" w:rsidR="00446259" w:rsidRDefault="00446259" w:rsidP="00446259">
      <w:pPr>
        <w:widowControl/>
        <w:jc w:val="left"/>
      </w:pPr>
      <w:r>
        <w:br w:type="page"/>
      </w:r>
    </w:p>
    <w:p w14:paraId="48764ACD" w14:textId="77777777" w:rsidR="00446259" w:rsidRDefault="00446259" w:rsidP="00446259">
      <w:pPr>
        <w:rPr>
          <w:rFonts w:ascii="Arial" w:hAnsi="Arial" w:cs="Arial"/>
          <w:b/>
        </w:rPr>
      </w:pPr>
    </w:p>
    <w:p w14:paraId="7D2087CA" w14:textId="77777777" w:rsidR="00446259" w:rsidRPr="004677E4"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sidRPr="002F76E8">
        <w:rPr>
          <w:rFonts w:ascii="Arial" w:hAnsi="Arial" w:cs="Arial"/>
          <w:b/>
        </w:rPr>
        <w:t xml:space="preserve"> </w:t>
      </w:r>
      <w:r>
        <w:rPr>
          <w:rFonts w:ascii="Arial" w:hAnsi="Arial" w:cs="Arial" w:hint="eastAsia"/>
          <w:b/>
        </w:rPr>
        <w:t>7</w:t>
      </w:r>
      <w:r w:rsidRPr="002F76E8">
        <w:rPr>
          <w:rFonts w:ascii="Arial" w:hAnsi="Arial" w:cs="Arial"/>
          <w:b/>
        </w:rPr>
        <w:t>.</w:t>
      </w:r>
      <w:r>
        <w:rPr>
          <w:rFonts w:ascii="Arial" w:hAnsi="Arial" w:cs="Arial" w:hint="eastAsia"/>
          <w:b/>
        </w:rPr>
        <w:t xml:space="preserve"> Natural</w:t>
      </w:r>
      <w:r w:rsidRPr="00A35869">
        <w:rPr>
          <w:rFonts w:ascii="Arial" w:hAnsi="Arial" w:cs="Arial"/>
          <w:b/>
        </w:rPr>
        <w:t xml:space="preserve"> </w:t>
      </w:r>
      <w:r>
        <w:rPr>
          <w:rFonts w:ascii="Arial" w:hAnsi="Arial" w:cs="Arial" w:hint="eastAsia"/>
          <w:b/>
        </w:rPr>
        <w:t>s</w:t>
      </w:r>
      <w:r>
        <w:rPr>
          <w:rFonts w:ascii="Arial" w:hAnsi="Arial" w:cs="Arial"/>
          <w:b/>
        </w:rPr>
        <w:t>election signature</w:t>
      </w:r>
      <w:r>
        <w:rPr>
          <w:rFonts w:ascii="Arial" w:hAnsi="Arial" w:cs="Arial" w:hint="eastAsia"/>
          <w:b/>
        </w:rPr>
        <w:t xml:space="preserve"> and co-expression</w:t>
      </w:r>
      <w:r>
        <w:rPr>
          <w:rFonts w:ascii="Arial" w:hAnsi="Arial" w:cs="Arial"/>
          <w:b/>
        </w:rPr>
        <w:t xml:space="preserve"> of</w:t>
      </w:r>
      <w:r>
        <w:rPr>
          <w:rFonts w:ascii="Arial" w:hAnsi="Arial" w:cs="Arial" w:hint="eastAsia"/>
          <w:b/>
        </w:rPr>
        <w:t xml:space="preserve"> pancreatic digestive enzyme genes</w:t>
      </w:r>
    </w:p>
    <w:p w14:paraId="6406511C" w14:textId="77777777" w:rsidR="00446259" w:rsidRDefault="00446259" w:rsidP="00446259">
      <w:r w:rsidRPr="00A277B7">
        <w:rPr>
          <w:rFonts w:ascii="Arial" w:hAnsi="Arial" w:cs="Arial"/>
          <w:bCs/>
        </w:rPr>
        <w:t>(A</w:t>
      </w:r>
      <w:r>
        <w:rPr>
          <w:rFonts w:ascii="Arial" w:hAnsi="Arial" w:cs="Arial"/>
          <w:bCs/>
        </w:rPr>
        <w:t xml:space="preserve">) </w:t>
      </w:r>
      <w:r>
        <w:rPr>
          <w:rFonts w:ascii="Arial" w:hAnsi="Arial" w:cs="Arial" w:hint="eastAsia"/>
          <w:bCs/>
        </w:rPr>
        <w:t>Trypsinogen gene h</w:t>
      </w:r>
      <w:r w:rsidRPr="00C01086">
        <w:rPr>
          <w:rFonts w:ascii="Arial" w:hAnsi="Arial" w:cs="Arial"/>
          <w:bCs/>
        </w:rPr>
        <w:t>aplotype</w:t>
      </w:r>
      <w:r>
        <w:rPr>
          <w:rFonts w:ascii="Arial" w:hAnsi="Arial" w:cs="Arial" w:hint="eastAsia"/>
          <w:bCs/>
        </w:rPr>
        <w:t xml:space="preserve"> </w:t>
      </w:r>
      <w:r w:rsidRPr="00C01086">
        <w:rPr>
          <w:rFonts w:ascii="Arial" w:hAnsi="Arial" w:cs="Arial"/>
          <w:bCs/>
        </w:rPr>
        <w:t>network in the European and East Asian populations</w:t>
      </w:r>
      <w:r>
        <w:rPr>
          <w:rFonts w:ascii="Arial" w:hAnsi="Arial" w:cs="Arial"/>
          <w:bCs/>
        </w:rPr>
        <w:t xml:space="preserve">. </w:t>
      </w:r>
      <w:r w:rsidRPr="00C01086">
        <w:rPr>
          <w:rFonts w:ascii="Arial" w:hAnsi="Arial" w:cs="Arial"/>
          <w:bCs/>
        </w:rPr>
        <w:t xml:space="preserve">The short-form (upper panel) and long-form (lower-panel) haplotype network in Utah residents with European ancestry (CEU) and Han Chinese in Beijing (CHB). The short-form haplotype network shows a star-like pattern </w:t>
      </w:r>
      <w:r>
        <w:rPr>
          <w:rFonts w:ascii="Arial" w:hAnsi="Arial" w:cs="Arial"/>
          <w:bCs/>
        </w:rPr>
        <w:t>but not in the long-form haplotype</w:t>
      </w:r>
      <w:r w:rsidRPr="00C01086">
        <w:rPr>
          <w:rFonts w:ascii="Arial" w:hAnsi="Arial" w:cs="Arial"/>
          <w:bCs/>
        </w:rPr>
        <w:t>.</w:t>
      </w:r>
      <w:r>
        <w:rPr>
          <w:rFonts w:ascii="Arial" w:hAnsi="Arial" w:cs="Arial"/>
          <w:bCs/>
        </w:rPr>
        <w:t xml:space="preserve"> (B) </w:t>
      </w:r>
      <w:r w:rsidRPr="0023322E">
        <w:rPr>
          <w:rFonts w:ascii="Arial" w:hAnsi="Arial" w:cs="Arial"/>
          <w:bCs/>
        </w:rPr>
        <w:t>Tajima’s D distribution</w:t>
      </w:r>
      <w:r>
        <w:rPr>
          <w:rFonts w:ascii="Arial" w:hAnsi="Arial" w:cs="Arial" w:hint="eastAsia"/>
          <w:bCs/>
        </w:rPr>
        <w:t xml:space="preserve"> of trypsinogen haplotype</w:t>
      </w:r>
      <w:r>
        <w:rPr>
          <w:rFonts w:ascii="Arial" w:hAnsi="Arial" w:cs="Arial"/>
          <w:bCs/>
        </w:rPr>
        <w:t xml:space="preserve"> </w:t>
      </w:r>
      <w:r w:rsidRPr="0023322E">
        <w:rPr>
          <w:rFonts w:ascii="Arial" w:hAnsi="Arial" w:cs="Arial"/>
          <w:bCs/>
        </w:rPr>
        <w:t>based on the demographic simulation</w:t>
      </w:r>
      <w:r>
        <w:rPr>
          <w:rFonts w:ascii="Arial" w:hAnsi="Arial" w:cs="Arial"/>
          <w:bCs/>
        </w:rPr>
        <w:t xml:space="preserve">. </w:t>
      </w:r>
      <w:r w:rsidRPr="0023322E">
        <w:rPr>
          <w:rFonts w:ascii="Arial" w:hAnsi="Arial" w:cs="Arial"/>
          <w:bCs/>
        </w:rPr>
        <w:t xml:space="preserve">The histogram shows the distribution of Tajima’s D based on the demographic simulation, which follows a </w:t>
      </w:r>
      <w:r>
        <w:rPr>
          <w:rFonts w:ascii="Arial" w:hAnsi="Arial" w:cs="Arial"/>
          <w:bCs/>
        </w:rPr>
        <w:t>three-population</w:t>
      </w:r>
      <w:r w:rsidRPr="0023322E">
        <w:rPr>
          <w:rFonts w:ascii="Arial" w:hAnsi="Arial" w:cs="Arial"/>
          <w:bCs/>
        </w:rPr>
        <w:t xml:space="preserve"> Out-of-Africa model from ref. </w:t>
      </w:r>
      <w:r w:rsidRPr="00E8674D">
        <w:rPr>
          <w:rFonts w:ascii="Arial" w:hAnsi="Arial" w:cs="Arial"/>
          <w:bCs/>
          <w:color w:val="0070C0"/>
        </w:rPr>
        <w:t>(Gutenkunst et al., 2009)</w:t>
      </w:r>
      <w:r w:rsidRPr="0023322E">
        <w:rPr>
          <w:rFonts w:ascii="Arial" w:hAnsi="Arial" w:cs="Arial"/>
          <w:bCs/>
        </w:rPr>
        <w:t>. The observed real da</w:t>
      </w:r>
      <w:r>
        <w:rPr>
          <w:rFonts w:ascii="Arial" w:hAnsi="Arial" w:cs="Arial"/>
          <w:bCs/>
        </w:rPr>
        <w:t xml:space="preserve">ta of the </w:t>
      </w:r>
      <w:r w:rsidRPr="0023322E">
        <w:rPr>
          <w:rFonts w:ascii="Arial" w:hAnsi="Arial" w:cs="Arial"/>
          <w:bCs/>
          <w:i/>
          <w:iCs/>
        </w:rPr>
        <w:t>PRSS1-PRSS2</w:t>
      </w:r>
      <w:r>
        <w:rPr>
          <w:rFonts w:ascii="Arial" w:hAnsi="Arial" w:cs="Arial"/>
          <w:bCs/>
        </w:rPr>
        <w:t xml:space="preserve"> locus</w:t>
      </w:r>
      <w:r w:rsidRPr="0023322E">
        <w:rPr>
          <w:rFonts w:ascii="Arial" w:hAnsi="Arial" w:cs="Arial"/>
          <w:bCs/>
        </w:rPr>
        <w:t xml:space="preserve"> </w:t>
      </w:r>
      <w:r>
        <w:rPr>
          <w:rFonts w:ascii="Arial" w:hAnsi="Arial" w:cs="Arial"/>
          <w:bCs/>
        </w:rPr>
        <w:t>are</w:t>
      </w:r>
      <w:r w:rsidRPr="0023322E">
        <w:rPr>
          <w:rFonts w:ascii="Arial" w:hAnsi="Arial" w:cs="Arial"/>
          <w:bCs/>
        </w:rPr>
        <w:t xml:space="preserve"> shown in color. Tajima’s D was calculated based on 10-kb windows.</w:t>
      </w:r>
      <w:r>
        <w:rPr>
          <w:rFonts w:ascii="Arial" w:hAnsi="Arial" w:cs="Arial" w:hint="eastAsia"/>
          <w:bCs/>
        </w:rPr>
        <w:t xml:space="preserve"> (C) </w:t>
      </w:r>
      <w:r w:rsidRPr="00E27AF2">
        <w:rPr>
          <w:rFonts w:ascii="Arial" w:hAnsi="Arial" w:cs="Arial"/>
        </w:rPr>
        <w:t xml:space="preserve">Bayesian phylogenetic tree of </w:t>
      </w:r>
      <w:r w:rsidRPr="001219BB">
        <w:rPr>
          <w:rFonts w:ascii="Arial" w:hAnsi="Arial" w:cs="Arial"/>
          <w:i/>
        </w:rPr>
        <w:t>CLPS</w:t>
      </w:r>
      <w:r w:rsidRPr="00E27AF2">
        <w:rPr>
          <w:rFonts w:ascii="Arial" w:hAnsi="Arial" w:cs="Arial"/>
        </w:rPr>
        <w:t xml:space="preserve"> </w:t>
      </w:r>
      <w:r>
        <w:rPr>
          <w:rFonts w:ascii="Arial" w:hAnsi="Arial" w:cs="Arial" w:hint="eastAsia"/>
        </w:rPr>
        <w:t>copies in human and great apes</w:t>
      </w:r>
      <w:r w:rsidRPr="00E27AF2">
        <w:rPr>
          <w:rFonts w:ascii="Arial" w:hAnsi="Arial" w:cs="Arial"/>
        </w:rPr>
        <w:t>. Blue bars show the 95% CI of divergence time.</w:t>
      </w:r>
      <w:r>
        <w:rPr>
          <w:rFonts w:ascii="Arial" w:hAnsi="Arial" w:cs="Arial" w:hint="eastAsia"/>
          <w:bCs/>
        </w:rPr>
        <w:t xml:space="preserve"> REF, reference-like single-copy; DUP, duplication. (D) Copy number of </w:t>
      </w:r>
      <w:r w:rsidRPr="001219BB">
        <w:rPr>
          <w:rFonts w:ascii="Arial" w:hAnsi="Arial" w:cs="Arial"/>
          <w:bCs/>
          <w:i/>
        </w:rPr>
        <w:t>CLPS</w:t>
      </w:r>
      <w:r>
        <w:rPr>
          <w:rFonts w:ascii="Arial" w:hAnsi="Arial" w:cs="Arial" w:hint="eastAsia"/>
          <w:bCs/>
        </w:rPr>
        <w:t xml:space="preserve"> in great apes. (E) Distribution of CLPS copies in the worldwide population. </w:t>
      </w:r>
      <w:r>
        <w:rPr>
          <w:rFonts w:ascii="Arial" w:hAnsi="Arial" w:cs="Arial"/>
        </w:rPr>
        <w:t>(</w:t>
      </w:r>
      <w:r>
        <w:rPr>
          <w:rFonts w:ascii="Arial" w:hAnsi="Arial" w:cs="Arial" w:hint="eastAsia"/>
        </w:rPr>
        <w:t>F</w:t>
      </w:r>
      <w:r>
        <w:rPr>
          <w:rFonts w:ascii="Arial" w:hAnsi="Arial" w:cs="Arial"/>
        </w:rPr>
        <w:t>) The</w:t>
      </w:r>
      <w:r w:rsidRPr="003066F0">
        <w:rPr>
          <w:rFonts w:ascii="Arial" w:hAnsi="Arial" w:cs="Arial" w:hint="eastAsia"/>
        </w:rPr>
        <w:t xml:space="preserve"> module</w:t>
      </w:r>
      <w:r>
        <w:rPr>
          <w:rFonts w:ascii="Arial" w:hAnsi="Arial" w:cs="Arial"/>
        </w:rPr>
        <w:t xml:space="preserve"> containing both amylase and trypsinogen genes</w:t>
      </w:r>
      <w:r w:rsidRPr="003066F0">
        <w:rPr>
          <w:rFonts w:ascii="Arial" w:hAnsi="Arial" w:cs="Arial" w:hint="eastAsia"/>
        </w:rPr>
        <w:t xml:space="preserve"> </w:t>
      </w:r>
      <w:r>
        <w:rPr>
          <w:rFonts w:ascii="Arial" w:hAnsi="Arial" w:cs="Arial"/>
        </w:rPr>
        <w:t xml:space="preserve">constructed from WGCNA analysis </w:t>
      </w:r>
      <w:r w:rsidRPr="003066F0">
        <w:rPr>
          <w:rFonts w:ascii="Arial" w:hAnsi="Arial" w:cs="Arial" w:hint="eastAsia"/>
        </w:rPr>
        <w:t>shows enrichment in pancreatic secretion.</w:t>
      </w:r>
      <w:r>
        <w:rPr>
          <w:rFonts w:ascii="Arial" w:hAnsi="Arial" w:cs="Arial" w:hint="eastAsia"/>
        </w:rPr>
        <w:t xml:space="preserve"> </w:t>
      </w:r>
      <w:r>
        <w:rPr>
          <w:rFonts w:ascii="Arial" w:hAnsi="Arial" w:cs="Arial"/>
        </w:rPr>
        <w:t>(</w:t>
      </w:r>
      <w:r>
        <w:rPr>
          <w:rFonts w:ascii="Arial" w:hAnsi="Arial" w:cs="Arial" w:hint="eastAsia"/>
        </w:rPr>
        <w:t>G</w:t>
      </w:r>
      <w:r>
        <w:rPr>
          <w:rFonts w:ascii="Arial" w:hAnsi="Arial" w:cs="Arial"/>
        </w:rPr>
        <w:t>)</w:t>
      </w:r>
      <w:r w:rsidRPr="003066F0">
        <w:rPr>
          <w:rFonts w:ascii="Arial" w:hAnsi="Arial" w:cs="Arial" w:hint="eastAsia"/>
        </w:rPr>
        <w:t xml:space="preserve"> Pancreatic gene expression between </w:t>
      </w:r>
      <w:r w:rsidRPr="00433E6C">
        <w:rPr>
          <w:rFonts w:ascii="Arial" w:hAnsi="Arial" w:cs="Arial"/>
          <w:i/>
          <w:iCs/>
        </w:rPr>
        <w:t>AMY2</w:t>
      </w:r>
      <w:r w:rsidRPr="003066F0">
        <w:rPr>
          <w:rFonts w:ascii="Arial" w:hAnsi="Arial" w:cs="Arial" w:hint="eastAsia"/>
        </w:rPr>
        <w:t xml:space="preserve"> and </w:t>
      </w:r>
      <w:r w:rsidRPr="00433E6C">
        <w:rPr>
          <w:rFonts w:ascii="Arial" w:hAnsi="Arial" w:cs="Arial"/>
          <w:i/>
          <w:iCs/>
        </w:rPr>
        <w:t>PRSS1</w:t>
      </w:r>
      <w:r>
        <w:rPr>
          <w:rFonts w:ascii="Arial" w:hAnsi="Arial" w:cs="Arial"/>
          <w:i/>
          <w:iCs/>
        </w:rPr>
        <w:t xml:space="preserve"> </w:t>
      </w:r>
      <w:r>
        <w:rPr>
          <w:rFonts w:ascii="Arial" w:hAnsi="Arial" w:cs="Arial"/>
        </w:rPr>
        <w:t>across</w:t>
      </w:r>
      <w:r w:rsidRPr="00433E6C">
        <w:rPr>
          <w:rFonts w:ascii="Arial" w:hAnsi="Arial" w:cs="Arial"/>
        </w:rPr>
        <w:t xml:space="preserve"> all the</w:t>
      </w:r>
      <w:r>
        <w:rPr>
          <w:rFonts w:ascii="Arial" w:hAnsi="Arial" w:cs="Arial"/>
        </w:rPr>
        <w:t xml:space="preserve"> GTEx samples regardless of haplotype structures</w:t>
      </w:r>
      <w:r w:rsidRPr="003066F0">
        <w:rPr>
          <w:rFonts w:ascii="Arial" w:hAnsi="Arial" w:cs="Arial" w:hint="eastAsia"/>
        </w:rPr>
        <w:t xml:space="preserve">. </w:t>
      </w:r>
    </w:p>
    <w:p w14:paraId="61627B68" w14:textId="77777777" w:rsidR="00446259" w:rsidRDefault="00446259" w:rsidP="00446259"/>
    <w:p w14:paraId="1A2535A0" w14:textId="77777777" w:rsidR="00446259" w:rsidRDefault="00446259" w:rsidP="00446259"/>
    <w:p w14:paraId="208703BC" w14:textId="77777777" w:rsidR="00446259" w:rsidRDefault="00446259" w:rsidP="00446259">
      <w:pPr>
        <w:widowControl/>
        <w:jc w:val="left"/>
      </w:pPr>
      <w:r>
        <w:br w:type="page"/>
      </w:r>
    </w:p>
    <w:p w14:paraId="76A6F725" w14:textId="77777777" w:rsidR="00446259" w:rsidRDefault="00446259" w:rsidP="00446259">
      <w:pPr>
        <w:rPr>
          <w:rFonts w:ascii="Arial" w:hAnsi="Arial" w:cs="Arial"/>
          <w:b/>
        </w:rPr>
      </w:pPr>
    </w:p>
    <w:p w14:paraId="7E643AF4" w14:textId="77777777" w:rsidR="00446259" w:rsidRPr="004677E4" w:rsidRDefault="00446259" w:rsidP="00446259">
      <w:pPr>
        <w:rPr>
          <w:rFonts w:ascii="Arial" w:hAnsi="Arial" w:cs="Arial"/>
          <w:b/>
        </w:rPr>
      </w:pPr>
      <w:r>
        <w:rPr>
          <w:rFonts w:ascii="Arial" w:hAnsi="Arial" w:cs="Arial" w:hint="eastAsia"/>
          <w:b/>
        </w:rPr>
        <w:t xml:space="preserve">Extended Data </w:t>
      </w:r>
      <w:r>
        <w:rPr>
          <w:rFonts w:ascii="Arial" w:hAnsi="Arial" w:cs="Arial"/>
          <w:b/>
        </w:rPr>
        <w:t>Fig.</w:t>
      </w:r>
      <w:r w:rsidRPr="002F76E8">
        <w:rPr>
          <w:rFonts w:ascii="Arial" w:hAnsi="Arial" w:cs="Arial"/>
          <w:b/>
        </w:rPr>
        <w:t xml:space="preserve"> </w:t>
      </w:r>
      <w:r>
        <w:rPr>
          <w:rFonts w:ascii="Arial" w:hAnsi="Arial" w:cs="Arial" w:hint="eastAsia"/>
          <w:b/>
        </w:rPr>
        <w:t>8</w:t>
      </w:r>
      <w:r w:rsidRPr="002F76E8">
        <w:rPr>
          <w:rFonts w:ascii="Arial" w:hAnsi="Arial" w:cs="Arial"/>
          <w:b/>
        </w:rPr>
        <w:t>.</w:t>
      </w:r>
      <w:r w:rsidRPr="00A35869">
        <w:rPr>
          <w:rFonts w:ascii="Arial" w:hAnsi="Arial" w:cs="Arial"/>
          <w:b/>
        </w:rPr>
        <w:t xml:space="preserve"> </w:t>
      </w:r>
      <w:r>
        <w:rPr>
          <w:rFonts w:ascii="Arial" w:hAnsi="Arial" w:cs="Arial" w:hint="eastAsia"/>
          <w:b/>
        </w:rPr>
        <w:t>Elevated</w:t>
      </w:r>
      <w:r>
        <w:rPr>
          <w:rFonts w:ascii="Arial" w:hAnsi="Arial" w:cs="Arial"/>
          <w:b/>
        </w:rPr>
        <w:t xml:space="preserve"> </w:t>
      </w:r>
      <w:r w:rsidRPr="00483D32">
        <w:rPr>
          <w:rFonts w:ascii="Arial" w:hAnsi="Arial" w:cs="Arial"/>
          <w:b/>
          <w:i/>
          <w:iCs/>
        </w:rPr>
        <w:t>PRSS2</w:t>
      </w:r>
      <w:r w:rsidRPr="00483D32">
        <w:rPr>
          <w:rFonts w:ascii="Arial" w:hAnsi="Arial" w:cs="Arial"/>
          <w:b/>
        </w:rPr>
        <w:t xml:space="preserve"> expression </w:t>
      </w:r>
      <w:r>
        <w:rPr>
          <w:rFonts w:ascii="Arial" w:hAnsi="Arial" w:cs="Arial" w:hint="eastAsia"/>
          <w:b/>
        </w:rPr>
        <w:t>by pseudogene enhancers and its implication in pancreatitis</w:t>
      </w:r>
    </w:p>
    <w:p w14:paraId="66368DDC" w14:textId="77777777" w:rsidR="00446259" w:rsidRDefault="00446259" w:rsidP="00446259">
      <w:r w:rsidRPr="00A277B7">
        <w:rPr>
          <w:rFonts w:ascii="Arial" w:hAnsi="Arial" w:cs="Arial"/>
          <w:bCs/>
        </w:rPr>
        <w:t>(A</w:t>
      </w:r>
      <w:r>
        <w:rPr>
          <w:rFonts w:ascii="Arial" w:hAnsi="Arial" w:cs="Arial"/>
          <w:bCs/>
        </w:rPr>
        <w:t>)</w:t>
      </w:r>
      <w:r w:rsidRPr="00DC13BC">
        <w:rPr>
          <w:rFonts w:ascii="Arial" w:hAnsi="Arial" w:cs="Arial" w:hint="eastAsia"/>
          <w:bCs/>
        </w:rPr>
        <w:t xml:space="preserve"> Comparison of absolute normalized </w:t>
      </w:r>
      <w:r>
        <w:rPr>
          <w:rFonts w:ascii="Arial" w:hAnsi="Arial" w:cs="Arial"/>
          <w:bCs/>
        </w:rPr>
        <w:t>effect size</w:t>
      </w:r>
      <w:r w:rsidRPr="00DC13BC">
        <w:rPr>
          <w:rFonts w:ascii="Arial" w:hAnsi="Arial" w:cs="Arial" w:hint="eastAsia"/>
          <w:bCs/>
        </w:rPr>
        <w:t xml:space="preserve"> in </w:t>
      </w:r>
      <w:r w:rsidRPr="00DC13BC">
        <w:rPr>
          <w:rFonts w:ascii="Arial" w:hAnsi="Arial" w:cs="Arial" w:hint="eastAsia"/>
          <w:bCs/>
          <w:i/>
          <w:iCs/>
        </w:rPr>
        <w:t>PRSS2</w:t>
      </w:r>
      <w:r w:rsidRPr="00DC13BC">
        <w:rPr>
          <w:rFonts w:ascii="Arial" w:hAnsi="Arial" w:cs="Arial" w:hint="eastAsia"/>
          <w:bCs/>
        </w:rPr>
        <w:t xml:space="preserve"> eQTL SNVs with different LDs of copy number structure (blue, R2</w:t>
      </w:r>
      <w:r w:rsidRPr="00DC13BC">
        <w:rPr>
          <w:rFonts w:ascii="Arial" w:hAnsi="Arial" w:cs="Arial" w:hint="eastAsia"/>
          <w:bCs/>
        </w:rPr>
        <w:t>≤</w:t>
      </w:r>
      <w:r w:rsidRPr="00DC13BC">
        <w:rPr>
          <w:rFonts w:ascii="Arial" w:hAnsi="Arial" w:cs="Arial" w:hint="eastAsia"/>
          <w:bCs/>
        </w:rPr>
        <w:t xml:space="preserve">0.9; red, R2&gt;0.9). </w:t>
      </w:r>
      <w:r>
        <w:rPr>
          <w:rFonts w:ascii="Arial" w:hAnsi="Arial" w:cs="Arial"/>
          <w:bCs/>
        </w:rPr>
        <w:t>(</w:t>
      </w:r>
      <w:r w:rsidRPr="00DC13BC">
        <w:rPr>
          <w:rFonts w:ascii="Arial" w:hAnsi="Arial" w:cs="Arial" w:hint="eastAsia"/>
          <w:bCs/>
        </w:rPr>
        <w:t>B</w:t>
      </w:r>
      <w:r>
        <w:rPr>
          <w:rFonts w:ascii="Arial" w:hAnsi="Arial" w:cs="Arial"/>
          <w:bCs/>
        </w:rPr>
        <w:t>)</w:t>
      </w:r>
      <w:r w:rsidRPr="00DC13BC">
        <w:rPr>
          <w:rFonts w:ascii="Arial" w:hAnsi="Arial" w:cs="Arial" w:hint="eastAsia"/>
          <w:bCs/>
        </w:rPr>
        <w:t xml:space="preserve"> Allele-specific expression (ASE) of copy number structure tagged SNV (rs2075544) in heterozygous 3-copy/5-copy s</w:t>
      </w:r>
      <w:r w:rsidRPr="00DC13BC">
        <w:rPr>
          <w:rFonts w:ascii="Arial" w:hAnsi="Arial" w:cs="Arial"/>
          <w:bCs/>
        </w:rPr>
        <w:t>amples. Lower panel: lower reference allele proportion</w:t>
      </w:r>
      <w:r>
        <w:rPr>
          <w:rFonts w:ascii="Arial" w:hAnsi="Arial" w:cs="Arial"/>
          <w:bCs/>
        </w:rPr>
        <w:t xml:space="preserve"> </w:t>
      </w:r>
      <w:r w:rsidRPr="00DC13BC">
        <w:rPr>
          <w:rFonts w:ascii="Arial" w:hAnsi="Arial" w:cs="Arial"/>
          <w:bCs/>
        </w:rPr>
        <w:t>(REF, GRCh38 primary) represents higher long-form (5-copy) haplotype expression, while higher reference allele proportion represents higher short-form (</w:t>
      </w:r>
      <w:r>
        <w:rPr>
          <w:rFonts w:ascii="Arial" w:hAnsi="Arial" w:cs="Arial"/>
          <w:bCs/>
        </w:rPr>
        <w:t>3</w:t>
      </w:r>
      <w:r w:rsidRPr="00DC13BC">
        <w:rPr>
          <w:rFonts w:ascii="Arial" w:hAnsi="Arial" w:cs="Arial"/>
          <w:bCs/>
        </w:rPr>
        <w:t xml:space="preserve">-copy) haplotype expression. Dash vertical line indicates the equal expression of long-form and short-form haplotype. Upper panel: The REF allele proportion is significantly correlated with </w:t>
      </w:r>
      <w:r>
        <w:rPr>
          <w:rFonts w:ascii="Arial" w:hAnsi="Arial" w:cs="Arial"/>
          <w:bCs/>
        </w:rPr>
        <w:t xml:space="preserve">the </w:t>
      </w:r>
      <w:r w:rsidRPr="00DA3DEE">
        <w:rPr>
          <w:rFonts w:ascii="Arial" w:hAnsi="Arial" w:cs="Arial"/>
          <w:bCs/>
          <w:i/>
          <w:iCs/>
        </w:rPr>
        <w:t>PRSS1</w:t>
      </w:r>
      <w:r w:rsidRPr="00DC13BC">
        <w:rPr>
          <w:rFonts w:ascii="Arial" w:hAnsi="Arial" w:cs="Arial"/>
          <w:bCs/>
        </w:rPr>
        <w:t>/</w:t>
      </w:r>
      <w:r w:rsidRPr="00DA3DEE">
        <w:rPr>
          <w:rFonts w:ascii="Arial" w:hAnsi="Arial" w:cs="Arial"/>
          <w:bCs/>
          <w:i/>
          <w:iCs/>
        </w:rPr>
        <w:t>PRSS2</w:t>
      </w:r>
      <w:r w:rsidRPr="00DC13BC">
        <w:rPr>
          <w:rFonts w:ascii="Arial" w:hAnsi="Arial" w:cs="Arial"/>
          <w:bCs/>
        </w:rPr>
        <w:t xml:space="preserve"> expression ratio. </w:t>
      </w:r>
      <w:r>
        <w:rPr>
          <w:rFonts w:ascii="Arial" w:hAnsi="Arial" w:cs="Arial"/>
          <w:bCs/>
        </w:rPr>
        <w:t>(</w:t>
      </w:r>
      <w:r w:rsidRPr="00DC13BC">
        <w:rPr>
          <w:rFonts w:ascii="Arial" w:hAnsi="Arial" w:cs="Arial"/>
          <w:bCs/>
        </w:rPr>
        <w:t>C</w:t>
      </w:r>
      <w:r>
        <w:rPr>
          <w:rFonts w:ascii="Arial" w:hAnsi="Arial" w:cs="Arial"/>
          <w:bCs/>
        </w:rPr>
        <w:t>)</w:t>
      </w:r>
      <w:r w:rsidRPr="00DC13BC">
        <w:rPr>
          <w:rFonts w:ascii="Arial" w:hAnsi="Arial" w:cs="Arial"/>
          <w:bCs/>
        </w:rPr>
        <w:t xml:space="preserve"> Gene expression of </w:t>
      </w:r>
      <w:r w:rsidRPr="009E7D09">
        <w:rPr>
          <w:rFonts w:ascii="Arial" w:hAnsi="Arial" w:cs="Arial"/>
          <w:bCs/>
          <w:i/>
          <w:iCs/>
        </w:rPr>
        <w:t>PRSS1</w:t>
      </w:r>
      <w:r w:rsidRPr="00DC13BC">
        <w:rPr>
          <w:rFonts w:ascii="Arial" w:hAnsi="Arial" w:cs="Arial"/>
          <w:bCs/>
        </w:rPr>
        <w:t xml:space="preserve"> and </w:t>
      </w:r>
      <w:r w:rsidRPr="009E7D09">
        <w:rPr>
          <w:rFonts w:ascii="Arial" w:hAnsi="Arial" w:cs="Arial"/>
          <w:bCs/>
          <w:i/>
          <w:iCs/>
        </w:rPr>
        <w:t>PRSS2</w:t>
      </w:r>
      <w:r w:rsidRPr="00DC13BC">
        <w:rPr>
          <w:rFonts w:ascii="Arial" w:hAnsi="Arial" w:cs="Arial"/>
          <w:bCs/>
        </w:rPr>
        <w:t xml:space="preserve"> in homo</w:t>
      </w:r>
      <w:r>
        <w:rPr>
          <w:rFonts w:ascii="Arial" w:hAnsi="Arial" w:cs="Arial" w:hint="eastAsia"/>
          <w:bCs/>
        </w:rPr>
        <w:t>zy</w:t>
      </w:r>
      <w:r w:rsidRPr="00DC13BC">
        <w:rPr>
          <w:rFonts w:ascii="Arial" w:hAnsi="Arial" w:cs="Arial"/>
          <w:bCs/>
        </w:rPr>
        <w:t xml:space="preserve">gous short-form and long-form samples in </w:t>
      </w:r>
      <w:r>
        <w:rPr>
          <w:rFonts w:ascii="Arial" w:hAnsi="Arial" w:cs="Arial"/>
          <w:bCs/>
        </w:rPr>
        <w:t xml:space="preserve">the </w:t>
      </w:r>
      <w:r w:rsidRPr="00DC13BC">
        <w:rPr>
          <w:rFonts w:ascii="Arial" w:hAnsi="Arial" w:cs="Arial"/>
          <w:bCs/>
        </w:rPr>
        <w:t xml:space="preserve">pancreas (left) and liver (right). </w:t>
      </w:r>
      <w:r w:rsidRPr="008975BD">
        <w:rPr>
          <w:rFonts w:ascii="Arial" w:hAnsi="Arial" w:cs="Arial"/>
          <w:bCs/>
          <w:i/>
          <w:iCs/>
        </w:rPr>
        <w:t>PRSS1</w:t>
      </w:r>
      <w:r w:rsidRPr="00DC13BC">
        <w:rPr>
          <w:rFonts w:ascii="Arial" w:hAnsi="Arial" w:cs="Arial"/>
          <w:bCs/>
        </w:rPr>
        <w:t xml:space="preserve"> and </w:t>
      </w:r>
      <w:r w:rsidRPr="008975BD">
        <w:rPr>
          <w:rFonts w:ascii="Arial" w:hAnsi="Arial" w:cs="Arial"/>
          <w:bCs/>
          <w:i/>
          <w:iCs/>
        </w:rPr>
        <w:t>PRSS2</w:t>
      </w:r>
      <w:r w:rsidRPr="00DC13BC">
        <w:rPr>
          <w:rFonts w:ascii="Arial" w:hAnsi="Arial" w:cs="Arial"/>
          <w:bCs/>
        </w:rPr>
        <w:t xml:space="preserve"> showed </w:t>
      </w:r>
      <w:r>
        <w:rPr>
          <w:rFonts w:ascii="Arial" w:hAnsi="Arial" w:cs="Arial"/>
          <w:bCs/>
        </w:rPr>
        <w:t>significant</w:t>
      </w:r>
      <w:r w:rsidRPr="00DC13BC">
        <w:rPr>
          <w:rFonts w:ascii="Arial" w:hAnsi="Arial" w:cs="Arial"/>
          <w:bCs/>
        </w:rPr>
        <w:t xml:space="preserve"> expression </w:t>
      </w:r>
      <w:r>
        <w:rPr>
          <w:rFonts w:ascii="Arial" w:hAnsi="Arial" w:cs="Arial"/>
          <w:bCs/>
        </w:rPr>
        <w:t>differences</w:t>
      </w:r>
      <w:r w:rsidRPr="00DC13BC">
        <w:rPr>
          <w:rFonts w:ascii="Arial" w:hAnsi="Arial" w:cs="Arial"/>
          <w:bCs/>
        </w:rPr>
        <w:t xml:space="preserve"> only in long-form </w:t>
      </w:r>
      <w:r>
        <w:rPr>
          <w:rFonts w:ascii="Arial" w:hAnsi="Arial" w:cs="Arial"/>
          <w:bCs/>
        </w:rPr>
        <w:t>haplotypes</w:t>
      </w:r>
      <w:r w:rsidRPr="00DC13BC">
        <w:rPr>
          <w:rFonts w:ascii="Arial" w:hAnsi="Arial" w:cs="Arial"/>
          <w:bCs/>
        </w:rPr>
        <w:t xml:space="preserve"> in </w:t>
      </w:r>
      <w:r>
        <w:rPr>
          <w:rFonts w:ascii="Arial" w:hAnsi="Arial" w:cs="Arial"/>
          <w:bCs/>
        </w:rPr>
        <w:t xml:space="preserve">the </w:t>
      </w:r>
      <w:r w:rsidRPr="00DC13BC">
        <w:rPr>
          <w:rFonts w:ascii="Arial" w:hAnsi="Arial" w:cs="Arial"/>
          <w:bCs/>
        </w:rPr>
        <w:t xml:space="preserve">pancreas. </w:t>
      </w:r>
      <w:r>
        <w:rPr>
          <w:rFonts w:ascii="Arial" w:hAnsi="Arial" w:cs="Arial"/>
          <w:bCs/>
        </w:rPr>
        <w:t>(</w:t>
      </w:r>
      <w:r w:rsidRPr="00DC13BC">
        <w:rPr>
          <w:rFonts w:ascii="Arial" w:hAnsi="Arial" w:cs="Arial"/>
          <w:bCs/>
        </w:rPr>
        <w:t>D</w:t>
      </w:r>
      <w:r>
        <w:rPr>
          <w:rFonts w:ascii="Arial" w:hAnsi="Arial" w:cs="Arial"/>
          <w:bCs/>
        </w:rPr>
        <w:t>)</w:t>
      </w:r>
      <w:r w:rsidRPr="00DC13BC">
        <w:rPr>
          <w:rFonts w:ascii="Arial" w:hAnsi="Arial" w:cs="Arial"/>
          <w:bCs/>
        </w:rPr>
        <w:t xml:space="preserve"> Upper panel: Miropeats plot of sequence identity between the H3K27ac enhancers on the long-form and the known enhancers on the short-form haplotypes. The alignments with </w:t>
      </w:r>
      <w:r>
        <w:rPr>
          <w:rFonts w:ascii="Arial" w:hAnsi="Arial" w:cs="Arial"/>
          <w:bCs/>
        </w:rPr>
        <w:t xml:space="preserve">the </w:t>
      </w:r>
      <w:r w:rsidRPr="00DC13BC">
        <w:rPr>
          <w:rFonts w:ascii="Arial" w:hAnsi="Arial" w:cs="Arial"/>
          <w:bCs/>
        </w:rPr>
        <w:t>highest similarity are highlighted in color: red, the genes shared between long-form and short-form haplotypes; blue, the pseudogenes specific to the long-form haplotype. Lower panel: Hi-C contact map of homologous short-form haplotypes on de novo assembly CHM13 (3-copy structure) with</w:t>
      </w:r>
      <w:r>
        <w:rPr>
          <w:rFonts w:ascii="Arial" w:hAnsi="Arial" w:cs="Arial"/>
          <w:bCs/>
        </w:rPr>
        <w:t xml:space="preserve"> 5-kb</w:t>
      </w:r>
      <w:r w:rsidRPr="00DC13BC">
        <w:rPr>
          <w:rFonts w:ascii="Arial" w:hAnsi="Arial" w:cs="Arial"/>
          <w:bCs/>
        </w:rPr>
        <w:t xml:space="preserve"> resolution. </w:t>
      </w:r>
      <w:r>
        <w:rPr>
          <w:rFonts w:ascii="Arial" w:hAnsi="Arial" w:cs="Arial"/>
          <w:bCs/>
        </w:rPr>
        <w:t>(</w:t>
      </w:r>
      <w:r w:rsidRPr="00DC13BC">
        <w:rPr>
          <w:rFonts w:ascii="Arial" w:hAnsi="Arial" w:cs="Arial"/>
          <w:bCs/>
        </w:rPr>
        <w:t>E</w:t>
      </w:r>
      <w:r>
        <w:rPr>
          <w:rFonts w:ascii="Arial" w:hAnsi="Arial" w:cs="Arial"/>
          <w:bCs/>
        </w:rPr>
        <w:t>)</w:t>
      </w:r>
      <w:r w:rsidRPr="00DC13BC">
        <w:rPr>
          <w:rFonts w:ascii="Arial" w:hAnsi="Arial" w:cs="Arial"/>
          <w:bCs/>
        </w:rPr>
        <w:t xml:space="preserve"> Transcription binding site </w:t>
      </w:r>
      <w:r>
        <w:rPr>
          <w:rFonts w:ascii="Arial" w:hAnsi="Arial" w:cs="Arial"/>
          <w:bCs/>
        </w:rPr>
        <w:t>motifs</w:t>
      </w:r>
      <w:r w:rsidRPr="00DC13BC">
        <w:rPr>
          <w:rFonts w:ascii="Arial" w:hAnsi="Arial" w:cs="Arial"/>
          <w:bCs/>
        </w:rPr>
        <w:t xml:space="preserve"> that are specific to </w:t>
      </w:r>
      <w:r w:rsidRPr="008975BD">
        <w:rPr>
          <w:rFonts w:ascii="Arial" w:hAnsi="Arial" w:cs="Arial"/>
          <w:bCs/>
          <w:i/>
          <w:iCs/>
        </w:rPr>
        <w:t>PRSS3P2</w:t>
      </w:r>
      <w:r w:rsidRPr="00DC13BC">
        <w:rPr>
          <w:rFonts w:ascii="Arial" w:hAnsi="Arial" w:cs="Arial"/>
          <w:bCs/>
        </w:rPr>
        <w:t xml:space="preserve">, </w:t>
      </w:r>
      <w:r w:rsidRPr="008975BD">
        <w:rPr>
          <w:rFonts w:ascii="Arial" w:hAnsi="Arial" w:cs="Arial"/>
          <w:bCs/>
          <w:i/>
          <w:iCs/>
        </w:rPr>
        <w:t>TRY7</w:t>
      </w:r>
      <w:r>
        <w:rPr>
          <w:rFonts w:ascii="Arial" w:hAnsi="Arial" w:cs="Arial"/>
          <w:bCs/>
          <w:i/>
          <w:iCs/>
        </w:rPr>
        <w:t>,</w:t>
      </w:r>
      <w:r w:rsidRPr="00DC13BC">
        <w:rPr>
          <w:rFonts w:ascii="Arial" w:hAnsi="Arial" w:cs="Arial"/>
          <w:bCs/>
        </w:rPr>
        <w:t xml:space="preserve"> and </w:t>
      </w:r>
      <w:r w:rsidRPr="008975BD">
        <w:rPr>
          <w:rFonts w:ascii="Arial" w:hAnsi="Arial" w:cs="Arial"/>
          <w:bCs/>
          <w:i/>
          <w:iCs/>
        </w:rPr>
        <w:t>PRSS2</w:t>
      </w:r>
      <w:r w:rsidRPr="00DC13BC">
        <w:rPr>
          <w:rFonts w:ascii="Arial" w:hAnsi="Arial" w:cs="Arial"/>
          <w:bCs/>
        </w:rPr>
        <w:t xml:space="preserve">, but absent in </w:t>
      </w:r>
      <w:r w:rsidRPr="008975BD">
        <w:rPr>
          <w:rFonts w:ascii="Arial" w:hAnsi="Arial" w:cs="Arial"/>
          <w:bCs/>
          <w:i/>
          <w:iCs/>
        </w:rPr>
        <w:t>PRSS1</w:t>
      </w:r>
      <w:r w:rsidRPr="00DC13BC">
        <w:rPr>
          <w:rFonts w:ascii="Arial" w:hAnsi="Arial" w:cs="Arial"/>
          <w:bCs/>
        </w:rPr>
        <w:t>.</w:t>
      </w:r>
      <w:r>
        <w:rPr>
          <w:rFonts w:ascii="Arial" w:hAnsi="Arial" w:cs="Arial"/>
          <w:bCs/>
        </w:rPr>
        <w:t xml:space="preserve"> </w:t>
      </w:r>
      <w:r>
        <w:rPr>
          <w:rFonts w:ascii="Arial" w:hAnsi="Arial" w:cs="Arial"/>
        </w:rPr>
        <w:t>(</w:t>
      </w:r>
      <w:r>
        <w:rPr>
          <w:rFonts w:ascii="Arial" w:hAnsi="Arial" w:cs="Arial" w:hint="eastAsia"/>
        </w:rPr>
        <w:t>F</w:t>
      </w:r>
      <w:r w:rsidRPr="00433E6C">
        <w:rPr>
          <w:rFonts w:ascii="Arial" w:hAnsi="Arial" w:cs="Arial"/>
        </w:rPr>
        <w:t>)</w:t>
      </w:r>
      <w:r w:rsidRPr="002F76E8">
        <w:rPr>
          <w:rFonts w:ascii="Arial" w:hAnsi="Arial" w:cs="Arial"/>
        </w:rPr>
        <w:t xml:space="preserve"> </w:t>
      </w:r>
      <w:r w:rsidRPr="00AC5047">
        <w:rPr>
          <w:rFonts w:ascii="Arial" w:hAnsi="Arial" w:cs="Arial"/>
        </w:rPr>
        <w:t xml:space="preserve">Meta-analysis of </w:t>
      </w:r>
      <w:r>
        <w:rPr>
          <w:rFonts w:ascii="Arial" w:hAnsi="Arial" w:cs="Arial"/>
        </w:rPr>
        <w:t xml:space="preserve">the </w:t>
      </w:r>
      <w:r w:rsidRPr="00AC5047">
        <w:rPr>
          <w:rFonts w:ascii="Arial" w:hAnsi="Arial" w:cs="Arial"/>
        </w:rPr>
        <w:t>association between copy number structure and pancreatitis risk</w:t>
      </w:r>
      <w:r>
        <w:rPr>
          <w:rFonts w:ascii="Arial" w:hAnsi="Arial" w:cs="Arial"/>
        </w:rPr>
        <w:t>. (</w:t>
      </w:r>
      <w:r>
        <w:rPr>
          <w:rFonts w:ascii="Arial" w:hAnsi="Arial" w:cs="Arial" w:hint="eastAsia"/>
        </w:rPr>
        <w:t>G</w:t>
      </w:r>
      <w:r>
        <w:rPr>
          <w:rFonts w:ascii="Arial" w:hAnsi="Arial" w:cs="Arial"/>
        </w:rPr>
        <w:t xml:space="preserve">) </w:t>
      </w:r>
      <w:r w:rsidRPr="00E867CC">
        <w:rPr>
          <w:rFonts w:ascii="Arial" w:hAnsi="Arial" w:cs="Arial"/>
        </w:rPr>
        <w:t>Gene expression ratio (</w:t>
      </w:r>
      <w:r w:rsidRPr="00433E6C">
        <w:rPr>
          <w:rFonts w:ascii="Arial" w:hAnsi="Arial" w:cs="Arial"/>
          <w:i/>
          <w:iCs/>
        </w:rPr>
        <w:t>PRSS1</w:t>
      </w:r>
      <w:r w:rsidRPr="00E867CC">
        <w:rPr>
          <w:rFonts w:ascii="Arial" w:hAnsi="Arial" w:cs="Arial"/>
        </w:rPr>
        <w:t>/</w:t>
      </w:r>
      <w:r w:rsidRPr="00433E6C">
        <w:rPr>
          <w:rFonts w:ascii="Arial" w:hAnsi="Arial" w:cs="Arial"/>
          <w:i/>
          <w:iCs/>
        </w:rPr>
        <w:t>PRSS2</w:t>
      </w:r>
      <w:r w:rsidRPr="00E867CC">
        <w:rPr>
          <w:rFonts w:ascii="Arial" w:hAnsi="Arial" w:cs="Arial"/>
        </w:rPr>
        <w:t xml:space="preserve">) is significantly </w:t>
      </w:r>
      <w:r>
        <w:rPr>
          <w:rFonts w:ascii="Arial" w:hAnsi="Arial" w:cs="Arial"/>
        </w:rPr>
        <w:t>associated</w:t>
      </w:r>
      <w:r w:rsidRPr="00E867CC">
        <w:rPr>
          <w:rFonts w:ascii="Arial" w:hAnsi="Arial" w:cs="Arial"/>
        </w:rPr>
        <w:t xml:space="preserve"> with copy number structure.</w:t>
      </w:r>
    </w:p>
    <w:p w14:paraId="55ED2E6D" w14:textId="77777777" w:rsidR="00446259" w:rsidRPr="00CA6EC1" w:rsidRDefault="00446259" w:rsidP="00446259"/>
    <w:p w14:paraId="071AEEF5" w14:textId="77777777" w:rsidR="00446259" w:rsidRDefault="00446259" w:rsidP="00446259">
      <w:pPr>
        <w:widowControl/>
        <w:jc w:val="left"/>
        <w:rPr>
          <w:rFonts w:ascii="Arial" w:hAnsi="Arial" w:cs="Arial"/>
        </w:rPr>
      </w:pPr>
      <w:r>
        <w:rPr>
          <w:rFonts w:ascii="Arial" w:hAnsi="Arial" w:cs="Arial"/>
        </w:rPr>
        <w:br w:type="page"/>
      </w:r>
    </w:p>
    <w:p w14:paraId="2F4DDAF0" w14:textId="77777777" w:rsidR="00446259" w:rsidRDefault="00446259" w:rsidP="00446259">
      <w:pPr>
        <w:rPr>
          <w:rFonts w:ascii="Arial" w:hAnsi="Arial" w:cs="Arial"/>
          <w:b/>
        </w:rPr>
      </w:pPr>
      <w:r>
        <w:rPr>
          <w:rFonts w:ascii="Arial" w:hAnsi="Arial" w:cs="Arial"/>
          <w:b/>
        </w:rPr>
        <w:lastRenderedPageBreak/>
        <w:t xml:space="preserve">Supplementary Table </w:t>
      </w:r>
      <w:r w:rsidRPr="00DA2A3F">
        <w:rPr>
          <w:rFonts w:ascii="Arial" w:hAnsi="Arial" w:cs="Arial"/>
          <w:b/>
        </w:rPr>
        <w:t>1. Coordinates of trypsinogen gene in primate genomes.</w:t>
      </w:r>
    </w:p>
    <w:p w14:paraId="58D4E9ED" w14:textId="77777777" w:rsidR="00446259" w:rsidRDefault="00446259" w:rsidP="00446259">
      <w:pPr>
        <w:spacing w:beforeLines="50" w:before="156"/>
        <w:rPr>
          <w:rFonts w:ascii="Arial" w:hAnsi="Arial" w:cs="Arial"/>
          <w:b/>
        </w:rPr>
      </w:pPr>
      <w:r>
        <w:rPr>
          <w:rFonts w:ascii="Arial" w:hAnsi="Arial" w:cs="Arial"/>
          <w:b/>
        </w:rPr>
        <w:t xml:space="preserve">Supplementary Table </w:t>
      </w:r>
      <w:r>
        <w:rPr>
          <w:rFonts w:ascii="Arial" w:hAnsi="Arial" w:cs="Arial" w:hint="eastAsia"/>
          <w:b/>
        </w:rPr>
        <w:t>2</w:t>
      </w:r>
      <w:r w:rsidRPr="00DA2A3F">
        <w:rPr>
          <w:rFonts w:ascii="Arial" w:hAnsi="Arial" w:cs="Arial"/>
          <w:b/>
        </w:rPr>
        <w:t>.</w:t>
      </w:r>
      <w:r>
        <w:rPr>
          <w:rFonts w:ascii="Arial" w:hAnsi="Arial" w:cs="Arial" w:hint="eastAsia"/>
          <w:b/>
        </w:rPr>
        <w:t xml:space="preserve"> Functional enrichment of copy number polymorphic genes correlated with copy number of amylase gene</w:t>
      </w:r>
      <w:r w:rsidRPr="00DA2A3F">
        <w:rPr>
          <w:rFonts w:ascii="Arial" w:hAnsi="Arial" w:cs="Arial"/>
          <w:b/>
        </w:rPr>
        <w:t>.</w:t>
      </w:r>
    </w:p>
    <w:p w14:paraId="7B1F0089" w14:textId="77777777" w:rsidR="00446259" w:rsidRPr="00B54A22" w:rsidRDefault="00446259" w:rsidP="00446259">
      <w:pPr>
        <w:spacing w:beforeLines="50" w:before="156"/>
        <w:rPr>
          <w:rFonts w:ascii="Arial" w:hAnsi="Arial" w:cs="Arial"/>
          <w:b/>
        </w:rPr>
      </w:pPr>
      <w:r>
        <w:rPr>
          <w:rFonts w:ascii="Arial" w:hAnsi="Arial" w:cs="Arial"/>
          <w:b/>
        </w:rPr>
        <w:t xml:space="preserve">Supplementary Table </w:t>
      </w:r>
      <w:r>
        <w:rPr>
          <w:rFonts w:ascii="Arial" w:hAnsi="Arial" w:cs="Arial" w:hint="eastAsia"/>
          <w:b/>
        </w:rPr>
        <w:t>3</w:t>
      </w:r>
      <w:r w:rsidRPr="00B54A22">
        <w:rPr>
          <w:rFonts w:ascii="Arial" w:hAnsi="Arial" w:cs="Arial"/>
          <w:b/>
        </w:rPr>
        <w:t>. Summary of pancreatitis epidemiology and genetic association studies</w:t>
      </w:r>
      <w:r>
        <w:rPr>
          <w:rFonts w:ascii="Arial" w:hAnsi="Arial" w:cs="Arial"/>
          <w:b/>
        </w:rPr>
        <w:t xml:space="preserve"> </w:t>
      </w:r>
      <w:r>
        <w:rPr>
          <w:rFonts w:ascii="Arial" w:hAnsi="Arial" w:cs="Arial" w:hint="eastAsia"/>
          <w:b/>
        </w:rPr>
        <w:t>of the</w:t>
      </w:r>
      <w:r w:rsidRPr="00B54A22">
        <w:rPr>
          <w:rFonts w:ascii="Arial" w:hAnsi="Arial" w:cs="Arial"/>
          <w:b/>
        </w:rPr>
        <w:t xml:space="preserve"> </w:t>
      </w:r>
      <w:r w:rsidRPr="00B54A22">
        <w:rPr>
          <w:rFonts w:ascii="Arial" w:hAnsi="Arial" w:cs="Arial"/>
          <w:b/>
          <w:i/>
        </w:rPr>
        <w:t>PRSS1-PRSS2</w:t>
      </w:r>
      <w:r w:rsidRPr="00B54A22">
        <w:rPr>
          <w:rFonts w:ascii="Arial" w:hAnsi="Arial" w:cs="Arial"/>
          <w:b/>
        </w:rPr>
        <w:t xml:space="preserve"> locus.</w:t>
      </w:r>
    </w:p>
    <w:p w14:paraId="6F6486FF" w14:textId="77777777" w:rsidR="00446259" w:rsidRPr="00DA2A3F" w:rsidRDefault="00446259" w:rsidP="00446259">
      <w:pPr>
        <w:spacing w:beforeLines="50" w:before="156"/>
        <w:rPr>
          <w:rFonts w:ascii="Arial" w:hAnsi="Arial" w:cs="Arial"/>
          <w:b/>
        </w:rPr>
      </w:pPr>
      <w:r>
        <w:rPr>
          <w:rFonts w:ascii="Arial" w:hAnsi="Arial" w:cs="Arial"/>
          <w:b/>
        </w:rPr>
        <w:t xml:space="preserve">Supplementary Table </w:t>
      </w:r>
      <w:r>
        <w:rPr>
          <w:rFonts w:ascii="Arial" w:hAnsi="Arial" w:cs="Arial" w:hint="eastAsia"/>
          <w:b/>
        </w:rPr>
        <w:t>4</w:t>
      </w:r>
      <w:r w:rsidRPr="00DA2A3F">
        <w:rPr>
          <w:rFonts w:ascii="Arial" w:hAnsi="Arial" w:cs="Arial"/>
          <w:b/>
        </w:rPr>
        <w:t>. Human samples with inferred haplotypes included in this study.</w:t>
      </w:r>
    </w:p>
    <w:p w14:paraId="7E9BCEF5" w14:textId="77777777" w:rsidR="00446259" w:rsidRPr="00DA2A3F" w:rsidRDefault="00446259" w:rsidP="00446259">
      <w:pPr>
        <w:spacing w:beforeLines="50" w:before="156"/>
        <w:rPr>
          <w:rFonts w:ascii="Arial" w:hAnsi="Arial" w:cs="Arial"/>
          <w:b/>
        </w:rPr>
      </w:pPr>
      <w:r>
        <w:rPr>
          <w:rFonts w:ascii="Arial" w:hAnsi="Arial" w:cs="Arial"/>
          <w:b/>
        </w:rPr>
        <w:t xml:space="preserve">Supplementary Table </w:t>
      </w:r>
      <w:r>
        <w:rPr>
          <w:rFonts w:ascii="Arial" w:hAnsi="Arial" w:cs="Arial" w:hint="eastAsia"/>
          <w:b/>
        </w:rPr>
        <w:t>5</w:t>
      </w:r>
      <w:r w:rsidRPr="00DA2A3F">
        <w:rPr>
          <w:rFonts w:ascii="Arial" w:hAnsi="Arial" w:cs="Arial"/>
          <w:b/>
        </w:rPr>
        <w:t>. Three-nucleotide motif used in c</w:t>
      </w:r>
      <w:r>
        <w:rPr>
          <w:rFonts w:ascii="Arial" w:hAnsi="Arial" w:cs="Arial"/>
          <w:b/>
        </w:rPr>
        <w:t>haracterizing haplotype groups.</w:t>
      </w:r>
      <w:r w:rsidRPr="00DA2A3F">
        <w:rPr>
          <w:rFonts w:ascii="Arial" w:hAnsi="Arial" w:cs="Arial"/>
          <w:b/>
        </w:rPr>
        <w:t xml:space="preserve"> </w:t>
      </w:r>
    </w:p>
    <w:p w14:paraId="3A5F839E" w14:textId="77777777" w:rsidR="00446259" w:rsidRDefault="00446259" w:rsidP="00446259">
      <w:pPr>
        <w:spacing w:beforeLines="50" w:before="156"/>
        <w:rPr>
          <w:rFonts w:ascii="Arial" w:hAnsi="Arial" w:cs="Arial"/>
          <w:b/>
        </w:rPr>
      </w:pPr>
      <w:r>
        <w:rPr>
          <w:rFonts w:ascii="Arial" w:hAnsi="Arial" w:cs="Arial"/>
          <w:b/>
        </w:rPr>
        <w:t xml:space="preserve">Supplementary Table </w:t>
      </w:r>
      <w:r>
        <w:rPr>
          <w:rFonts w:ascii="Arial" w:hAnsi="Arial" w:cs="Arial" w:hint="eastAsia"/>
          <w:b/>
        </w:rPr>
        <w:t>6</w:t>
      </w:r>
      <w:r w:rsidRPr="00DA2A3F">
        <w:rPr>
          <w:rFonts w:ascii="Arial" w:hAnsi="Arial" w:cs="Arial"/>
          <w:b/>
        </w:rPr>
        <w:t>. Amino acid changes based on GRCh38 alternative contig.</w:t>
      </w:r>
    </w:p>
    <w:p w14:paraId="7D490C8D" w14:textId="77777777" w:rsidR="00446259" w:rsidRPr="00286827" w:rsidRDefault="00446259" w:rsidP="00446259">
      <w:pPr>
        <w:rPr>
          <w:rFonts w:ascii="Arial" w:hAnsi="Arial" w:cs="Arial"/>
          <w:sz w:val="15"/>
        </w:rPr>
      </w:pPr>
    </w:p>
    <w:p w14:paraId="76737A5A" w14:textId="77777777" w:rsidR="00446259" w:rsidRDefault="00446259" w:rsidP="00446259"/>
    <w:p w14:paraId="4729B5B9" w14:textId="77777777" w:rsidR="00446259" w:rsidRPr="002C0A93" w:rsidRDefault="00446259" w:rsidP="00446259">
      <w:pPr>
        <w:widowControl/>
        <w:jc w:val="left"/>
        <w:rPr>
          <w:rFonts w:ascii="Arial" w:hAnsi="Arial" w:cs="Arial"/>
        </w:rPr>
      </w:pPr>
    </w:p>
    <w:p w14:paraId="378ADF3E" w14:textId="77777777" w:rsidR="00F553FF" w:rsidRDefault="00F553FF"/>
    <w:sectPr w:rsidR="00F553FF" w:rsidSect="00446259">
      <w:footerReference w:type="default" r:id="rId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5517666"/>
      <w:docPartObj>
        <w:docPartGallery w:val="Page Numbers (Bottom of Page)"/>
        <w:docPartUnique/>
      </w:docPartObj>
    </w:sdtPr>
    <w:sdtContent>
      <w:p w14:paraId="262D4AC2" w14:textId="77777777" w:rsidR="00446259" w:rsidRDefault="00446259">
        <w:pPr>
          <w:pStyle w:val="Footer"/>
          <w:jc w:val="center"/>
        </w:pPr>
        <w:r>
          <w:fldChar w:fldCharType="begin"/>
        </w:r>
        <w:r>
          <w:instrText>PAGE   \* MERGEFORMAT</w:instrText>
        </w:r>
        <w:r>
          <w:fldChar w:fldCharType="separate"/>
        </w:r>
        <w:r w:rsidRPr="0043446D">
          <w:rPr>
            <w:noProof/>
            <w:lang w:val="zh-CN"/>
          </w:rPr>
          <w:t>13</w:t>
        </w:r>
        <w:r>
          <w:fldChar w:fldCharType="end"/>
        </w:r>
      </w:p>
    </w:sdtContent>
  </w:sdt>
  <w:p w14:paraId="3299B212" w14:textId="77777777" w:rsidR="00446259" w:rsidRDefault="00446259">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6259"/>
    <w:rsid w:val="003C2EF4"/>
    <w:rsid w:val="00446259"/>
    <w:rsid w:val="00446799"/>
    <w:rsid w:val="00681B65"/>
    <w:rsid w:val="006A7E07"/>
    <w:rsid w:val="00701021"/>
    <w:rsid w:val="00B74216"/>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6F9689"/>
  <w15:chartTrackingRefBased/>
  <w15:docId w15:val="{76C61B16-F2A9-45F1-B945-D68F8BFC0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6259"/>
    <w:pPr>
      <w:widowControl w:val="0"/>
      <w:spacing w:after="0" w:line="240" w:lineRule="auto"/>
      <w:jc w:val="both"/>
    </w:pPr>
    <w:rPr>
      <w:rFonts w:eastAsiaTheme="minorEastAsia"/>
      <w:sz w:val="21"/>
      <w:szCs w:val="22"/>
      <w:lang w:eastAsia="zh-CN"/>
      <w14:ligatures w14:val="none"/>
    </w:rPr>
  </w:style>
  <w:style w:type="paragraph" w:styleId="Heading1">
    <w:name w:val="heading 1"/>
    <w:basedOn w:val="Normal"/>
    <w:next w:val="Normal"/>
    <w:link w:val="Heading1Char"/>
    <w:uiPriority w:val="9"/>
    <w:qFormat/>
    <w:rsid w:val="00446259"/>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446259"/>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446259"/>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446259"/>
    <w:pPr>
      <w:keepNext/>
      <w:keepLines/>
      <w:widowControl/>
      <w:spacing w:before="80" w:after="40" w:line="278" w:lineRule="auto"/>
      <w:jc w:val="left"/>
      <w:outlineLvl w:val="3"/>
    </w:pPr>
    <w:rPr>
      <w:rFonts w:eastAsiaTheme="majorEastAsia" w:cstheme="majorBidi"/>
      <w:i/>
      <w:iCs/>
      <w:color w:val="0F4761" w:themeColor="accent1" w:themeShade="BF"/>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446259"/>
    <w:pPr>
      <w:keepNext/>
      <w:keepLines/>
      <w:widowControl/>
      <w:spacing w:before="80" w:after="40" w:line="278" w:lineRule="auto"/>
      <w:jc w:val="left"/>
      <w:outlineLvl w:val="4"/>
    </w:pPr>
    <w:rPr>
      <w:rFonts w:eastAsiaTheme="majorEastAsia" w:cstheme="majorBidi"/>
      <w:color w:val="0F4761" w:themeColor="accent1" w:themeShade="BF"/>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446259"/>
    <w:pPr>
      <w:keepNext/>
      <w:keepLines/>
      <w:widowControl/>
      <w:spacing w:before="40" w:line="278" w:lineRule="auto"/>
      <w:jc w:val="left"/>
      <w:outlineLvl w:val="5"/>
    </w:pPr>
    <w:rPr>
      <w:rFonts w:eastAsiaTheme="majorEastAsia" w:cstheme="majorBidi"/>
      <w:i/>
      <w:iCs/>
      <w:color w:val="595959" w:themeColor="text1" w:themeTint="A6"/>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446259"/>
    <w:pPr>
      <w:keepNext/>
      <w:keepLines/>
      <w:widowControl/>
      <w:spacing w:before="40" w:line="278" w:lineRule="auto"/>
      <w:jc w:val="left"/>
      <w:outlineLvl w:val="6"/>
    </w:pPr>
    <w:rPr>
      <w:rFonts w:eastAsiaTheme="majorEastAsia" w:cstheme="majorBidi"/>
      <w:color w:val="595959" w:themeColor="text1" w:themeTint="A6"/>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446259"/>
    <w:pPr>
      <w:keepNext/>
      <w:keepLines/>
      <w:widowControl/>
      <w:spacing w:line="278" w:lineRule="auto"/>
      <w:jc w:val="left"/>
      <w:outlineLvl w:val="7"/>
    </w:pPr>
    <w:rPr>
      <w:rFonts w:eastAsiaTheme="majorEastAsia" w:cstheme="majorBidi"/>
      <w:i/>
      <w:iCs/>
      <w:color w:val="272727" w:themeColor="text1" w:themeTint="D8"/>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446259"/>
    <w:pPr>
      <w:keepNext/>
      <w:keepLines/>
      <w:widowControl/>
      <w:spacing w:line="278" w:lineRule="auto"/>
      <w:jc w:val="left"/>
      <w:outlineLvl w:val="8"/>
    </w:pPr>
    <w:rPr>
      <w:rFonts w:eastAsiaTheme="majorEastAsia" w:cstheme="majorBidi"/>
      <w:color w:val="272727" w:themeColor="text1" w:themeTint="D8"/>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625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4625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4625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4625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4625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4625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625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625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6259"/>
    <w:rPr>
      <w:rFonts w:eastAsiaTheme="majorEastAsia" w:cstheme="majorBidi"/>
      <w:color w:val="272727" w:themeColor="text1" w:themeTint="D8"/>
    </w:rPr>
  </w:style>
  <w:style w:type="paragraph" w:styleId="Title">
    <w:name w:val="Title"/>
    <w:basedOn w:val="Normal"/>
    <w:next w:val="Normal"/>
    <w:link w:val="TitleChar"/>
    <w:uiPriority w:val="10"/>
    <w:qFormat/>
    <w:rsid w:val="00446259"/>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44625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6259"/>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44625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6259"/>
    <w:pPr>
      <w:widowControl/>
      <w:spacing w:before="160" w:after="160" w:line="278" w:lineRule="auto"/>
      <w:jc w:val="center"/>
    </w:pPr>
    <w:rPr>
      <w:rFonts w:eastAsiaTheme="minorHAnsi"/>
      <w:i/>
      <w:iCs/>
      <w:color w:val="404040" w:themeColor="text1" w:themeTint="BF"/>
      <w:sz w:val="24"/>
      <w:szCs w:val="24"/>
      <w:lang w:eastAsia="en-US"/>
      <w14:ligatures w14:val="standardContextual"/>
    </w:rPr>
  </w:style>
  <w:style w:type="character" w:customStyle="1" w:styleId="QuoteChar">
    <w:name w:val="Quote Char"/>
    <w:basedOn w:val="DefaultParagraphFont"/>
    <w:link w:val="Quote"/>
    <w:uiPriority w:val="29"/>
    <w:rsid w:val="00446259"/>
    <w:rPr>
      <w:i/>
      <w:iCs/>
      <w:color w:val="404040" w:themeColor="text1" w:themeTint="BF"/>
    </w:rPr>
  </w:style>
  <w:style w:type="paragraph" w:styleId="ListParagraph">
    <w:name w:val="List Paragraph"/>
    <w:basedOn w:val="Normal"/>
    <w:uiPriority w:val="34"/>
    <w:qFormat/>
    <w:rsid w:val="00446259"/>
    <w:pPr>
      <w:widowControl/>
      <w:spacing w:after="160" w:line="278" w:lineRule="auto"/>
      <w:ind w:left="720"/>
      <w:contextualSpacing/>
      <w:jc w:val="left"/>
    </w:pPr>
    <w:rPr>
      <w:rFonts w:eastAsiaTheme="minorHAnsi"/>
      <w:sz w:val="24"/>
      <w:szCs w:val="24"/>
      <w:lang w:eastAsia="en-US"/>
      <w14:ligatures w14:val="standardContextual"/>
    </w:rPr>
  </w:style>
  <w:style w:type="character" w:styleId="IntenseEmphasis">
    <w:name w:val="Intense Emphasis"/>
    <w:basedOn w:val="DefaultParagraphFont"/>
    <w:uiPriority w:val="21"/>
    <w:qFormat/>
    <w:rsid w:val="00446259"/>
    <w:rPr>
      <w:i/>
      <w:iCs/>
      <w:color w:val="0F4761" w:themeColor="accent1" w:themeShade="BF"/>
    </w:rPr>
  </w:style>
  <w:style w:type="paragraph" w:styleId="IntenseQuote">
    <w:name w:val="Intense Quote"/>
    <w:basedOn w:val="Normal"/>
    <w:next w:val="Normal"/>
    <w:link w:val="IntenseQuoteChar"/>
    <w:uiPriority w:val="30"/>
    <w:qFormat/>
    <w:rsid w:val="00446259"/>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eastAsia="en-US"/>
      <w14:ligatures w14:val="standardContextual"/>
    </w:rPr>
  </w:style>
  <w:style w:type="character" w:customStyle="1" w:styleId="IntenseQuoteChar">
    <w:name w:val="Intense Quote Char"/>
    <w:basedOn w:val="DefaultParagraphFont"/>
    <w:link w:val="IntenseQuote"/>
    <w:uiPriority w:val="30"/>
    <w:rsid w:val="00446259"/>
    <w:rPr>
      <w:i/>
      <w:iCs/>
      <w:color w:val="0F4761" w:themeColor="accent1" w:themeShade="BF"/>
    </w:rPr>
  </w:style>
  <w:style w:type="character" w:styleId="IntenseReference">
    <w:name w:val="Intense Reference"/>
    <w:basedOn w:val="DefaultParagraphFont"/>
    <w:uiPriority w:val="32"/>
    <w:qFormat/>
    <w:rsid w:val="00446259"/>
    <w:rPr>
      <w:b/>
      <w:bCs/>
      <w:smallCaps/>
      <w:color w:val="0F4761" w:themeColor="accent1" w:themeShade="BF"/>
      <w:spacing w:val="5"/>
    </w:rPr>
  </w:style>
  <w:style w:type="paragraph" w:styleId="Footer">
    <w:name w:val="footer"/>
    <w:basedOn w:val="Normal"/>
    <w:link w:val="FooterChar"/>
    <w:uiPriority w:val="99"/>
    <w:unhideWhenUsed/>
    <w:rsid w:val="00446259"/>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rsid w:val="00446259"/>
    <w:rPr>
      <w:rFonts w:eastAsiaTheme="minorEastAsia"/>
      <w:sz w:val="18"/>
      <w:szCs w:val="18"/>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1615</Words>
  <Characters>9873</Characters>
  <Application>Microsoft Office Word</Application>
  <DocSecurity>0</DocSecurity>
  <Lines>161</Lines>
  <Paragraphs>51</Paragraphs>
  <ScaleCrop>false</ScaleCrop>
  <Company>Springer Nature</Company>
  <LinksUpToDate>false</LinksUpToDate>
  <CharactersWithSpaces>11437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2026-02-11T05:56:00Z</dcterms:created>
  <dcterms:modified xsi:type="dcterms:W3CDTF">2026-02-11T05:56:00Z</dcterms:modified>
</cp:coreProperties>
</file>