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64D900" w14:textId="77777777" w:rsidR="00D35531" w:rsidRDefault="00D35531" w:rsidP="00D35531">
      <w:pPr>
        <w:pStyle w:val="NormalWeb"/>
        <w:spacing w:before="240" w:beforeAutospacing="0" w:after="240" w:afterAutospacing="0"/>
        <w:jc w:val="both"/>
      </w:pPr>
      <w:r>
        <w:rPr>
          <w:color w:val="000000"/>
        </w:rPr>
        <w:t>Diffusion-weighted MRI for differentiating between hepatocellular adenoma and focal nodular hyperplasia: a systematic review and meta-analysis.</w:t>
      </w:r>
    </w:p>
    <w:p w14:paraId="6EE5A578" w14:textId="77777777" w:rsidR="00D35531" w:rsidRDefault="00D35531" w:rsidP="00D35531">
      <w:pPr>
        <w:pStyle w:val="NormalWeb"/>
        <w:numPr>
          <w:ilvl w:val="0"/>
          <w:numId w:val="1"/>
        </w:numPr>
        <w:spacing w:before="240" w:beforeAutospacing="0" w:after="240" w:afterAutospacing="0"/>
        <w:jc w:val="both"/>
        <w:textAlignment w:val="baseline"/>
        <w:rPr>
          <w:color w:val="000000"/>
        </w:rPr>
      </w:pPr>
      <w:r>
        <w:rPr>
          <w:color w:val="000000"/>
        </w:rPr>
        <w:t>Review question:</w:t>
      </w:r>
    </w:p>
    <w:p w14:paraId="7B09EFF1" w14:textId="77777777" w:rsidR="00D35531" w:rsidRDefault="00D35531" w:rsidP="00D35531">
      <w:pPr>
        <w:pStyle w:val="NormalWeb"/>
        <w:spacing w:before="240" w:beforeAutospacing="0" w:after="240" w:afterAutospacing="0"/>
        <w:jc w:val="both"/>
      </w:pPr>
      <w:r>
        <w:rPr>
          <w:color w:val="000000"/>
        </w:rPr>
        <w:t>To examine benign hepatic lesions in high-b-value diffusion-weighted magnetic resonance imaging and to compare the apparent diffusion coefficient values of focal nodular hyperplasias with those of hepatocellular adenomas.</w:t>
      </w:r>
    </w:p>
    <w:p w14:paraId="4746DA6D" w14:textId="77777777" w:rsidR="00D35531" w:rsidRDefault="00D35531" w:rsidP="00D35531">
      <w:pPr>
        <w:pStyle w:val="NormalWeb"/>
        <w:numPr>
          <w:ilvl w:val="0"/>
          <w:numId w:val="2"/>
        </w:numPr>
        <w:spacing w:before="240" w:beforeAutospacing="0" w:after="240" w:afterAutospacing="0"/>
        <w:jc w:val="both"/>
        <w:textAlignment w:val="baseline"/>
        <w:rPr>
          <w:color w:val="000000"/>
        </w:rPr>
      </w:pPr>
      <w:r>
        <w:rPr>
          <w:color w:val="000000"/>
        </w:rPr>
        <w:t>Searches:</w:t>
      </w:r>
    </w:p>
    <w:p w14:paraId="04365467" w14:textId="77777777" w:rsidR="00D35531" w:rsidRDefault="00D35531" w:rsidP="00D35531">
      <w:pPr>
        <w:pStyle w:val="NormalWeb"/>
        <w:spacing w:before="240" w:beforeAutospacing="0" w:after="240" w:afterAutospacing="0"/>
        <w:jc w:val="both"/>
      </w:pPr>
      <w:r>
        <w:rPr>
          <w:color w:val="000000"/>
        </w:rPr>
        <w:t>Reviewers formulated their search syntax separately. Furthermore, EMTREE and MeSH keywords were verified. They consolidated their strategies following a discussion of the discrepancies. A fourth reviewer participated if the discussion failed to reach a conclusion. A conclusive search syntax will be executed on August 30, 2025, encompassing all qualified studies. We will conduct a search of the PubMed, Web of Science, Embase, and Cochrane Library databases. No language restrictions will be imposed. The reference lists of pertinent papers will be examined to guarantee that no publications are overlooked. All identified studies will be loaded into the EndNote program for screening. Subsequently, redundant studies will be eliminated.</w:t>
      </w:r>
    </w:p>
    <w:p w14:paraId="3350ADDD" w14:textId="77777777" w:rsidR="00D35531" w:rsidRDefault="00D35531" w:rsidP="00D35531">
      <w:pPr>
        <w:pStyle w:val="NormalWeb"/>
        <w:spacing w:before="0" w:beforeAutospacing="0" w:after="0" w:afterAutospacing="0"/>
        <w:jc w:val="both"/>
      </w:pPr>
      <w:r>
        <w:rPr>
          <w:color w:val="000000"/>
        </w:rPr>
        <w:t>("Focal nodular hyperplasia" OR "Focal nodular hyperplasias" OR (focal nodular hyperplasia*) OR FNH) AND (ADC OR "apparent diffusion" OR DWI OR "diffusion-weighted" OR "diffusion weighted") AND adenom*</w:t>
      </w:r>
    </w:p>
    <w:p w14:paraId="392AC4D6" w14:textId="77777777" w:rsidR="00D35531" w:rsidRDefault="00D35531" w:rsidP="00D35531">
      <w:pPr>
        <w:pStyle w:val="NormalWeb"/>
        <w:numPr>
          <w:ilvl w:val="0"/>
          <w:numId w:val="3"/>
        </w:numPr>
        <w:spacing w:before="240" w:beforeAutospacing="0" w:after="240" w:afterAutospacing="0"/>
        <w:jc w:val="both"/>
        <w:textAlignment w:val="baseline"/>
        <w:rPr>
          <w:color w:val="000000"/>
        </w:rPr>
      </w:pPr>
      <w:r>
        <w:rPr>
          <w:color w:val="000000"/>
        </w:rPr>
        <w:t>Types of study to be included:</w:t>
      </w:r>
    </w:p>
    <w:p w14:paraId="38CE1F82" w14:textId="77777777" w:rsidR="00D35531" w:rsidRDefault="00D35531" w:rsidP="00D35531">
      <w:pPr>
        <w:pStyle w:val="NormalWeb"/>
        <w:spacing w:before="240" w:beforeAutospacing="0" w:after="240" w:afterAutospacing="0"/>
        <w:jc w:val="both"/>
      </w:pPr>
      <w:r>
        <w:rPr>
          <w:color w:val="000000"/>
        </w:rPr>
        <w:t>Studies that include case-control, cohort, cross-sectional, and clinical trials with a minimum of five patients will be incorporated. </w:t>
      </w:r>
    </w:p>
    <w:p w14:paraId="569B88EE" w14:textId="77777777" w:rsidR="00D35531" w:rsidRDefault="00D35531" w:rsidP="00D35531">
      <w:pPr>
        <w:pStyle w:val="NormalWeb"/>
        <w:numPr>
          <w:ilvl w:val="0"/>
          <w:numId w:val="4"/>
        </w:numPr>
        <w:spacing w:before="240" w:beforeAutospacing="0" w:after="240" w:afterAutospacing="0"/>
        <w:jc w:val="both"/>
        <w:textAlignment w:val="baseline"/>
        <w:rPr>
          <w:color w:val="000000"/>
        </w:rPr>
      </w:pPr>
      <w:r>
        <w:rPr>
          <w:color w:val="000000"/>
        </w:rPr>
        <w:t>Condition or domain being studied:</w:t>
      </w:r>
    </w:p>
    <w:p w14:paraId="27E0EFF9" w14:textId="77777777" w:rsidR="00D35531" w:rsidRDefault="00D35531" w:rsidP="00D35531">
      <w:pPr>
        <w:pStyle w:val="NormalWeb"/>
        <w:spacing w:before="240" w:beforeAutospacing="0" w:after="240" w:afterAutospacing="0"/>
        <w:jc w:val="both"/>
      </w:pPr>
      <w:r>
        <w:rPr>
          <w:color w:val="000000"/>
        </w:rPr>
        <w:t>Benign hepatic lesions are classified into two main categories according to their pathogenesis: regenerative formations, including focal nodular hyperplasias, and pre-neoplastic lesions, such as hepatocellular adenomas. These lesions frequently pose a diagnostic issue due to their shared clinical characteristics. Both are generally asymptomatic and are most often identified inadvertently in women of reproductive age. The common demographic and clinical characteristics highlight the need for accurate diagnostic techniques to effectively differentiate between the conditions, as their clinical care varies considerably.</w:t>
      </w:r>
    </w:p>
    <w:p w14:paraId="7B62F14E" w14:textId="77777777" w:rsidR="00D35531" w:rsidRDefault="00D35531" w:rsidP="00D35531">
      <w:pPr>
        <w:pStyle w:val="NormalWeb"/>
        <w:spacing w:before="240" w:beforeAutospacing="0" w:after="240" w:afterAutospacing="0"/>
        <w:jc w:val="both"/>
      </w:pPr>
      <w:r>
        <w:rPr>
          <w:color w:val="000000"/>
        </w:rPr>
        <w:t xml:space="preserve">The precise distinction between focal nodular hyperplasia and adenoma is crucial because of their differing natural histories and related hazards. Focal nodular hyperplasia is typically seen as a benign condition with minimal risk of consequences, rendering careful management and observation the conventional practice. Conversely, adenomas present a significant risk of severe consequences, such as spontaneous bleeding and malignant progression to hepatocellular carcinoma. Therefore, surgical excision has traditionally been the preferred treatment for the majority of adenomas to alleviate these life-threatening dangers. This discrepancy in patient </w:t>
      </w:r>
      <w:r>
        <w:rPr>
          <w:color w:val="000000"/>
        </w:rPr>
        <w:lastRenderedPageBreak/>
        <w:t>management underscores the essential need for a precise, non-invasive diagnostic method to inform suitable treatment choices and prevent unwarranted surgical procedures.</w:t>
      </w:r>
    </w:p>
    <w:p w14:paraId="1DD032FA" w14:textId="77777777" w:rsidR="00D35531" w:rsidRDefault="00D35531" w:rsidP="00D35531">
      <w:pPr>
        <w:pStyle w:val="NormalWeb"/>
        <w:spacing w:before="240" w:beforeAutospacing="0" w:after="240" w:afterAutospacing="0"/>
        <w:jc w:val="both"/>
      </w:pPr>
      <w:r>
        <w:rPr>
          <w:color w:val="000000"/>
        </w:rPr>
        <w:t>This study examines the efficacy of sophisticated magnetic resonance imaging technique, Diffusion-weighted MRI, in the characterisation and distinction of benign liver lesions. While conventional MR imaging offers high specificity for focal nodular hyperplasia when classic features are present, its sensitivity is limited. Diffusion-weighted MRI offers a profound understanding of the microscopic structure of tissues by quantifying the diffusion of water molecules. This work seeks to utilize the unique microstructural characteristic, Apparent Diffusion Coefficient (ADC), of focal nodular hyperplasia and adenomas to enhance diagnostic precision and optimize patient care techniques.</w:t>
      </w:r>
    </w:p>
    <w:p w14:paraId="57405B30" w14:textId="77777777" w:rsidR="00D35531" w:rsidRDefault="00D35531" w:rsidP="00D35531">
      <w:pPr>
        <w:pStyle w:val="NormalWeb"/>
        <w:numPr>
          <w:ilvl w:val="0"/>
          <w:numId w:val="5"/>
        </w:numPr>
        <w:spacing w:before="240" w:beforeAutospacing="0" w:after="240" w:afterAutospacing="0"/>
        <w:jc w:val="both"/>
        <w:textAlignment w:val="baseline"/>
        <w:rPr>
          <w:color w:val="000000"/>
        </w:rPr>
      </w:pPr>
      <w:r>
        <w:rPr>
          <w:color w:val="000000"/>
        </w:rPr>
        <w:t>Participants/population:</w:t>
      </w:r>
    </w:p>
    <w:p w14:paraId="5AF72D62" w14:textId="77777777" w:rsidR="00D35531" w:rsidRDefault="00D35531" w:rsidP="00D35531">
      <w:pPr>
        <w:pStyle w:val="NormalWeb"/>
        <w:spacing w:before="240" w:beforeAutospacing="0" w:after="240" w:afterAutospacing="0"/>
        <w:jc w:val="both"/>
      </w:pPr>
      <w:r>
        <w:rPr>
          <w:color w:val="000000"/>
        </w:rPr>
        <w:t>The participants are patients with benign hepatocellular lesions. who underwent diffusion-weighted MRI and reported ADC values for focal nodular hyperplasia and adenoma separately.</w:t>
      </w:r>
    </w:p>
    <w:p w14:paraId="5794E67C" w14:textId="77777777" w:rsidR="00D35531" w:rsidRDefault="00D35531" w:rsidP="00D35531">
      <w:pPr>
        <w:pStyle w:val="NormalWeb"/>
        <w:numPr>
          <w:ilvl w:val="0"/>
          <w:numId w:val="6"/>
        </w:numPr>
        <w:spacing w:before="240" w:beforeAutospacing="0" w:after="240" w:afterAutospacing="0"/>
        <w:jc w:val="both"/>
        <w:textAlignment w:val="baseline"/>
        <w:rPr>
          <w:color w:val="000000"/>
        </w:rPr>
      </w:pPr>
      <w:r>
        <w:rPr>
          <w:color w:val="000000"/>
        </w:rPr>
        <w:t>Intervention(s), exposure(s):</w:t>
      </w:r>
    </w:p>
    <w:p w14:paraId="065B13BE" w14:textId="77777777" w:rsidR="00D35531" w:rsidRDefault="00D35531" w:rsidP="00D35531">
      <w:pPr>
        <w:pStyle w:val="NormalWeb"/>
        <w:spacing w:before="240" w:beforeAutospacing="0" w:after="240" w:afterAutospacing="0"/>
        <w:jc w:val="both"/>
      </w:pPr>
      <w:r>
        <w:rPr>
          <w:color w:val="000000"/>
        </w:rPr>
        <w:t>This study aims to investigate the adequacy rate of thyroid specimens acquired by various ultrasound-guided fine needle aspiration devices.</w:t>
      </w:r>
    </w:p>
    <w:p w14:paraId="6F111AB1" w14:textId="77777777" w:rsidR="00D35531" w:rsidRDefault="00D35531" w:rsidP="00D35531">
      <w:pPr>
        <w:pStyle w:val="NormalWeb"/>
        <w:numPr>
          <w:ilvl w:val="0"/>
          <w:numId w:val="7"/>
        </w:numPr>
        <w:spacing w:before="240" w:beforeAutospacing="0" w:after="240" w:afterAutospacing="0"/>
        <w:jc w:val="both"/>
        <w:textAlignment w:val="baseline"/>
        <w:rPr>
          <w:color w:val="000000"/>
        </w:rPr>
      </w:pPr>
      <w:r>
        <w:rPr>
          <w:color w:val="000000"/>
        </w:rPr>
        <w:t>Main outcome:</w:t>
      </w:r>
    </w:p>
    <w:p w14:paraId="7E39DAC1" w14:textId="77777777" w:rsidR="00D35531" w:rsidRDefault="00D35531" w:rsidP="00D35531">
      <w:pPr>
        <w:pStyle w:val="NormalWeb"/>
        <w:spacing w:before="240" w:beforeAutospacing="0" w:after="240" w:afterAutospacing="0"/>
        <w:jc w:val="both"/>
      </w:pPr>
      <w:r>
        <w:rPr>
          <w:color w:val="000000"/>
        </w:rPr>
        <w:t>The primary outcome is the precise distinction between hepatocellular adenoma and focal nodular hyperplasia, mostly reliant on variations in ADC values.</w:t>
      </w:r>
    </w:p>
    <w:p w14:paraId="0C8A1208" w14:textId="77777777" w:rsidR="00D35531" w:rsidRDefault="00D35531" w:rsidP="00D35531">
      <w:pPr>
        <w:pStyle w:val="NormalWeb"/>
        <w:numPr>
          <w:ilvl w:val="0"/>
          <w:numId w:val="8"/>
        </w:numPr>
        <w:spacing w:before="240" w:beforeAutospacing="0" w:after="240" w:afterAutospacing="0"/>
        <w:jc w:val="both"/>
        <w:textAlignment w:val="baseline"/>
        <w:rPr>
          <w:color w:val="000000"/>
        </w:rPr>
      </w:pPr>
      <w:r>
        <w:rPr>
          <w:color w:val="000000"/>
        </w:rPr>
        <w:t>Additional outcome(s):</w:t>
      </w:r>
    </w:p>
    <w:p w14:paraId="27E27062" w14:textId="77777777" w:rsidR="00D35531" w:rsidRDefault="00D35531" w:rsidP="00D35531">
      <w:pPr>
        <w:pStyle w:val="NormalWeb"/>
        <w:spacing w:before="240" w:beforeAutospacing="0" w:after="240" w:afterAutospacing="0"/>
        <w:ind w:left="720"/>
        <w:jc w:val="both"/>
      </w:pPr>
      <w:r>
        <w:rPr>
          <w:color w:val="000000"/>
        </w:rPr>
        <w:t>A) To subgroup the results based on QUADAS-2 risk of bias tool</w:t>
      </w:r>
    </w:p>
    <w:p w14:paraId="34FE3146" w14:textId="77777777" w:rsidR="00D35531" w:rsidRDefault="00D35531" w:rsidP="00D35531">
      <w:pPr>
        <w:pStyle w:val="NormalWeb"/>
        <w:spacing w:before="240" w:beforeAutospacing="0" w:after="240" w:afterAutospacing="0"/>
        <w:ind w:left="720"/>
        <w:jc w:val="both"/>
      </w:pPr>
      <w:r>
        <w:rPr>
          <w:color w:val="000000"/>
        </w:rPr>
        <w:t>E) To assess the small-study effect (i.e., publication bias) on upper results.</w:t>
      </w:r>
    </w:p>
    <w:p w14:paraId="16B523D2" w14:textId="77777777" w:rsidR="00D35531" w:rsidRDefault="00D35531" w:rsidP="00D35531">
      <w:pPr>
        <w:pStyle w:val="NormalWeb"/>
        <w:spacing w:before="240" w:beforeAutospacing="0" w:after="240" w:afterAutospacing="0"/>
        <w:ind w:left="720"/>
        <w:jc w:val="both"/>
      </w:pPr>
      <w:r>
        <w:rPr>
          <w:color w:val="000000"/>
        </w:rPr>
        <w:t>F) To perform sensitivity analysis on upper analyses.</w:t>
      </w:r>
    </w:p>
    <w:p w14:paraId="3E2BFD84" w14:textId="77777777" w:rsidR="00D35531" w:rsidRDefault="00D35531" w:rsidP="00D35531">
      <w:pPr>
        <w:pStyle w:val="NormalWeb"/>
        <w:spacing w:before="240" w:beforeAutospacing="0" w:after="240" w:afterAutospacing="0"/>
        <w:ind w:left="720"/>
        <w:jc w:val="both"/>
      </w:pPr>
      <w:r>
        <w:rPr>
          <w:color w:val="000000"/>
        </w:rPr>
        <w:t>G) To perform GRADE assessment on the upper results</w:t>
      </w:r>
    </w:p>
    <w:p w14:paraId="38A97CB5" w14:textId="77777777" w:rsidR="00D35531" w:rsidRDefault="00D35531" w:rsidP="00D35531">
      <w:pPr>
        <w:pStyle w:val="NormalWeb"/>
        <w:numPr>
          <w:ilvl w:val="0"/>
          <w:numId w:val="9"/>
        </w:numPr>
        <w:spacing w:before="240" w:beforeAutospacing="0" w:after="240" w:afterAutospacing="0"/>
        <w:jc w:val="both"/>
        <w:textAlignment w:val="baseline"/>
        <w:rPr>
          <w:color w:val="000000"/>
        </w:rPr>
      </w:pPr>
      <w:r>
        <w:rPr>
          <w:color w:val="000000"/>
        </w:rPr>
        <w:t>Data extraction (selection and coding):</w:t>
      </w:r>
    </w:p>
    <w:p w14:paraId="5921F7BB" w14:textId="77777777" w:rsidR="00D35531" w:rsidRDefault="00D35531" w:rsidP="00D35531">
      <w:pPr>
        <w:pStyle w:val="NormalWeb"/>
        <w:spacing w:before="240" w:beforeAutospacing="0" w:after="240" w:afterAutospacing="0"/>
        <w:jc w:val="both"/>
      </w:pPr>
      <w:r>
        <w:rPr>
          <w:color w:val="000000"/>
        </w:rPr>
        <w:t>Two reviewers will independently extract data from the selected papers in response to the review question. The subsequent stage involves inputting the data into an Excel spreadsheet, followed by a comparison of the three files. A third reviewer will participate if disputes remain unresolved.</w:t>
      </w:r>
    </w:p>
    <w:p w14:paraId="0729A1D2" w14:textId="77777777" w:rsidR="00D35531" w:rsidRDefault="00D35531" w:rsidP="00D35531">
      <w:pPr>
        <w:pStyle w:val="NormalWeb"/>
        <w:numPr>
          <w:ilvl w:val="0"/>
          <w:numId w:val="10"/>
        </w:numPr>
        <w:spacing w:before="240" w:beforeAutospacing="0" w:after="240" w:afterAutospacing="0"/>
        <w:jc w:val="both"/>
        <w:textAlignment w:val="baseline"/>
        <w:rPr>
          <w:color w:val="000000"/>
        </w:rPr>
      </w:pPr>
      <w:r>
        <w:rPr>
          <w:color w:val="000000"/>
        </w:rPr>
        <w:t>Risk of bias assessment:</w:t>
      </w:r>
    </w:p>
    <w:p w14:paraId="6331A371" w14:textId="77777777" w:rsidR="00D35531" w:rsidRDefault="00D35531" w:rsidP="00D35531">
      <w:pPr>
        <w:pStyle w:val="NormalWeb"/>
        <w:spacing w:before="240" w:beforeAutospacing="0" w:after="240" w:afterAutospacing="0"/>
        <w:jc w:val="both"/>
      </w:pPr>
      <w:r>
        <w:rPr>
          <w:color w:val="000000"/>
        </w:rPr>
        <w:t>QUADAS-2 risk of bias assessment tool will be used to assess the bias of the included studies.</w:t>
      </w:r>
    </w:p>
    <w:p w14:paraId="02582210" w14:textId="77777777" w:rsidR="00D35531" w:rsidRDefault="00D35531" w:rsidP="00D35531">
      <w:pPr>
        <w:pStyle w:val="NormalWeb"/>
        <w:numPr>
          <w:ilvl w:val="0"/>
          <w:numId w:val="11"/>
        </w:numPr>
        <w:spacing w:before="240" w:beforeAutospacing="0" w:after="240" w:afterAutospacing="0"/>
        <w:jc w:val="both"/>
        <w:textAlignment w:val="baseline"/>
        <w:rPr>
          <w:color w:val="000000"/>
        </w:rPr>
      </w:pPr>
      <w:r>
        <w:rPr>
          <w:color w:val="000000"/>
        </w:rPr>
        <w:t>Strategy for data synthesis:</w:t>
      </w:r>
    </w:p>
    <w:p w14:paraId="0A1F6488" w14:textId="77777777" w:rsidR="00D35531" w:rsidRDefault="00D35531" w:rsidP="00D35531">
      <w:pPr>
        <w:pStyle w:val="NormalWeb"/>
        <w:spacing w:before="240" w:beforeAutospacing="0" w:after="240" w:afterAutospacing="0"/>
        <w:jc w:val="both"/>
      </w:pPr>
      <w:r>
        <w:rPr>
          <w:color w:val="000000"/>
        </w:rPr>
        <w:lastRenderedPageBreak/>
        <w:t>The meta-analysis will utilize STATA version 17.0. A random effects model will be employed for diagnostic research, as advised by the Cochrane Handbook for Systematic Reviews of Diagnostic Test Accuracy. An I2 of 50% or over will be regarded as indicative of a model with strong statistical heterogeneity.</w:t>
      </w:r>
    </w:p>
    <w:p w14:paraId="71606908" w14:textId="77777777" w:rsidR="00D35531" w:rsidRDefault="00D35531" w:rsidP="00D35531">
      <w:pPr>
        <w:pStyle w:val="NormalWeb"/>
        <w:numPr>
          <w:ilvl w:val="0"/>
          <w:numId w:val="12"/>
        </w:numPr>
        <w:spacing w:before="240" w:beforeAutospacing="0" w:after="240" w:afterAutospacing="0"/>
        <w:jc w:val="both"/>
        <w:textAlignment w:val="baseline"/>
        <w:rPr>
          <w:color w:val="000000"/>
        </w:rPr>
      </w:pPr>
      <w:r>
        <w:rPr>
          <w:color w:val="000000"/>
        </w:rPr>
        <w:t>Contact details for further information:</w:t>
      </w:r>
    </w:p>
    <w:p w14:paraId="1AAA4E83" w14:textId="77777777" w:rsidR="00D35531" w:rsidRDefault="00D35531" w:rsidP="00D35531">
      <w:pPr>
        <w:pStyle w:val="NormalWeb"/>
        <w:spacing w:before="240" w:beforeAutospacing="0" w:after="240" w:afterAutospacing="0"/>
        <w:jc w:val="both"/>
      </w:pPr>
      <w:r>
        <w:rPr>
          <w:color w:val="000000"/>
        </w:rPr>
        <w:t>Afshin Mohammadi</w:t>
      </w:r>
    </w:p>
    <w:p w14:paraId="1292B077" w14:textId="77777777" w:rsidR="00D35531" w:rsidRDefault="00D35531" w:rsidP="00D35531">
      <w:pPr>
        <w:pStyle w:val="NormalWeb"/>
        <w:spacing w:before="240" w:beforeAutospacing="0" w:after="240" w:afterAutospacing="0"/>
        <w:jc w:val="both"/>
      </w:pPr>
      <w:r>
        <w:rPr>
          <w:color w:val="000000"/>
        </w:rPr>
        <w:t>mohammadi.a@umsu.ac.ir</w:t>
      </w:r>
    </w:p>
    <w:p w14:paraId="2088738A" w14:textId="77777777" w:rsidR="00D35531" w:rsidRDefault="00D35531" w:rsidP="00D35531">
      <w:pPr>
        <w:pStyle w:val="NormalWeb"/>
        <w:numPr>
          <w:ilvl w:val="0"/>
          <w:numId w:val="13"/>
        </w:numPr>
        <w:spacing w:before="240" w:beforeAutospacing="0" w:after="240" w:afterAutospacing="0"/>
        <w:jc w:val="both"/>
        <w:textAlignment w:val="baseline"/>
        <w:rPr>
          <w:color w:val="000000"/>
        </w:rPr>
      </w:pPr>
      <w:r>
        <w:rPr>
          <w:color w:val="000000"/>
        </w:rPr>
        <w:t>Type and method of review:</w:t>
      </w:r>
    </w:p>
    <w:p w14:paraId="2DC5325A" w14:textId="77777777" w:rsidR="00D35531" w:rsidRDefault="00D35531" w:rsidP="00D35531">
      <w:pPr>
        <w:pStyle w:val="NormalWeb"/>
        <w:spacing w:before="240" w:beforeAutospacing="0" w:after="240" w:afterAutospacing="0"/>
        <w:jc w:val="both"/>
      </w:pPr>
      <w:r>
        <w:rPr>
          <w:color w:val="000000"/>
        </w:rPr>
        <w:t>Diagnostic value study; systematic review and meta-analysis</w:t>
      </w:r>
    </w:p>
    <w:p w14:paraId="01296989" w14:textId="77777777" w:rsidR="00D35531" w:rsidRDefault="00D35531" w:rsidP="00D35531">
      <w:pPr>
        <w:pStyle w:val="NormalWeb"/>
        <w:numPr>
          <w:ilvl w:val="0"/>
          <w:numId w:val="14"/>
        </w:numPr>
        <w:spacing w:before="240" w:beforeAutospacing="0" w:after="240" w:afterAutospacing="0"/>
        <w:jc w:val="both"/>
        <w:textAlignment w:val="baseline"/>
        <w:rPr>
          <w:color w:val="000000"/>
        </w:rPr>
      </w:pPr>
      <w:r>
        <w:rPr>
          <w:color w:val="000000"/>
        </w:rPr>
        <w:t>Anticipated or actual start date:</w:t>
      </w:r>
    </w:p>
    <w:p w14:paraId="2CC26125" w14:textId="77777777" w:rsidR="00D35531" w:rsidRDefault="00D35531" w:rsidP="00D35531">
      <w:pPr>
        <w:pStyle w:val="NormalWeb"/>
        <w:spacing w:before="240" w:beforeAutospacing="0" w:after="240" w:afterAutospacing="0"/>
        <w:jc w:val="both"/>
      </w:pPr>
      <w:r>
        <w:rPr>
          <w:color w:val="000000"/>
        </w:rPr>
        <w:t>August 30, 2025</w:t>
      </w:r>
    </w:p>
    <w:p w14:paraId="3815A102" w14:textId="77777777" w:rsidR="00D35531" w:rsidRDefault="00D35531" w:rsidP="00D35531">
      <w:pPr>
        <w:pStyle w:val="NormalWeb"/>
        <w:numPr>
          <w:ilvl w:val="0"/>
          <w:numId w:val="15"/>
        </w:numPr>
        <w:spacing w:before="240" w:beforeAutospacing="0" w:after="240" w:afterAutospacing="0"/>
        <w:jc w:val="both"/>
        <w:textAlignment w:val="baseline"/>
        <w:rPr>
          <w:color w:val="000000"/>
        </w:rPr>
      </w:pPr>
      <w:r>
        <w:rPr>
          <w:color w:val="000000"/>
        </w:rPr>
        <w:t>Anticipated completion date:</w:t>
      </w:r>
    </w:p>
    <w:p w14:paraId="30CEA388" w14:textId="77777777" w:rsidR="00D35531" w:rsidRDefault="00D35531" w:rsidP="00D35531">
      <w:pPr>
        <w:pStyle w:val="NormalWeb"/>
        <w:spacing w:before="240" w:beforeAutospacing="0" w:after="240" w:afterAutospacing="0"/>
        <w:jc w:val="both"/>
      </w:pPr>
      <w:r>
        <w:rPr>
          <w:color w:val="000000"/>
        </w:rPr>
        <w:t>October 30, 2025</w:t>
      </w:r>
    </w:p>
    <w:p w14:paraId="02645374" w14:textId="77777777" w:rsidR="00D35531" w:rsidRDefault="00D35531" w:rsidP="00D35531">
      <w:pPr>
        <w:pStyle w:val="NormalWeb"/>
        <w:numPr>
          <w:ilvl w:val="0"/>
          <w:numId w:val="16"/>
        </w:numPr>
        <w:spacing w:before="240" w:beforeAutospacing="0" w:after="240" w:afterAutospacing="0"/>
        <w:jc w:val="both"/>
        <w:textAlignment w:val="baseline"/>
        <w:rPr>
          <w:color w:val="000000"/>
        </w:rPr>
      </w:pPr>
      <w:r>
        <w:rPr>
          <w:color w:val="000000"/>
        </w:rPr>
        <w:t>Funding sources/sponsors:</w:t>
      </w:r>
    </w:p>
    <w:p w14:paraId="5DE241B6" w14:textId="77777777" w:rsidR="00D35531" w:rsidRDefault="00D35531" w:rsidP="00D35531">
      <w:pPr>
        <w:pStyle w:val="NormalWeb"/>
        <w:spacing w:before="240" w:beforeAutospacing="0" w:after="240" w:afterAutospacing="0"/>
        <w:jc w:val="both"/>
      </w:pPr>
      <w:r>
        <w:rPr>
          <w:color w:val="000000"/>
        </w:rPr>
        <w:t>None</w:t>
      </w:r>
    </w:p>
    <w:p w14:paraId="4BFFC247" w14:textId="77777777" w:rsidR="00D35531" w:rsidRDefault="00D35531" w:rsidP="00D35531">
      <w:pPr>
        <w:pStyle w:val="NormalWeb"/>
        <w:numPr>
          <w:ilvl w:val="0"/>
          <w:numId w:val="17"/>
        </w:numPr>
        <w:spacing w:before="240" w:beforeAutospacing="0" w:after="240" w:afterAutospacing="0"/>
        <w:jc w:val="both"/>
        <w:textAlignment w:val="baseline"/>
        <w:rPr>
          <w:color w:val="000000"/>
        </w:rPr>
      </w:pPr>
      <w:r>
        <w:rPr>
          <w:color w:val="000000"/>
        </w:rPr>
        <w:t>Conflicts of interest:</w:t>
      </w:r>
    </w:p>
    <w:p w14:paraId="2DCD027F" w14:textId="77777777" w:rsidR="00D35531" w:rsidRDefault="00D35531" w:rsidP="00D35531">
      <w:pPr>
        <w:pStyle w:val="NormalWeb"/>
        <w:spacing w:before="240" w:beforeAutospacing="0" w:after="240" w:afterAutospacing="0"/>
        <w:jc w:val="both"/>
      </w:pPr>
      <w:r>
        <w:rPr>
          <w:color w:val="000000"/>
        </w:rPr>
        <w:t>None</w:t>
      </w:r>
    </w:p>
    <w:p w14:paraId="2CE5A0C6" w14:textId="77777777" w:rsidR="002A6113" w:rsidRDefault="002A6113">
      <w:bookmarkStart w:id="0" w:name="_GoBack"/>
      <w:bookmarkEnd w:id="0"/>
    </w:p>
    <w:sectPr w:rsidR="002A61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D482D"/>
    <w:multiLevelType w:val="multilevel"/>
    <w:tmpl w:val="49A25D4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085C26"/>
    <w:multiLevelType w:val="multilevel"/>
    <w:tmpl w:val="EF46DD9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346058"/>
    <w:multiLevelType w:val="multilevel"/>
    <w:tmpl w:val="99942E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FD2C40"/>
    <w:multiLevelType w:val="multilevel"/>
    <w:tmpl w:val="A6129B7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FF307E"/>
    <w:multiLevelType w:val="multilevel"/>
    <w:tmpl w:val="2AAEA0D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BA478C"/>
    <w:multiLevelType w:val="multilevel"/>
    <w:tmpl w:val="FC7603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541B85"/>
    <w:multiLevelType w:val="multilevel"/>
    <w:tmpl w:val="EFE26B2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4F4B18"/>
    <w:multiLevelType w:val="multilevel"/>
    <w:tmpl w:val="390CD85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5A6935"/>
    <w:multiLevelType w:val="multilevel"/>
    <w:tmpl w:val="D05E26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68126F"/>
    <w:multiLevelType w:val="multilevel"/>
    <w:tmpl w:val="9C7818F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414077"/>
    <w:multiLevelType w:val="multilevel"/>
    <w:tmpl w:val="A05A03A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2807C33"/>
    <w:multiLevelType w:val="multilevel"/>
    <w:tmpl w:val="F1FE4B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4A5404F"/>
    <w:multiLevelType w:val="multilevel"/>
    <w:tmpl w:val="CF8E22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4A077B"/>
    <w:multiLevelType w:val="multilevel"/>
    <w:tmpl w:val="6902DDC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A24DAE"/>
    <w:multiLevelType w:val="multilevel"/>
    <w:tmpl w:val="B54CA5D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5C55829"/>
    <w:multiLevelType w:val="multilevel"/>
    <w:tmpl w:val="C3BCA52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EE31FEB"/>
    <w:multiLevelType w:val="multilevel"/>
    <w:tmpl w:val="58562CE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8"/>
    <w:lvlOverride w:ilvl="0">
      <w:lvl w:ilvl="0">
        <w:numFmt w:val="decimal"/>
        <w:lvlText w:val="%1."/>
        <w:lvlJc w:val="left"/>
      </w:lvl>
    </w:lvlOverride>
  </w:num>
  <w:num w:numId="3">
    <w:abstractNumId w:val="16"/>
    <w:lvlOverride w:ilvl="0">
      <w:lvl w:ilvl="0">
        <w:numFmt w:val="decimal"/>
        <w:lvlText w:val="%1."/>
        <w:lvlJc w:val="left"/>
      </w:lvl>
    </w:lvlOverride>
  </w:num>
  <w:num w:numId="4">
    <w:abstractNumId w:val="11"/>
    <w:lvlOverride w:ilvl="0">
      <w:lvl w:ilvl="0">
        <w:numFmt w:val="decimal"/>
        <w:lvlText w:val="%1."/>
        <w:lvlJc w:val="left"/>
      </w:lvl>
    </w:lvlOverride>
  </w:num>
  <w:num w:numId="5">
    <w:abstractNumId w:val="12"/>
    <w:lvlOverride w:ilvl="0">
      <w:lvl w:ilvl="0">
        <w:numFmt w:val="decimal"/>
        <w:lvlText w:val="%1."/>
        <w:lvlJc w:val="left"/>
      </w:lvl>
    </w:lvlOverride>
  </w:num>
  <w:num w:numId="6">
    <w:abstractNumId w:val="2"/>
    <w:lvlOverride w:ilvl="0">
      <w:lvl w:ilvl="0">
        <w:numFmt w:val="decimal"/>
        <w:lvlText w:val="%1."/>
        <w:lvlJc w:val="left"/>
      </w:lvl>
    </w:lvlOverride>
  </w:num>
  <w:num w:numId="7">
    <w:abstractNumId w:val="3"/>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4"/>
    <w:lvlOverride w:ilvl="0">
      <w:lvl w:ilvl="0">
        <w:numFmt w:val="decimal"/>
        <w:lvlText w:val="%1."/>
        <w:lvlJc w:val="left"/>
      </w:lvl>
    </w:lvlOverride>
  </w:num>
  <w:num w:numId="10">
    <w:abstractNumId w:val="15"/>
    <w:lvlOverride w:ilvl="0">
      <w:lvl w:ilvl="0">
        <w:numFmt w:val="decimal"/>
        <w:lvlText w:val="%1."/>
        <w:lvlJc w:val="left"/>
      </w:lvl>
    </w:lvlOverride>
  </w:num>
  <w:num w:numId="11">
    <w:abstractNumId w:val="13"/>
    <w:lvlOverride w:ilvl="0">
      <w:lvl w:ilvl="0">
        <w:numFmt w:val="decimal"/>
        <w:lvlText w:val="%1."/>
        <w:lvlJc w:val="left"/>
      </w:lvl>
    </w:lvlOverride>
  </w:num>
  <w:num w:numId="12">
    <w:abstractNumId w:val="0"/>
    <w:lvlOverride w:ilvl="0">
      <w:lvl w:ilvl="0">
        <w:numFmt w:val="decimal"/>
        <w:lvlText w:val="%1."/>
        <w:lvlJc w:val="left"/>
      </w:lvl>
    </w:lvlOverride>
  </w:num>
  <w:num w:numId="13">
    <w:abstractNumId w:val="7"/>
    <w:lvlOverride w:ilvl="0">
      <w:lvl w:ilvl="0">
        <w:numFmt w:val="decimal"/>
        <w:lvlText w:val="%1."/>
        <w:lvlJc w:val="left"/>
      </w:lvl>
    </w:lvlOverride>
  </w:num>
  <w:num w:numId="14">
    <w:abstractNumId w:val="1"/>
    <w:lvlOverride w:ilvl="0">
      <w:lvl w:ilvl="0">
        <w:numFmt w:val="decimal"/>
        <w:lvlText w:val="%1."/>
        <w:lvlJc w:val="left"/>
      </w:lvl>
    </w:lvlOverride>
  </w:num>
  <w:num w:numId="15">
    <w:abstractNumId w:val="6"/>
    <w:lvlOverride w:ilvl="0">
      <w:lvl w:ilvl="0">
        <w:numFmt w:val="decimal"/>
        <w:lvlText w:val="%1."/>
        <w:lvlJc w:val="left"/>
      </w:lvl>
    </w:lvlOverride>
  </w:num>
  <w:num w:numId="16">
    <w:abstractNumId w:val="9"/>
    <w:lvlOverride w:ilvl="0">
      <w:lvl w:ilvl="0">
        <w:numFmt w:val="decimal"/>
        <w:lvlText w:val="%1."/>
        <w:lvlJc w:val="left"/>
      </w:lvl>
    </w:lvlOverride>
  </w:num>
  <w:num w:numId="17">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531"/>
    <w:rsid w:val="002A6113"/>
    <w:rsid w:val="00AD5A4A"/>
    <w:rsid w:val="00D3553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E10829"/>
  <w15:chartTrackingRefBased/>
  <w15:docId w15:val="{F16DB376-84CA-43F2-BAE9-3076D6E04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5A4A"/>
    <w:pPr>
      <w:spacing w:after="0"/>
      <w:contextualSpacing/>
    </w:pPr>
    <w:rPr>
      <w:rFonts w:asciiTheme="majorBidi" w:hAnsiTheme="majorBid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35531"/>
    <w:pPr>
      <w:spacing w:before="100" w:beforeAutospacing="1" w:after="100" w:afterAutospacing="1" w:line="240" w:lineRule="auto"/>
      <w:contextualSpacing w:val="0"/>
    </w:pPr>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013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774</Words>
  <Characters>4824</Characters>
  <Application>Microsoft Office Word</Application>
  <DocSecurity>0</DocSecurity>
  <Lines>83</Lines>
  <Paragraphs>47</Paragraphs>
  <ScaleCrop>false</ScaleCrop>
  <Company/>
  <LinksUpToDate>false</LinksUpToDate>
  <CharactersWithSpaces>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cp:revision>
  <dcterms:created xsi:type="dcterms:W3CDTF">2025-09-22T06:03:00Z</dcterms:created>
  <dcterms:modified xsi:type="dcterms:W3CDTF">2025-09-22T06:03:00Z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f5d8b633-a83a-4b05-a8d8-5db521a44b77</vt:lpwstr>
  </property>
</Properties>
</file>