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DB8A6A">
      <w:pPr>
        <w:widowControl w:val="0"/>
        <w:spacing w:after="240" w:line="360" w:lineRule="auto"/>
        <w:jc w:val="center"/>
        <w:rPr>
          <w:rFonts w:ascii="Times New Roman" w:hAnsi="Times New Roman" w:cs="Times New Roman" w:eastAsiaTheme="minorEastAsia"/>
          <w:b/>
          <w:bCs/>
          <w:kern w:val="2"/>
          <w:sz w:val="28"/>
          <w:szCs w:val="28"/>
          <w14:ligatures w14:val="standardContextual"/>
        </w:rPr>
      </w:pPr>
      <w:r>
        <w:rPr>
          <w:rFonts w:hint="eastAsia" w:ascii="Times New Roman" w:hAnsi="Times New Roman" w:cs="Times New Roman" w:eastAsiaTheme="minorEastAsia"/>
          <w:b/>
          <w:bCs/>
          <w:kern w:val="2"/>
          <w:sz w:val="28"/>
          <w:szCs w:val="28"/>
          <w14:ligatures w14:val="standardContextual"/>
        </w:rPr>
        <w:t>Supplementary Information</w:t>
      </w:r>
    </w:p>
    <w:p w14:paraId="5C59BD27">
      <w:pPr>
        <w:widowControl w:val="0"/>
        <w:spacing w:after="240" w:line="360" w:lineRule="auto"/>
        <w:jc w:val="center"/>
        <w:rPr>
          <w:rFonts w:ascii="Times New Roman" w:hAnsi="Times New Roman" w:cs="Times New Roman" w:eastAsiaTheme="minorEastAsia"/>
          <w:b/>
          <w:bCs/>
          <w:kern w:val="2"/>
          <w14:ligatures w14:val="standardContextual"/>
        </w:rPr>
      </w:pPr>
      <w:r>
        <w:rPr>
          <w:rFonts w:hint="eastAsia" w:ascii="Times New Roman" w:hAnsi="Times New Roman" w:cs="Times New Roman" w:eastAsiaTheme="minorEastAsia"/>
          <w:b/>
          <w:bCs/>
          <w:kern w:val="2"/>
          <w14:ligatures w14:val="standardContextual"/>
        </w:rPr>
        <w:t>Environmental heterogeneity shapes adaptive plasticity in symbiotic bacterial assemblages across diverse Acropora species</w:t>
      </w:r>
    </w:p>
    <w:p w14:paraId="79BA674B">
      <w:pPr>
        <w:spacing w:line="360" w:lineRule="auto"/>
        <w:rPr>
          <w:rFonts w:ascii="Times New Roman" w:hAnsi="Times New Roman" w:eastAsia="楷体" w:cs="Times New Roman"/>
        </w:rPr>
      </w:pPr>
    </w:p>
    <w:p w14:paraId="7F19982F">
      <w:pPr>
        <w:spacing w:line="360" w:lineRule="auto"/>
        <w:jc w:val="both"/>
        <w:rPr>
          <w:rFonts w:ascii="Times New Roman" w:hAnsi="Times New Roman" w:eastAsia="楷体" w:cs="Times New Roman"/>
        </w:rPr>
      </w:pPr>
      <w:r>
        <w:drawing>
          <wp:inline distT="0" distB="0" distL="0" distR="0">
            <wp:extent cx="5274310" cy="3767455"/>
            <wp:effectExtent l="0" t="0" r="2540" b="4445"/>
            <wp:docPr id="14550236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23634" name="图片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3767455"/>
                    </a:xfrm>
                    <a:prstGeom prst="rect">
                      <a:avLst/>
                    </a:prstGeom>
                    <a:noFill/>
                    <a:ln>
                      <a:noFill/>
                    </a:ln>
                  </pic:spPr>
                </pic:pic>
              </a:graphicData>
            </a:graphic>
          </wp:inline>
        </w:drawing>
      </w:r>
    </w:p>
    <w:p w14:paraId="13F051AA">
      <w:pPr>
        <w:spacing w:line="360" w:lineRule="auto"/>
        <w:jc w:val="both"/>
        <w:rPr>
          <w:rFonts w:ascii="Times New Roman" w:hAnsi="Times New Roman" w:eastAsia="楷体" w:cs="Times New Roman"/>
        </w:rPr>
      </w:pPr>
      <w:r>
        <w:rPr>
          <w:rFonts w:ascii="Times New Roman" w:hAnsi="Times New Roman" w:eastAsia="楷体" w:cs="Times New Roman"/>
          <w:b/>
          <w:bCs/>
        </w:rPr>
        <w:t>Fig</w:t>
      </w:r>
      <w:r>
        <w:rPr>
          <w:rFonts w:hint="eastAsia" w:ascii="Times New Roman" w:hAnsi="Times New Roman" w:eastAsia="楷体" w:cs="Times New Roman"/>
          <w:b/>
          <w:bCs/>
        </w:rPr>
        <w:t>.</w:t>
      </w:r>
      <w:r>
        <w:rPr>
          <w:rFonts w:ascii="Times New Roman" w:hAnsi="Times New Roman" w:eastAsia="楷体" w:cs="Times New Roman"/>
          <w:b/>
          <w:bCs/>
        </w:rPr>
        <w:t xml:space="preserve"> S</w:t>
      </w:r>
      <w:r>
        <w:rPr>
          <w:rFonts w:hint="eastAsia" w:ascii="Times New Roman" w:hAnsi="Times New Roman" w:eastAsia="楷体" w:cs="Times New Roman"/>
          <w:b/>
          <w:bCs/>
        </w:rPr>
        <w:t>1</w:t>
      </w:r>
      <w:r>
        <w:rPr>
          <w:rFonts w:ascii="Times New Roman" w:hAnsi="Times New Roman" w:eastAsia="楷体" w:cs="Times New Roman"/>
          <w:b/>
          <w:bCs/>
        </w:rPr>
        <w:t xml:space="preserve"> </w:t>
      </w:r>
      <w:r>
        <w:rPr>
          <w:rFonts w:hint="eastAsia" w:ascii="Times New Roman" w:hAnsi="Times New Roman" w:eastAsia="楷体" w:cs="Times New Roman"/>
        </w:rPr>
        <w:t>Differences in twelve environmental factors and scleractinian coral cover between the MJ and BW reef areas</w:t>
      </w:r>
      <w:r>
        <w:rPr>
          <w:rFonts w:ascii="Times New Roman" w:hAnsi="Times New Roman" w:eastAsia="楷体" w:cs="Times New Roman"/>
        </w:rPr>
        <w:t>.</w:t>
      </w:r>
      <w:r>
        <w:rPr>
          <w:rFonts w:hint="eastAsia"/>
        </w:rPr>
        <w:t xml:space="preserve"> </w:t>
      </w:r>
      <w:r>
        <w:rPr>
          <w:rFonts w:hint="eastAsia" w:ascii="Times New Roman" w:hAnsi="Times New Roman" w:eastAsia="楷体" w:cs="Times New Roman"/>
        </w:rPr>
        <w:t>Data are presented as mean ± SEM. Asterisks denote significant differences (*p* &lt; 0.05, **p* &lt; 0.01) based on Wilcoxon rank-sum tests.</w:t>
      </w:r>
    </w:p>
    <w:p w14:paraId="0579B3B7">
      <w:pPr>
        <w:spacing w:line="360" w:lineRule="auto"/>
        <w:jc w:val="both"/>
        <w:rPr>
          <w:rFonts w:ascii="Times New Roman" w:hAnsi="Times New Roman" w:eastAsia="楷体" w:cs="Times New Roman"/>
        </w:rPr>
      </w:pPr>
    </w:p>
    <w:p w14:paraId="42DAA3B6">
      <w:pPr>
        <w:spacing w:line="360" w:lineRule="auto"/>
        <w:jc w:val="both"/>
        <w:rPr>
          <w:rFonts w:hint="eastAsia" w:ascii="Times New Roman" w:hAnsi="Times New Roman" w:eastAsia="楷体" w:cs="Times New Roman"/>
          <w:lang w:eastAsia="zh-CN"/>
        </w:rPr>
      </w:pPr>
      <w:r>
        <w:rPr>
          <w:rFonts w:hint="eastAsia" w:ascii="Times New Roman" w:hAnsi="Times New Roman" w:eastAsia="楷体" w:cs="Times New Roman"/>
          <w:lang w:eastAsia="zh-CN"/>
        </w:rPr>
        <w:drawing>
          <wp:inline distT="0" distB="0" distL="114300" distR="114300">
            <wp:extent cx="5273040" cy="3693160"/>
            <wp:effectExtent l="0" t="0" r="5715" b="9525"/>
            <wp:docPr id="2" name="图片 2" descr="lefse差异分析圈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efse差异分析圈图-01"/>
                    <pic:cNvPicPr>
                      <a:picLocks noChangeAspect="1"/>
                    </pic:cNvPicPr>
                  </pic:nvPicPr>
                  <pic:blipFill>
                    <a:blip r:embed="rId5"/>
                    <a:stretch>
                      <a:fillRect/>
                    </a:stretch>
                  </pic:blipFill>
                  <pic:spPr>
                    <a:xfrm>
                      <a:off x="0" y="0"/>
                      <a:ext cx="5273040" cy="3693160"/>
                    </a:xfrm>
                    <a:prstGeom prst="rect">
                      <a:avLst/>
                    </a:prstGeom>
                  </pic:spPr>
                </pic:pic>
              </a:graphicData>
            </a:graphic>
          </wp:inline>
        </w:drawing>
      </w:r>
      <w:bookmarkStart w:id="1" w:name="_GoBack"/>
      <w:bookmarkEnd w:id="1"/>
    </w:p>
    <w:p w14:paraId="58C76724">
      <w:pPr>
        <w:spacing w:line="360" w:lineRule="auto"/>
        <w:jc w:val="both"/>
        <w:rPr>
          <w:rFonts w:ascii="Times New Roman" w:hAnsi="Times New Roman" w:eastAsia="楷体" w:cs="Times New Roman"/>
        </w:rPr>
      </w:pPr>
      <w:r>
        <w:rPr>
          <w:rFonts w:ascii="Times New Roman" w:hAnsi="Times New Roman" w:eastAsia="楷体" w:cs="Times New Roman"/>
          <w:b/>
          <w:bCs/>
        </w:rPr>
        <w:t xml:space="preserve"> Fig</w:t>
      </w:r>
      <w:r>
        <w:rPr>
          <w:rFonts w:hint="eastAsia" w:ascii="Times New Roman" w:hAnsi="Times New Roman" w:eastAsia="楷体" w:cs="Times New Roman"/>
          <w:b/>
          <w:bCs/>
        </w:rPr>
        <w:t>.</w:t>
      </w:r>
      <w:r>
        <w:rPr>
          <w:rFonts w:ascii="Times New Roman" w:hAnsi="Times New Roman" w:eastAsia="楷体" w:cs="Times New Roman"/>
          <w:b/>
          <w:bCs/>
        </w:rPr>
        <w:t xml:space="preserve"> S</w:t>
      </w:r>
      <w:r>
        <w:rPr>
          <w:rFonts w:hint="eastAsia" w:ascii="Times New Roman" w:hAnsi="Times New Roman" w:eastAsia="楷体" w:cs="Times New Roman"/>
          <w:b/>
          <w:bCs/>
        </w:rPr>
        <w:t xml:space="preserve">2 </w:t>
      </w:r>
      <w:r>
        <w:rPr>
          <w:rFonts w:hint="eastAsia" w:ascii="Times New Roman" w:hAnsi="Times New Roman" w:eastAsia="楷体" w:cs="Times New Roman"/>
        </w:rPr>
        <w:t>Phylogenetic tree of Lefse analysis results for coral microbiomes in the MJ and BW reef areas</w:t>
      </w:r>
      <w:r>
        <w:rPr>
          <w:rFonts w:ascii="Times New Roman" w:hAnsi="Times New Roman" w:eastAsia="楷体" w:cs="Times New Roman"/>
        </w:rPr>
        <w:t>.</w:t>
      </w:r>
    </w:p>
    <w:p w14:paraId="74CCAABD">
      <w:pPr>
        <w:spacing w:line="360" w:lineRule="auto"/>
        <w:jc w:val="both"/>
        <w:rPr>
          <w:rFonts w:ascii="Times New Roman" w:hAnsi="Times New Roman" w:eastAsia="楷体" w:cs="Times New Roman"/>
        </w:rPr>
      </w:pPr>
    </w:p>
    <w:p w14:paraId="6ABF0C9E">
      <w:pPr>
        <w:spacing w:line="360" w:lineRule="auto"/>
        <w:jc w:val="center"/>
        <w:rPr>
          <w:rFonts w:ascii="Times New Roman" w:hAnsi="Times New Roman" w:eastAsia="楷体" w:cs="Times New Roman"/>
        </w:rPr>
      </w:pPr>
      <w:r>
        <w:drawing>
          <wp:inline distT="0" distB="0" distL="0" distR="0">
            <wp:extent cx="4312920" cy="7924800"/>
            <wp:effectExtent l="0" t="0" r="0" b="0"/>
            <wp:docPr id="495949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49473"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312920" cy="7924800"/>
                    </a:xfrm>
                    <a:prstGeom prst="rect">
                      <a:avLst/>
                    </a:prstGeom>
                    <a:noFill/>
                    <a:ln>
                      <a:noFill/>
                    </a:ln>
                  </pic:spPr>
                </pic:pic>
              </a:graphicData>
            </a:graphic>
          </wp:inline>
        </w:drawing>
      </w:r>
    </w:p>
    <w:p w14:paraId="3E540242">
      <w:pPr>
        <w:spacing w:line="360" w:lineRule="auto"/>
        <w:jc w:val="both"/>
        <w:rPr>
          <w:rFonts w:ascii="Times New Roman" w:hAnsi="Times New Roman" w:eastAsia="楷体" w:cs="Times New Roman"/>
        </w:rPr>
      </w:pPr>
      <w:bookmarkStart w:id="0" w:name="OLE_LINK1"/>
      <w:r>
        <w:rPr>
          <w:rFonts w:ascii="Times New Roman" w:hAnsi="Times New Roman" w:eastAsia="楷体" w:cs="Times New Roman"/>
          <w:b/>
          <w:bCs/>
        </w:rPr>
        <w:t>Fig</w:t>
      </w:r>
      <w:r>
        <w:rPr>
          <w:rFonts w:hint="eastAsia" w:ascii="Times New Roman" w:hAnsi="Times New Roman" w:eastAsia="楷体" w:cs="Times New Roman"/>
          <w:b/>
          <w:bCs/>
        </w:rPr>
        <w:t>.</w:t>
      </w:r>
      <w:r>
        <w:rPr>
          <w:rFonts w:ascii="Times New Roman" w:hAnsi="Times New Roman" w:eastAsia="楷体" w:cs="Times New Roman"/>
          <w:b/>
          <w:bCs/>
        </w:rPr>
        <w:t xml:space="preserve"> </w:t>
      </w:r>
      <w:bookmarkEnd w:id="0"/>
      <w:r>
        <w:rPr>
          <w:rFonts w:ascii="Times New Roman" w:hAnsi="Times New Roman" w:eastAsia="楷体" w:cs="Times New Roman"/>
          <w:b/>
          <w:bCs/>
        </w:rPr>
        <w:t>S</w:t>
      </w:r>
      <w:r>
        <w:rPr>
          <w:rFonts w:hint="eastAsia" w:ascii="Times New Roman" w:hAnsi="Times New Roman" w:eastAsia="楷体" w:cs="Times New Roman"/>
          <w:b/>
          <w:bCs/>
        </w:rPr>
        <w:t>3</w:t>
      </w:r>
      <w:r>
        <w:rPr>
          <w:rFonts w:hint="eastAsia" w:ascii="Times New Roman" w:hAnsi="Times New Roman" w:eastAsia="楷体" w:cs="Times New Roman"/>
        </w:rPr>
        <w:t xml:space="preserve"> Radar chart showing the internal topological properties of modules containing more than 10 microbial taxa extracted from the collinearity networks of MJ (left) and BW (right) coral microbial communities. N denotes the number of nodes, E denotes the number of edges, AvgDeg denotes the average degree, Den denotes network density, CC denotes the clustering coefficient, APL denotes the average path length, Dia denotes network diameter, Avg.r. denotes the mean absolute correlation coefficient, Med.r. denotes the median absolute correlation coefficient, TCoh denotes total cohesion, ConnStr denotes connection strength, AvgStr denotes average node strength, and AvgDC denotes average degree centrality.</w:t>
      </w:r>
    </w:p>
    <w:p w14:paraId="45D83F81">
      <w:pPr>
        <w:rPr>
          <w:rFonts w:ascii="Times New Roman" w:hAnsi="Times New Roman" w:eastAsia="楷体" w:cs="Times New Roman"/>
        </w:rPr>
      </w:pPr>
      <w:r>
        <w:rPr>
          <w:rFonts w:ascii="Times New Roman" w:hAnsi="Times New Roman" w:eastAsia="楷体" w:cs="Times New Roman"/>
        </w:rPr>
        <w:br w:type="page"/>
      </w:r>
    </w:p>
    <w:p w14:paraId="6F84E6D7">
      <w:pPr>
        <w:spacing w:line="360" w:lineRule="auto"/>
        <w:jc w:val="both"/>
        <w:rPr>
          <w:rFonts w:ascii="Times New Roman" w:hAnsi="Times New Roman" w:eastAsia="楷体" w:cs="Times New Roman"/>
        </w:rPr>
      </w:pPr>
    </w:p>
    <w:p w14:paraId="140907BD">
      <w:pPr>
        <w:spacing w:line="360" w:lineRule="auto"/>
        <w:jc w:val="center"/>
        <w:rPr>
          <w:rFonts w:ascii="Times New Roman" w:hAnsi="Times New Roman" w:eastAsia="楷体" w:cs="Times New Roman"/>
        </w:rPr>
      </w:pPr>
      <w:r>
        <w:rPr>
          <w:rFonts w:hint="eastAsia" w:ascii="Times New Roman" w:hAnsi="Times New Roman" w:eastAsia="楷体" w:cs="Times New Roman"/>
        </w:rPr>
        <w:drawing>
          <wp:inline distT="0" distB="0" distL="114300" distR="114300">
            <wp:extent cx="5268595" cy="2596515"/>
            <wp:effectExtent l="0" t="0" r="10160" b="5080"/>
            <wp:docPr id="1" name="图片 1" descr="附图-小网络-按照功能对应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图-小网络-按照功能对应_画板 1"/>
                    <pic:cNvPicPr>
                      <a:picLocks noChangeAspect="1"/>
                    </pic:cNvPicPr>
                  </pic:nvPicPr>
                  <pic:blipFill>
                    <a:blip r:embed="rId7"/>
                    <a:stretch>
                      <a:fillRect/>
                    </a:stretch>
                  </pic:blipFill>
                  <pic:spPr>
                    <a:xfrm>
                      <a:off x="0" y="0"/>
                      <a:ext cx="5268595" cy="2596515"/>
                    </a:xfrm>
                    <a:prstGeom prst="rect">
                      <a:avLst/>
                    </a:prstGeom>
                  </pic:spPr>
                </pic:pic>
              </a:graphicData>
            </a:graphic>
          </wp:inline>
        </w:drawing>
      </w:r>
    </w:p>
    <w:p w14:paraId="397AA943">
      <w:pPr>
        <w:spacing w:line="360" w:lineRule="auto"/>
        <w:jc w:val="both"/>
        <w:rPr>
          <w:rFonts w:ascii="Times New Roman" w:hAnsi="Times New Roman" w:eastAsia="楷体" w:cs="Times New Roman"/>
        </w:rPr>
      </w:pPr>
      <w:r>
        <w:rPr>
          <w:rFonts w:ascii="Times New Roman" w:hAnsi="Times New Roman" w:eastAsia="楷体" w:cs="Times New Roman"/>
          <w:b/>
          <w:bCs/>
        </w:rPr>
        <w:t>Fig</w:t>
      </w:r>
      <w:r>
        <w:rPr>
          <w:rFonts w:hint="eastAsia" w:ascii="Times New Roman" w:hAnsi="Times New Roman" w:eastAsia="楷体" w:cs="Times New Roman"/>
          <w:b/>
          <w:bCs/>
        </w:rPr>
        <w:t>.</w:t>
      </w:r>
      <w:r>
        <w:rPr>
          <w:rFonts w:ascii="Times New Roman" w:hAnsi="Times New Roman" w:eastAsia="楷体" w:cs="Times New Roman"/>
          <w:b/>
          <w:bCs/>
        </w:rPr>
        <w:t xml:space="preserve"> S</w:t>
      </w:r>
      <w:r>
        <w:rPr>
          <w:rFonts w:hint="eastAsia" w:ascii="Times New Roman" w:hAnsi="Times New Roman" w:eastAsia="楷体" w:cs="Times New Roman"/>
          <w:b/>
          <w:bCs/>
        </w:rPr>
        <w:t>4</w:t>
      </w:r>
      <w:r>
        <w:rPr>
          <w:rFonts w:ascii="Times New Roman" w:hAnsi="Times New Roman" w:eastAsia="楷体" w:cs="Times New Roman"/>
          <w:b/>
          <w:bCs/>
        </w:rPr>
        <w:t xml:space="preserve"> </w:t>
      </w:r>
      <w:r>
        <w:rPr>
          <w:rFonts w:hint="eastAsia" w:ascii="Times New Roman" w:hAnsi="Times New Roman" w:eastAsia="楷体" w:cs="Times New Roman"/>
        </w:rPr>
        <w:t xml:space="preserve">Modules containing more than 10 microbial taxa extracted from the collinearity networks of MJ (left) and BW (right) coral microbial communities, where identical node colors represent functionally similar modules. In the BW1–MJ5 pair, BW1 is characterized by a community structure dominated by typical marine heterotrophic and surface/particle-associated lineages (including multiple Alpha- and Gammaproteobacteria and Bacteroidota-related groups), whereas MJ5 contains a larger fraction of poorly classified marine clades and deep-water/sediment-associated lineages, indicating a shifted ecological background despite functional similarity. This pattern recurs across other paired modules: MJ2 and BW3 are enriched in fast-growing, opportunistic marine heterotrophs (e.g., </w:t>
      </w:r>
      <w:r>
        <w:rPr>
          <w:rFonts w:hint="eastAsia" w:ascii="Times New Roman" w:hAnsi="Times New Roman" w:eastAsia="楷体" w:cs="Times New Roman"/>
          <w:i/>
          <w:iCs/>
        </w:rPr>
        <w:t>Alteromonas</w:t>
      </w:r>
      <w:r>
        <w:rPr>
          <w:rFonts w:hint="eastAsia" w:ascii="Times New Roman" w:hAnsi="Times New Roman" w:eastAsia="楷体" w:cs="Times New Roman"/>
        </w:rPr>
        <w:t xml:space="preserve">- related, </w:t>
      </w:r>
      <w:r>
        <w:rPr>
          <w:rFonts w:hint="eastAsia" w:ascii="Times New Roman" w:hAnsi="Times New Roman" w:eastAsia="楷体" w:cs="Times New Roman"/>
          <w:i/>
          <w:iCs/>
        </w:rPr>
        <w:t>Vibrio</w:t>
      </w:r>
      <w:r>
        <w:rPr>
          <w:rFonts w:hint="eastAsia" w:ascii="Times New Roman" w:hAnsi="Times New Roman" w:eastAsia="楷体" w:cs="Times New Roman"/>
        </w:rPr>
        <w:t xml:space="preserve">- related, and </w:t>
      </w:r>
      <w:r>
        <w:rPr>
          <w:rFonts w:hint="eastAsia" w:ascii="Times New Roman" w:hAnsi="Times New Roman" w:eastAsia="楷体" w:cs="Times New Roman"/>
          <w:i/>
          <w:iCs/>
        </w:rPr>
        <w:t>Pseudoalteromonas</w:t>
      </w:r>
      <w:r>
        <w:rPr>
          <w:rFonts w:hint="eastAsia" w:ascii="Times New Roman" w:hAnsi="Times New Roman" w:eastAsia="楷体" w:cs="Times New Roman"/>
        </w:rPr>
        <w:t xml:space="preserve">-related taxa), while MJ4 incorporates phototrophic/biogeochemically relevant cyanobacterial members (e.g., </w:t>
      </w:r>
      <w:r>
        <w:rPr>
          <w:rFonts w:hint="eastAsia" w:ascii="Times New Roman" w:hAnsi="Times New Roman" w:eastAsia="楷体" w:cs="Times New Roman"/>
          <w:i/>
          <w:iCs/>
        </w:rPr>
        <w:t>Trichodesmium</w:t>
      </w:r>
      <w:r>
        <w:rPr>
          <w:rFonts w:hint="eastAsia" w:ascii="Times New Roman" w:hAnsi="Times New Roman" w:eastAsia="楷体" w:cs="Times New Roman"/>
        </w:rPr>
        <w:t xml:space="preserve">) together with putative polysaccharide-degrading and particle-attached bacteria. MJ1 was enriched in </w:t>
      </w:r>
      <w:r>
        <w:rPr>
          <w:rFonts w:hint="eastAsia" w:ascii="Times New Roman" w:hAnsi="Times New Roman" w:eastAsia="楷体" w:cs="Times New Roman"/>
          <w:i/>
          <w:iCs/>
        </w:rPr>
        <w:t>Corynebacterium</w:t>
      </w:r>
      <w:r>
        <w:rPr>
          <w:rFonts w:hint="eastAsia" w:ascii="Times New Roman" w:hAnsi="Times New Roman" w:eastAsia="楷体" w:cs="Times New Roman"/>
        </w:rPr>
        <w:t xml:space="preserve">, </w:t>
      </w:r>
      <w:r>
        <w:rPr>
          <w:rFonts w:hint="eastAsia" w:ascii="Times New Roman" w:hAnsi="Times New Roman" w:eastAsia="楷体" w:cs="Times New Roman"/>
          <w:i/>
          <w:iCs/>
        </w:rPr>
        <w:t>Mycobacterium</w:t>
      </w:r>
      <w:r>
        <w:rPr>
          <w:rFonts w:hint="eastAsia" w:ascii="Times New Roman" w:hAnsi="Times New Roman" w:eastAsia="楷体" w:cs="Times New Roman"/>
        </w:rPr>
        <w:t xml:space="preserve">, </w:t>
      </w:r>
      <w:r>
        <w:rPr>
          <w:rFonts w:hint="eastAsia" w:ascii="Times New Roman" w:hAnsi="Times New Roman" w:eastAsia="楷体" w:cs="Times New Roman"/>
          <w:i/>
          <w:iCs/>
        </w:rPr>
        <w:t>Staphylococcus</w:t>
      </w:r>
      <w:r>
        <w:rPr>
          <w:rFonts w:hint="eastAsia" w:ascii="Times New Roman" w:hAnsi="Times New Roman" w:eastAsia="楷体" w:cs="Times New Roman"/>
        </w:rPr>
        <w:t xml:space="preserve">, and </w:t>
      </w:r>
      <w:r>
        <w:rPr>
          <w:rFonts w:hint="eastAsia" w:ascii="Times New Roman" w:hAnsi="Times New Roman" w:eastAsia="楷体" w:cs="Times New Roman"/>
          <w:i/>
          <w:iCs/>
        </w:rPr>
        <w:t>Streptococcus</w:t>
      </w:r>
      <w:r>
        <w:rPr>
          <w:rFonts w:hint="eastAsia" w:ascii="Times New Roman" w:hAnsi="Times New Roman" w:eastAsia="楷体" w:cs="Times New Roman"/>
        </w:rPr>
        <w:t>, whereas its BW counterpart exhibited a more marine-affiliated, particle-associated taxonomic signature. (Table S8, S9).</w:t>
      </w:r>
    </w:p>
    <w:p w14:paraId="31BC53BF">
      <w:pPr>
        <w:spacing w:after="160" w:line="278" w:lineRule="auto"/>
        <w:rPr>
          <w:rFonts w:ascii="Times New Roman" w:hAnsi="Times New Roman" w:eastAsia="楷体" w:cs="Times New Roman"/>
          <w:b/>
          <w:bCs/>
        </w:rPr>
      </w:pPr>
      <w:r>
        <w:rPr>
          <w:rFonts w:ascii="Times New Roman" w:hAnsi="Times New Roman" w:eastAsia="楷体" w:cs="Times New Roman"/>
          <w:b/>
          <w:bCs/>
        </w:rPr>
        <w:br w:type="page"/>
      </w:r>
    </w:p>
    <w:p w14:paraId="20E58926">
      <w:pPr>
        <w:spacing w:line="360" w:lineRule="auto"/>
        <w:jc w:val="both"/>
        <w:rPr>
          <w:rFonts w:ascii="Times New Roman" w:hAnsi="Times New Roman" w:eastAsia="楷体" w:cs="Times New Roman"/>
        </w:rPr>
      </w:pPr>
      <w:r>
        <w:rPr>
          <w:rFonts w:ascii="Times New Roman" w:hAnsi="Times New Roman" w:eastAsia="楷体" w:cs="Times New Roman"/>
          <w:b/>
          <w:bCs/>
        </w:rPr>
        <w:t>Table S</w:t>
      </w:r>
      <w:r>
        <w:rPr>
          <w:rFonts w:hint="eastAsia" w:ascii="Times New Roman" w:hAnsi="Times New Roman" w:eastAsia="楷体" w:cs="Times New Roman"/>
          <w:b/>
          <w:bCs/>
        </w:rPr>
        <w:t>1</w:t>
      </w:r>
      <w:r>
        <w:rPr>
          <w:rFonts w:ascii="Times New Roman" w:hAnsi="Times New Roman" w:cs="Times New Roman"/>
        </w:rPr>
        <w:t xml:space="preserve"> </w:t>
      </w:r>
      <w:r>
        <w:rPr>
          <w:rFonts w:hint="eastAsia" w:ascii="Times New Roman" w:hAnsi="Times New Roman" w:eastAsia="楷体" w:cs="Times New Roman"/>
        </w:rPr>
        <w:t>Environmental Factors and Reef-Building Coral Cover Data of MJ Reef.</w:t>
      </w:r>
    </w:p>
    <w:tbl>
      <w:tblPr>
        <w:tblStyle w:val="16"/>
        <w:tblW w:w="8448"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70"/>
        <w:gridCol w:w="1476"/>
        <w:gridCol w:w="1502"/>
        <w:gridCol w:w="1515"/>
        <w:gridCol w:w="1476"/>
        <w:gridCol w:w="1476"/>
      </w:tblGrid>
      <w:tr w14:paraId="0161EBA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170" w:type="dxa"/>
            <w:tcBorders>
              <w:top w:val="single" w:color="auto" w:sz="4" w:space="0"/>
              <w:bottom w:val="single" w:color="auto" w:sz="4" w:space="0"/>
            </w:tcBorders>
            <w:noWrap/>
            <w:vAlign w:val="center"/>
          </w:tcPr>
          <w:p w14:paraId="20CB4A94">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Location</w:t>
            </w:r>
          </w:p>
        </w:tc>
        <w:tc>
          <w:tcPr>
            <w:tcW w:w="1433" w:type="dxa"/>
            <w:tcBorders>
              <w:top w:val="single" w:color="auto" w:sz="4" w:space="0"/>
              <w:bottom w:val="single" w:color="auto" w:sz="4" w:space="0"/>
            </w:tcBorders>
            <w:noWrap/>
            <w:vAlign w:val="center"/>
          </w:tcPr>
          <w:p w14:paraId="31F8C617">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MJ3</w:t>
            </w:r>
          </w:p>
        </w:tc>
        <w:tc>
          <w:tcPr>
            <w:tcW w:w="1502" w:type="dxa"/>
            <w:tcBorders>
              <w:top w:val="single" w:color="auto" w:sz="4" w:space="0"/>
              <w:bottom w:val="single" w:color="auto" w:sz="4" w:space="0"/>
            </w:tcBorders>
            <w:noWrap/>
            <w:vAlign w:val="center"/>
          </w:tcPr>
          <w:p w14:paraId="2FD42E48">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MJ4</w:t>
            </w:r>
          </w:p>
        </w:tc>
        <w:tc>
          <w:tcPr>
            <w:tcW w:w="1515" w:type="dxa"/>
            <w:tcBorders>
              <w:top w:val="single" w:color="auto" w:sz="4" w:space="0"/>
              <w:bottom w:val="single" w:color="auto" w:sz="4" w:space="0"/>
            </w:tcBorders>
            <w:noWrap/>
            <w:vAlign w:val="center"/>
          </w:tcPr>
          <w:p w14:paraId="7A005665">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MJ5</w:t>
            </w:r>
          </w:p>
        </w:tc>
        <w:tc>
          <w:tcPr>
            <w:tcW w:w="1414" w:type="dxa"/>
            <w:tcBorders>
              <w:top w:val="single" w:color="auto" w:sz="4" w:space="0"/>
              <w:bottom w:val="single" w:color="auto" w:sz="4" w:space="0"/>
            </w:tcBorders>
            <w:noWrap/>
            <w:vAlign w:val="center"/>
          </w:tcPr>
          <w:p w14:paraId="79FF6383">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MJ6</w:t>
            </w:r>
          </w:p>
        </w:tc>
        <w:tc>
          <w:tcPr>
            <w:tcW w:w="1414" w:type="dxa"/>
            <w:tcBorders>
              <w:top w:val="single" w:color="auto" w:sz="4" w:space="0"/>
              <w:bottom w:val="single" w:color="auto" w:sz="4" w:space="0"/>
            </w:tcBorders>
            <w:noWrap/>
            <w:vAlign w:val="center"/>
          </w:tcPr>
          <w:p w14:paraId="55999E7C">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MJ2</w:t>
            </w:r>
          </w:p>
        </w:tc>
      </w:tr>
      <w:tr w14:paraId="4E9104B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170" w:type="dxa"/>
            <w:tcBorders>
              <w:top w:val="single" w:color="auto" w:sz="4" w:space="0"/>
            </w:tcBorders>
            <w:noWrap/>
            <w:vAlign w:val="center"/>
          </w:tcPr>
          <w:p w14:paraId="249AB2D3">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PO4</w:t>
            </w:r>
          </w:p>
        </w:tc>
        <w:tc>
          <w:tcPr>
            <w:tcW w:w="1433" w:type="dxa"/>
            <w:tcBorders>
              <w:top w:val="single" w:color="auto" w:sz="4" w:space="0"/>
            </w:tcBorders>
            <w:noWrap/>
            <w:vAlign w:val="center"/>
          </w:tcPr>
          <w:p w14:paraId="5DCB08DE">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0.007344925</w:t>
            </w:r>
          </w:p>
        </w:tc>
        <w:tc>
          <w:tcPr>
            <w:tcW w:w="1502" w:type="dxa"/>
            <w:tcBorders>
              <w:top w:val="single" w:color="auto" w:sz="4" w:space="0"/>
            </w:tcBorders>
            <w:noWrap/>
            <w:vAlign w:val="center"/>
          </w:tcPr>
          <w:p w14:paraId="5120052D">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0.007130035</w:t>
            </w:r>
          </w:p>
        </w:tc>
        <w:tc>
          <w:tcPr>
            <w:tcW w:w="1515" w:type="dxa"/>
            <w:tcBorders>
              <w:top w:val="single" w:color="auto" w:sz="4" w:space="0"/>
            </w:tcBorders>
            <w:noWrap/>
            <w:vAlign w:val="center"/>
          </w:tcPr>
          <w:p w14:paraId="54736D4F">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0.007285835</w:t>
            </w:r>
          </w:p>
        </w:tc>
        <w:tc>
          <w:tcPr>
            <w:tcW w:w="1414" w:type="dxa"/>
            <w:tcBorders>
              <w:top w:val="single" w:color="auto" w:sz="4" w:space="0"/>
            </w:tcBorders>
            <w:noWrap/>
            <w:vAlign w:val="center"/>
          </w:tcPr>
          <w:p w14:paraId="6B3540FE">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0.006801715</w:t>
            </w:r>
          </w:p>
        </w:tc>
        <w:tc>
          <w:tcPr>
            <w:tcW w:w="1414" w:type="dxa"/>
            <w:tcBorders>
              <w:top w:val="single" w:color="auto" w:sz="4" w:space="0"/>
            </w:tcBorders>
            <w:noWrap/>
            <w:vAlign w:val="center"/>
          </w:tcPr>
          <w:p w14:paraId="750B538B">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0.00735091</w:t>
            </w:r>
          </w:p>
        </w:tc>
      </w:tr>
      <w:tr w14:paraId="386EDF0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170" w:type="dxa"/>
            <w:noWrap/>
            <w:vAlign w:val="center"/>
          </w:tcPr>
          <w:p w14:paraId="2C6DC442">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SI</w:t>
            </w:r>
          </w:p>
        </w:tc>
        <w:tc>
          <w:tcPr>
            <w:tcW w:w="1433" w:type="dxa"/>
            <w:noWrap/>
            <w:vAlign w:val="center"/>
          </w:tcPr>
          <w:p w14:paraId="0A0ED62C">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0.0598192</w:t>
            </w:r>
          </w:p>
        </w:tc>
        <w:tc>
          <w:tcPr>
            <w:tcW w:w="1502" w:type="dxa"/>
            <w:noWrap/>
            <w:vAlign w:val="center"/>
          </w:tcPr>
          <w:p w14:paraId="763B0051">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0.0626472</w:t>
            </w:r>
          </w:p>
        </w:tc>
        <w:tc>
          <w:tcPr>
            <w:tcW w:w="1515" w:type="dxa"/>
            <w:noWrap/>
            <w:vAlign w:val="center"/>
          </w:tcPr>
          <w:p w14:paraId="50881551">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0.0610316</w:t>
            </w:r>
          </w:p>
        </w:tc>
        <w:tc>
          <w:tcPr>
            <w:tcW w:w="1414" w:type="dxa"/>
            <w:noWrap/>
            <w:vAlign w:val="center"/>
          </w:tcPr>
          <w:p w14:paraId="0FA6A1DD">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0.0667464</w:t>
            </w:r>
          </w:p>
        </w:tc>
        <w:tc>
          <w:tcPr>
            <w:tcW w:w="1414" w:type="dxa"/>
            <w:noWrap/>
            <w:vAlign w:val="center"/>
          </w:tcPr>
          <w:p w14:paraId="069C622C">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0.0600068</w:t>
            </w:r>
          </w:p>
        </w:tc>
      </w:tr>
      <w:tr w14:paraId="242CF31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170" w:type="dxa"/>
            <w:noWrap/>
            <w:vAlign w:val="center"/>
          </w:tcPr>
          <w:p w14:paraId="106E7CAA">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SWV</w:t>
            </w:r>
          </w:p>
        </w:tc>
        <w:tc>
          <w:tcPr>
            <w:tcW w:w="1433" w:type="dxa"/>
            <w:noWrap/>
            <w:vAlign w:val="center"/>
          </w:tcPr>
          <w:p w14:paraId="79B141EC">
            <w:pPr>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0.14504</w:t>
            </w:r>
          </w:p>
        </w:tc>
        <w:tc>
          <w:tcPr>
            <w:tcW w:w="1502" w:type="dxa"/>
            <w:noWrap/>
            <w:vAlign w:val="center"/>
          </w:tcPr>
          <w:p w14:paraId="203AF578">
            <w:pPr>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0.096003</w:t>
            </w:r>
          </w:p>
        </w:tc>
        <w:tc>
          <w:tcPr>
            <w:tcW w:w="1515" w:type="dxa"/>
            <w:noWrap/>
            <w:vAlign w:val="center"/>
          </w:tcPr>
          <w:p w14:paraId="10E7C474">
            <w:pPr>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0.061993</w:t>
            </w:r>
          </w:p>
        </w:tc>
        <w:tc>
          <w:tcPr>
            <w:tcW w:w="1414" w:type="dxa"/>
            <w:noWrap/>
            <w:vAlign w:val="center"/>
          </w:tcPr>
          <w:p w14:paraId="26685109">
            <w:pPr>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0.12607</w:t>
            </w:r>
          </w:p>
        </w:tc>
        <w:tc>
          <w:tcPr>
            <w:tcW w:w="1414" w:type="dxa"/>
            <w:noWrap/>
            <w:vAlign w:val="center"/>
          </w:tcPr>
          <w:p w14:paraId="0AF99745">
            <w:pPr>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0.089553</w:t>
            </w:r>
          </w:p>
        </w:tc>
      </w:tr>
      <w:tr w14:paraId="544BD8A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170" w:type="dxa"/>
            <w:noWrap/>
            <w:vAlign w:val="center"/>
          </w:tcPr>
          <w:p w14:paraId="6B771FC2">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NPPV</w:t>
            </w:r>
          </w:p>
        </w:tc>
        <w:tc>
          <w:tcPr>
            <w:tcW w:w="1433" w:type="dxa"/>
            <w:noWrap/>
            <w:vAlign w:val="center"/>
          </w:tcPr>
          <w:p w14:paraId="540A4438">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5.9575</w:t>
            </w:r>
          </w:p>
        </w:tc>
        <w:tc>
          <w:tcPr>
            <w:tcW w:w="1502" w:type="dxa"/>
            <w:noWrap/>
            <w:vAlign w:val="center"/>
          </w:tcPr>
          <w:p w14:paraId="28E8042B">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5.9212</w:t>
            </w:r>
          </w:p>
        </w:tc>
        <w:tc>
          <w:tcPr>
            <w:tcW w:w="1515" w:type="dxa"/>
            <w:noWrap/>
            <w:vAlign w:val="center"/>
          </w:tcPr>
          <w:p w14:paraId="67F4A7B5">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5.8265</w:t>
            </w:r>
          </w:p>
        </w:tc>
        <w:tc>
          <w:tcPr>
            <w:tcW w:w="1414" w:type="dxa"/>
            <w:noWrap/>
            <w:vAlign w:val="center"/>
          </w:tcPr>
          <w:p w14:paraId="2FD2AC89">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5.5597</w:t>
            </w:r>
          </w:p>
        </w:tc>
        <w:tc>
          <w:tcPr>
            <w:tcW w:w="1414" w:type="dxa"/>
            <w:noWrap/>
            <w:vAlign w:val="center"/>
          </w:tcPr>
          <w:p w14:paraId="4031DF2F">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6.0744</w:t>
            </w:r>
          </w:p>
        </w:tc>
      </w:tr>
      <w:tr w14:paraId="55DE74C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170" w:type="dxa"/>
            <w:noWrap/>
            <w:vAlign w:val="center"/>
          </w:tcPr>
          <w:p w14:paraId="7CC2680F">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DIC</w:t>
            </w:r>
          </w:p>
        </w:tc>
        <w:tc>
          <w:tcPr>
            <w:tcW w:w="1433" w:type="dxa"/>
            <w:noWrap/>
            <w:vAlign w:val="center"/>
          </w:tcPr>
          <w:p w14:paraId="491F03E8">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2.005</w:t>
            </w:r>
          </w:p>
        </w:tc>
        <w:tc>
          <w:tcPr>
            <w:tcW w:w="1502" w:type="dxa"/>
            <w:noWrap/>
            <w:vAlign w:val="center"/>
          </w:tcPr>
          <w:p w14:paraId="45E5A9E2">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2.0057</w:t>
            </w:r>
          </w:p>
        </w:tc>
        <w:tc>
          <w:tcPr>
            <w:tcW w:w="1515" w:type="dxa"/>
            <w:noWrap/>
            <w:vAlign w:val="center"/>
          </w:tcPr>
          <w:p w14:paraId="16B30B56">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2.0059</w:t>
            </w:r>
          </w:p>
        </w:tc>
        <w:tc>
          <w:tcPr>
            <w:tcW w:w="1414" w:type="dxa"/>
            <w:noWrap/>
            <w:vAlign w:val="center"/>
          </w:tcPr>
          <w:p w14:paraId="6DC6999D">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2.0057</w:t>
            </w:r>
          </w:p>
        </w:tc>
        <w:tc>
          <w:tcPr>
            <w:tcW w:w="1414" w:type="dxa"/>
            <w:noWrap/>
            <w:vAlign w:val="center"/>
          </w:tcPr>
          <w:p w14:paraId="76FFFECA">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2.0051</w:t>
            </w:r>
          </w:p>
        </w:tc>
      </w:tr>
      <w:tr w14:paraId="3BBC523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170" w:type="dxa"/>
            <w:noWrap/>
            <w:vAlign w:val="center"/>
          </w:tcPr>
          <w:p w14:paraId="5233F28E">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TA</w:t>
            </w:r>
          </w:p>
        </w:tc>
        <w:tc>
          <w:tcPr>
            <w:tcW w:w="1433" w:type="dxa"/>
            <w:noWrap/>
            <w:vAlign w:val="center"/>
          </w:tcPr>
          <w:p w14:paraId="2DED04C2">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2.3313</w:t>
            </w:r>
          </w:p>
        </w:tc>
        <w:tc>
          <w:tcPr>
            <w:tcW w:w="1502" w:type="dxa"/>
            <w:noWrap/>
            <w:vAlign w:val="center"/>
          </w:tcPr>
          <w:p w14:paraId="78DC51C7">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2.3324</w:t>
            </w:r>
          </w:p>
        </w:tc>
        <w:tc>
          <w:tcPr>
            <w:tcW w:w="1515" w:type="dxa"/>
            <w:noWrap/>
            <w:vAlign w:val="center"/>
          </w:tcPr>
          <w:p w14:paraId="373A2E30">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2.3326</w:t>
            </w:r>
          </w:p>
        </w:tc>
        <w:tc>
          <w:tcPr>
            <w:tcW w:w="1414" w:type="dxa"/>
            <w:noWrap/>
            <w:vAlign w:val="center"/>
          </w:tcPr>
          <w:p w14:paraId="4E0ABAAF">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2.3323</w:t>
            </w:r>
          </w:p>
        </w:tc>
        <w:tc>
          <w:tcPr>
            <w:tcW w:w="1414" w:type="dxa"/>
            <w:noWrap/>
            <w:vAlign w:val="center"/>
          </w:tcPr>
          <w:p w14:paraId="0CA89DD9">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2.3313</w:t>
            </w:r>
          </w:p>
        </w:tc>
      </w:tr>
      <w:tr w14:paraId="6ADF928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170" w:type="dxa"/>
            <w:noWrap/>
            <w:vAlign w:val="center"/>
          </w:tcPr>
          <w:p w14:paraId="42ABE825">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DO</w:t>
            </w:r>
          </w:p>
        </w:tc>
        <w:tc>
          <w:tcPr>
            <w:tcW w:w="1433" w:type="dxa"/>
            <w:noWrap/>
            <w:vAlign w:val="center"/>
          </w:tcPr>
          <w:p w14:paraId="57F5A231">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6.37312</w:t>
            </w:r>
          </w:p>
        </w:tc>
        <w:tc>
          <w:tcPr>
            <w:tcW w:w="1502" w:type="dxa"/>
            <w:noWrap/>
            <w:vAlign w:val="center"/>
          </w:tcPr>
          <w:p w14:paraId="055C07F9">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6.36384</w:t>
            </w:r>
          </w:p>
        </w:tc>
        <w:tc>
          <w:tcPr>
            <w:tcW w:w="1515" w:type="dxa"/>
            <w:noWrap/>
            <w:vAlign w:val="center"/>
          </w:tcPr>
          <w:p w14:paraId="36AA8A96">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6.36832</w:t>
            </w:r>
          </w:p>
        </w:tc>
        <w:tc>
          <w:tcPr>
            <w:tcW w:w="1414" w:type="dxa"/>
            <w:noWrap/>
            <w:vAlign w:val="center"/>
          </w:tcPr>
          <w:p w14:paraId="47937FFF">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6.36672</w:t>
            </w:r>
          </w:p>
        </w:tc>
        <w:tc>
          <w:tcPr>
            <w:tcW w:w="1414" w:type="dxa"/>
            <w:noWrap/>
            <w:vAlign w:val="center"/>
          </w:tcPr>
          <w:p w14:paraId="00A23BDF">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6.37472</w:t>
            </w:r>
          </w:p>
        </w:tc>
      </w:tr>
      <w:tr w14:paraId="47BE69C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170" w:type="dxa"/>
            <w:noWrap/>
            <w:vAlign w:val="center"/>
          </w:tcPr>
          <w:p w14:paraId="1E045D6C">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NO3</w:t>
            </w:r>
          </w:p>
        </w:tc>
        <w:tc>
          <w:tcPr>
            <w:tcW w:w="1433" w:type="dxa"/>
            <w:noWrap/>
            <w:vAlign w:val="center"/>
          </w:tcPr>
          <w:p w14:paraId="2880AF4F">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0.000329952</w:t>
            </w:r>
          </w:p>
        </w:tc>
        <w:tc>
          <w:tcPr>
            <w:tcW w:w="1502" w:type="dxa"/>
            <w:noWrap/>
            <w:vAlign w:val="center"/>
          </w:tcPr>
          <w:p w14:paraId="6BD23094">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0.00031243</w:t>
            </w:r>
          </w:p>
        </w:tc>
        <w:tc>
          <w:tcPr>
            <w:tcW w:w="1515" w:type="dxa"/>
            <w:noWrap/>
            <w:vAlign w:val="center"/>
          </w:tcPr>
          <w:p w14:paraId="799E9785">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0.000286291</w:t>
            </w:r>
          </w:p>
        </w:tc>
        <w:tc>
          <w:tcPr>
            <w:tcW w:w="1414" w:type="dxa"/>
            <w:noWrap/>
            <w:vAlign w:val="center"/>
          </w:tcPr>
          <w:p w14:paraId="5427CFF6">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0.000259991</w:t>
            </w:r>
          </w:p>
        </w:tc>
        <w:tc>
          <w:tcPr>
            <w:tcW w:w="1414" w:type="dxa"/>
            <w:noWrap/>
            <w:vAlign w:val="center"/>
          </w:tcPr>
          <w:p w14:paraId="1661F9F2">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0.000389503</w:t>
            </w:r>
          </w:p>
        </w:tc>
      </w:tr>
      <w:tr w14:paraId="036B483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170" w:type="dxa"/>
            <w:noWrap/>
            <w:vAlign w:val="center"/>
          </w:tcPr>
          <w:p w14:paraId="6EEC6E86">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Chla</w:t>
            </w:r>
          </w:p>
        </w:tc>
        <w:tc>
          <w:tcPr>
            <w:tcW w:w="1433" w:type="dxa"/>
            <w:noWrap/>
            <w:vAlign w:val="center"/>
          </w:tcPr>
          <w:p w14:paraId="7F590136">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0.13676</w:t>
            </w:r>
          </w:p>
        </w:tc>
        <w:tc>
          <w:tcPr>
            <w:tcW w:w="1502" w:type="dxa"/>
            <w:noWrap/>
            <w:vAlign w:val="center"/>
          </w:tcPr>
          <w:p w14:paraId="1490829C">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0.13759</w:t>
            </w:r>
          </w:p>
        </w:tc>
        <w:tc>
          <w:tcPr>
            <w:tcW w:w="1515" w:type="dxa"/>
            <w:noWrap/>
            <w:vAlign w:val="center"/>
          </w:tcPr>
          <w:p w14:paraId="06EF563E">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0.13755</w:t>
            </w:r>
          </w:p>
        </w:tc>
        <w:tc>
          <w:tcPr>
            <w:tcW w:w="1414" w:type="dxa"/>
            <w:noWrap/>
            <w:vAlign w:val="center"/>
          </w:tcPr>
          <w:p w14:paraId="26CC4B83">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0.13617</w:t>
            </w:r>
          </w:p>
        </w:tc>
        <w:tc>
          <w:tcPr>
            <w:tcW w:w="1414" w:type="dxa"/>
            <w:noWrap/>
            <w:vAlign w:val="center"/>
          </w:tcPr>
          <w:p w14:paraId="0679A2E8">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0.134</w:t>
            </w:r>
          </w:p>
        </w:tc>
      </w:tr>
      <w:tr w14:paraId="7631F71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170" w:type="dxa"/>
            <w:noWrap/>
            <w:vAlign w:val="center"/>
          </w:tcPr>
          <w:p w14:paraId="45BF4193">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Temp</w:t>
            </w:r>
          </w:p>
        </w:tc>
        <w:tc>
          <w:tcPr>
            <w:tcW w:w="1433" w:type="dxa"/>
            <w:noWrap/>
            <w:vAlign w:val="center"/>
          </w:tcPr>
          <w:p w14:paraId="55437014">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30.603</w:t>
            </w:r>
          </w:p>
        </w:tc>
        <w:tc>
          <w:tcPr>
            <w:tcW w:w="1502" w:type="dxa"/>
            <w:noWrap/>
            <w:vAlign w:val="center"/>
          </w:tcPr>
          <w:p w14:paraId="172F9AA4">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31.061</w:t>
            </w:r>
          </w:p>
        </w:tc>
        <w:tc>
          <w:tcPr>
            <w:tcW w:w="1515" w:type="dxa"/>
            <w:noWrap/>
            <w:vAlign w:val="center"/>
          </w:tcPr>
          <w:p w14:paraId="184C4439">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30.893</w:t>
            </w:r>
          </w:p>
        </w:tc>
        <w:tc>
          <w:tcPr>
            <w:tcW w:w="1414" w:type="dxa"/>
            <w:noWrap/>
            <w:vAlign w:val="center"/>
          </w:tcPr>
          <w:p w14:paraId="40E1EC7D">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31.033</w:t>
            </w:r>
          </w:p>
        </w:tc>
        <w:tc>
          <w:tcPr>
            <w:tcW w:w="1414" w:type="dxa"/>
            <w:noWrap/>
            <w:vAlign w:val="center"/>
          </w:tcPr>
          <w:p w14:paraId="363A5093">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30.616</w:t>
            </w:r>
          </w:p>
        </w:tc>
      </w:tr>
      <w:tr w14:paraId="67E2A0D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170" w:type="dxa"/>
            <w:noWrap/>
            <w:vAlign w:val="center"/>
          </w:tcPr>
          <w:p w14:paraId="75E0DF1B">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COV</w:t>
            </w:r>
          </w:p>
        </w:tc>
        <w:tc>
          <w:tcPr>
            <w:tcW w:w="1433" w:type="dxa"/>
            <w:noWrap/>
            <w:vAlign w:val="center"/>
          </w:tcPr>
          <w:p w14:paraId="4EDC0006">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0.217</w:t>
            </w:r>
          </w:p>
        </w:tc>
        <w:tc>
          <w:tcPr>
            <w:tcW w:w="1502" w:type="dxa"/>
            <w:noWrap/>
            <w:vAlign w:val="center"/>
          </w:tcPr>
          <w:p w14:paraId="68F9D1B3">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0.059</w:t>
            </w:r>
          </w:p>
        </w:tc>
        <w:tc>
          <w:tcPr>
            <w:tcW w:w="1515" w:type="dxa"/>
            <w:noWrap/>
            <w:vAlign w:val="center"/>
          </w:tcPr>
          <w:p w14:paraId="52EEB2F7">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0.31</w:t>
            </w:r>
          </w:p>
        </w:tc>
        <w:tc>
          <w:tcPr>
            <w:tcW w:w="1414" w:type="dxa"/>
            <w:noWrap/>
            <w:vAlign w:val="center"/>
          </w:tcPr>
          <w:p w14:paraId="2A549FFF">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0.162</w:t>
            </w:r>
          </w:p>
        </w:tc>
        <w:tc>
          <w:tcPr>
            <w:tcW w:w="1414" w:type="dxa"/>
            <w:noWrap/>
            <w:vAlign w:val="center"/>
          </w:tcPr>
          <w:p w14:paraId="0B8AD38E">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0.421</w:t>
            </w:r>
          </w:p>
        </w:tc>
      </w:tr>
      <w:tr w14:paraId="3D33513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170" w:type="dxa"/>
            <w:noWrap/>
            <w:vAlign w:val="center"/>
          </w:tcPr>
          <w:p w14:paraId="7C42138D">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Sal</w:t>
            </w:r>
          </w:p>
        </w:tc>
        <w:tc>
          <w:tcPr>
            <w:tcW w:w="1433" w:type="dxa"/>
            <w:noWrap/>
            <w:vAlign w:val="center"/>
          </w:tcPr>
          <w:p w14:paraId="0DF4FD30">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34.08</w:t>
            </w:r>
          </w:p>
        </w:tc>
        <w:tc>
          <w:tcPr>
            <w:tcW w:w="1502" w:type="dxa"/>
            <w:noWrap/>
            <w:vAlign w:val="center"/>
          </w:tcPr>
          <w:p w14:paraId="0AA1E2BF">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34.075</w:t>
            </w:r>
          </w:p>
        </w:tc>
        <w:tc>
          <w:tcPr>
            <w:tcW w:w="1515" w:type="dxa"/>
            <w:noWrap/>
            <w:vAlign w:val="center"/>
          </w:tcPr>
          <w:p w14:paraId="7F8477B9">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34.088</w:t>
            </w:r>
          </w:p>
        </w:tc>
        <w:tc>
          <w:tcPr>
            <w:tcW w:w="1414" w:type="dxa"/>
            <w:noWrap/>
            <w:vAlign w:val="center"/>
          </w:tcPr>
          <w:p w14:paraId="17F1F935">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34.041</w:t>
            </w:r>
          </w:p>
        </w:tc>
        <w:tc>
          <w:tcPr>
            <w:tcW w:w="1414" w:type="dxa"/>
            <w:noWrap/>
            <w:vAlign w:val="center"/>
          </w:tcPr>
          <w:p w14:paraId="38F2299D">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34.067</w:t>
            </w:r>
          </w:p>
        </w:tc>
      </w:tr>
      <w:tr w14:paraId="47F4082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170" w:type="dxa"/>
            <w:noWrap/>
            <w:vAlign w:val="center"/>
          </w:tcPr>
          <w:p w14:paraId="74BE8084">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pH</w:t>
            </w:r>
          </w:p>
        </w:tc>
        <w:tc>
          <w:tcPr>
            <w:tcW w:w="1433" w:type="dxa"/>
            <w:noWrap/>
            <w:vAlign w:val="center"/>
          </w:tcPr>
          <w:p w14:paraId="4B553F3D">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7.9914</w:t>
            </w:r>
          </w:p>
        </w:tc>
        <w:tc>
          <w:tcPr>
            <w:tcW w:w="1502" w:type="dxa"/>
            <w:noWrap/>
            <w:vAlign w:val="center"/>
          </w:tcPr>
          <w:p w14:paraId="2067E798">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7.9873</w:t>
            </w:r>
          </w:p>
        </w:tc>
        <w:tc>
          <w:tcPr>
            <w:tcW w:w="1515" w:type="dxa"/>
            <w:noWrap/>
            <w:vAlign w:val="center"/>
          </w:tcPr>
          <w:p w14:paraId="4D2C834A">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7.9887</w:t>
            </w:r>
          </w:p>
        </w:tc>
        <w:tc>
          <w:tcPr>
            <w:tcW w:w="1414" w:type="dxa"/>
            <w:noWrap/>
            <w:vAlign w:val="center"/>
          </w:tcPr>
          <w:p w14:paraId="3FB59C41">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7.987</w:t>
            </w:r>
          </w:p>
        </w:tc>
        <w:tc>
          <w:tcPr>
            <w:tcW w:w="1414" w:type="dxa"/>
            <w:noWrap/>
            <w:vAlign w:val="center"/>
          </w:tcPr>
          <w:p w14:paraId="35383272">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7.9928</w:t>
            </w:r>
          </w:p>
        </w:tc>
      </w:tr>
    </w:tbl>
    <w:p w14:paraId="77EA41C5">
      <w:pPr>
        <w:spacing w:line="360" w:lineRule="auto"/>
        <w:jc w:val="center"/>
        <w:rPr>
          <w:rFonts w:ascii="Times New Roman" w:hAnsi="Times New Roman" w:eastAsia="楷体" w:cs="Times New Roman"/>
          <w:kern w:val="2"/>
          <w:szCs w:val="22"/>
        </w:rPr>
      </w:pPr>
    </w:p>
    <w:p w14:paraId="70EA0ED6">
      <w:pPr>
        <w:rPr>
          <w:rFonts w:ascii="Times New Roman" w:hAnsi="Times New Roman" w:eastAsia="楷体" w:cs="Times New Roman"/>
          <w:kern w:val="2"/>
          <w:szCs w:val="22"/>
        </w:rPr>
      </w:pPr>
      <w:r>
        <w:rPr>
          <w:rFonts w:ascii="Times New Roman" w:hAnsi="Times New Roman" w:eastAsia="楷体" w:cs="Times New Roman"/>
          <w:kern w:val="2"/>
          <w:szCs w:val="22"/>
        </w:rPr>
        <w:br w:type="page"/>
      </w:r>
    </w:p>
    <w:p w14:paraId="5E4813B6">
      <w:pPr>
        <w:spacing w:line="360" w:lineRule="auto"/>
        <w:jc w:val="both"/>
        <w:rPr>
          <w:rFonts w:ascii="Times New Roman" w:hAnsi="Times New Roman" w:eastAsia="楷体" w:cs="Times New Roman"/>
        </w:rPr>
      </w:pPr>
      <w:r>
        <w:rPr>
          <w:rFonts w:ascii="Times New Roman" w:hAnsi="Times New Roman" w:eastAsia="楷体" w:cs="Times New Roman"/>
          <w:b/>
          <w:bCs/>
        </w:rPr>
        <w:t>Table S</w:t>
      </w:r>
      <w:r>
        <w:rPr>
          <w:rFonts w:hint="eastAsia" w:ascii="Times New Roman" w:hAnsi="Times New Roman" w:eastAsia="楷体" w:cs="Times New Roman"/>
          <w:b/>
          <w:bCs/>
        </w:rPr>
        <w:t>2</w:t>
      </w:r>
      <w:r>
        <w:rPr>
          <w:rFonts w:ascii="Times New Roman" w:hAnsi="Times New Roman" w:cs="Times New Roman"/>
        </w:rPr>
        <w:t xml:space="preserve"> </w:t>
      </w:r>
      <w:r>
        <w:rPr>
          <w:rFonts w:hint="eastAsia" w:ascii="Times New Roman" w:hAnsi="Times New Roman" w:eastAsia="楷体" w:cs="Times New Roman"/>
        </w:rPr>
        <w:t>Environmental Factors and Reef-Building Coral Cover Data of BW Reef.</w:t>
      </w:r>
    </w:p>
    <w:tbl>
      <w:tblPr>
        <w:tblStyle w:val="16"/>
        <w:tblW w:w="4826" w:type="dxa"/>
        <w:jc w:val="center"/>
        <w:tblLayout w:type="autofit"/>
        <w:tblCellMar>
          <w:top w:w="0" w:type="dxa"/>
          <w:left w:w="108" w:type="dxa"/>
          <w:bottom w:w="0" w:type="dxa"/>
          <w:right w:w="108" w:type="dxa"/>
        </w:tblCellMar>
      </w:tblPr>
      <w:tblGrid>
        <w:gridCol w:w="1070"/>
        <w:gridCol w:w="1476"/>
        <w:gridCol w:w="1468"/>
        <w:gridCol w:w="1476"/>
      </w:tblGrid>
      <w:tr w14:paraId="66C0EEAC">
        <w:tblPrEx>
          <w:tblCellMar>
            <w:top w:w="0" w:type="dxa"/>
            <w:left w:w="108" w:type="dxa"/>
            <w:bottom w:w="0" w:type="dxa"/>
            <w:right w:w="108" w:type="dxa"/>
          </w:tblCellMar>
        </w:tblPrEx>
        <w:trPr>
          <w:trHeight w:val="323" w:hRule="atLeast"/>
          <w:jc w:val="center"/>
        </w:trPr>
        <w:tc>
          <w:tcPr>
            <w:tcW w:w="956" w:type="dxa"/>
            <w:tcBorders>
              <w:top w:val="single" w:color="000000" w:sz="8" w:space="0"/>
              <w:left w:val="nil"/>
              <w:bottom w:val="single" w:color="000000" w:sz="8" w:space="0"/>
              <w:right w:val="nil"/>
            </w:tcBorders>
            <w:noWrap/>
            <w:vAlign w:val="center"/>
          </w:tcPr>
          <w:p w14:paraId="0E292395">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Location</w:t>
            </w:r>
          </w:p>
        </w:tc>
        <w:tc>
          <w:tcPr>
            <w:tcW w:w="1290" w:type="dxa"/>
            <w:tcBorders>
              <w:top w:val="single" w:color="000000" w:sz="8" w:space="0"/>
              <w:left w:val="nil"/>
              <w:bottom w:val="single" w:color="000000" w:sz="8" w:space="0"/>
              <w:right w:val="nil"/>
            </w:tcBorders>
            <w:noWrap/>
            <w:vAlign w:val="center"/>
          </w:tcPr>
          <w:p w14:paraId="5B46C546">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BW1</w:t>
            </w:r>
          </w:p>
        </w:tc>
        <w:tc>
          <w:tcPr>
            <w:tcW w:w="1290" w:type="dxa"/>
            <w:tcBorders>
              <w:top w:val="single" w:color="000000" w:sz="8" w:space="0"/>
              <w:left w:val="nil"/>
              <w:bottom w:val="single" w:color="000000" w:sz="8" w:space="0"/>
              <w:right w:val="nil"/>
            </w:tcBorders>
            <w:noWrap/>
            <w:vAlign w:val="center"/>
          </w:tcPr>
          <w:p w14:paraId="450AE678">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BW2</w:t>
            </w:r>
          </w:p>
        </w:tc>
        <w:tc>
          <w:tcPr>
            <w:tcW w:w="1290" w:type="dxa"/>
            <w:tcBorders>
              <w:top w:val="single" w:color="000000" w:sz="8" w:space="0"/>
              <w:left w:val="nil"/>
              <w:bottom w:val="single" w:color="000000" w:sz="8" w:space="0"/>
              <w:right w:val="nil"/>
            </w:tcBorders>
            <w:noWrap/>
            <w:vAlign w:val="center"/>
          </w:tcPr>
          <w:p w14:paraId="4E3873D7">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BW3</w:t>
            </w:r>
          </w:p>
        </w:tc>
      </w:tr>
      <w:tr w14:paraId="078A4FEA">
        <w:tblPrEx>
          <w:tblCellMar>
            <w:top w:w="0" w:type="dxa"/>
            <w:left w:w="108" w:type="dxa"/>
            <w:bottom w:w="0" w:type="dxa"/>
            <w:right w:w="108" w:type="dxa"/>
          </w:tblCellMar>
        </w:tblPrEx>
        <w:trPr>
          <w:trHeight w:val="308" w:hRule="atLeast"/>
          <w:jc w:val="center"/>
        </w:trPr>
        <w:tc>
          <w:tcPr>
            <w:tcW w:w="956" w:type="dxa"/>
            <w:tcBorders>
              <w:top w:val="nil"/>
              <w:left w:val="nil"/>
              <w:bottom w:val="nil"/>
              <w:right w:val="nil"/>
            </w:tcBorders>
            <w:noWrap/>
            <w:vAlign w:val="center"/>
          </w:tcPr>
          <w:p w14:paraId="12912816">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PO4</w:t>
            </w:r>
          </w:p>
        </w:tc>
        <w:tc>
          <w:tcPr>
            <w:tcW w:w="1290" w:type="dxa"/>
            <w:tcBorders>
              <w:top w:val="nil"/>
              <w:left w:val="nil"/>
              <w:bottom w:val="nil"/>
              <w:right w:val="nil"/>
            </w:tcBorders>
            <w:noWrap/>
            <w:vAlign w:val="center"/>
          </w:tcPr>
          <w:p w14:paraId="65BB812C">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0.00760551</w:t>
            </w:r>
          </w:p>
        </w:tc>
        <w:tc>
          <w:tcPr>
            <w:tcW w:w="1290" w:type="dxa"/>
            <w:tcBorders>
              <w:top w:val="nil"/>
              <w:left w:val="nil"/>
              <w:bottom w:val="nil"/>
              <w:right w:val="nil"/>
            </w:tcBorders>
            <w:noWrap/>
            <w:vAlign w:val="center"/>
          </w:tcPr>
          <w:p w14:paraId="65576321">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0.00734236</w:t>
            </w:r>
          </w:p>
        </w:tc>
        <w:tc>
          <w:tcPr>
            <w:tcW w:w="1290" w:type="dxa"/>
            <w:tcBorders>
              <w:top w:val="nil"/>
              <w:left w:val="nil"/>
              <w:bottom w:val="nil"/>
              <w:right w:val="nil"/>
            </w:tcBorders>
            <w:noWrap/>
            <w:vAlign w:val="center"/>
          </w:tcPr>
          <w:p w14:paraId="6482C346">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0.007858875</w:t>
            </w:r>
          </w:p>
        </w:tc>
      </w:tr>
      <w:tr w14:paraId="4584CFE0">
        <w:tblPrEx>
          <w:tblCellMar>
            <w:top w:w="0" w:type="dxa"/>
            <w:left w:w="108" w:type="dxa"/>
            <w:bottom w:w="0" w:type="dxa"/>
            <w:right w:w="108" w:type="dxa"/>
          </w:tblCellMar>
        </w:tblPrEx>
        <w:trPr>
          <w:trHeight w:val="308" w:hRule="atLeast"/>
          <w:jc w:val="center"/>
        </w:trPr>
        <w:tc>
          <w:tcPr>
            <w:tcW w:w="956" w:type="dxa"/>
            <w:tcBorders>
              <w:top w:val="nil"/>
              <w:left w:val="nil"/>
              <w:bottom w:val="nil"/>
              <w:right w:val="nil"/>
            </w:tcBorders>
            <w:noWrap/>
            <w:vAlign w:val="center"/>
          </w:tcPr>
          <w:p w14:paraId="602884AB">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SI</w:t>
            </w:r>
          </w:p>
        </w:tc>
        <w:tc>
          <w:tcPr>
            <w:tcW w:w="1290" w:type="dxa"/>
            <w:tcBorders>
              <w:top w:val="nil"/>
              <w:left w:val="nil"/>
              <w:bottom w:val="nil"/>
              <w:right w:val="nil"/>
            </w:tcBorders>
            <w:noWrap/>
            <w:vAlign w:val="center"/>
          </w:tcPr>
          <w:p w14:paraId="0D768AF6">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0.076356</w:t>
            </w:r>
          </w:p>
        </w:tc>
        <w:tc>
          <w:tcPr>
            <w:tcW w:w="1290" w:type="dxa"/>
            <w:tcBorders>
              <w:top w:val="nil"/>
              <w:left w:val="nil"/>
              <w:bottom w:val="nil"/>
              <w:right w:val="nil"/>
            </w:tcBorders>
            <w:noWrap/>
            <w:vAlign w:val="center"/>
          </w:tcPr>
          <w:p w14:paraId="17BDB5FE">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0.0773976</w:t>
            </w:r>
          </w:p>
        </w:tc>
        <w:tc>
          <w:tcPr>
            <w:tcW w:w="1290" w:type="dxa"/>
            <w:tcBorders>
              <w:top w:val="nil"/>
              <w:left w:val="nil"/>
              <w:bottom w:val="nil"/>
              <w:right w:val="nil"/>
            </w:tcBorders>
            <w:noWrap/>
            <w:vAlign w:val="center"/>
          </w:tcPr>
          <w:p w14:paraId="63FB94B5">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0.0753032</w:t>
            </w:r>
          </w:p>
        </w:tc>
      </w:tr>
      <w:tr w14:paraId="2B42DFF9">
        <w:tblPrEx>
          <w:tblCellMar>
            <w:top w:w="0" w:type="dxa"/>
            <w:left w:w="108" w:type="dxa"/>
            <w:bottom w:w="0" w:type="dxa"/>
            <w:right w:w="108" w:type="dxa"/>
          </w:tblCellMar>
        </w:tblPrEx>
        <w:trPr>
          <w:trHeight w:val="308" w:hRule="atLeast"/>
          <w:jc w:val="center"/>
        </w:trPr>
        <w:tc>
          <w:tcPr>
            <w:tcW w:w="956" w:type="dxa"/>
            <w:tcBorders>
              <w:top w:val="nil"/>
              <w:left w:val="nil"/>
              <w:bottom w:val="nil"/>
              <w:right w:val="nil"/>
            </w:tcBorders>
            <w:noWrap/>
            <w:vAlign w:val="center"/>
          </w:tcPr>
          <w:p w14:paraId="1327A257">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SWV</w:t>
            </w:r>
          </w:p>
        </w:tc>
        <w:tc>
          <w:tcPr>
            <w:tcW w:w="1290" w:type="dxa"/>
            <w:tcBorders>
              <w:top w:val="nil"/>
              <w:left w:val="nil"/>
              <w:bottom w:val="nil"/>
              <w:right w:val="nil"/>
            </w:tcBorders>
            <w:noWrap/>
            <w:vAlign w:val="center"/>
          </w:tcPr>
          <w:p w14:paraId="728B8E89">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0.046198</w:t>
            </w:r>
          </w:p>
        </w:tc>
        <w:tc>
          <w:tcPr>
            <w:tcW w:w="1290" w:type="dxa"/>
            <w:tcBorders>
              <w:top w:val="nil"/>
              <w:left w:val="nil"/>
              <w:bottom w:val="nil"/>
              <w:right w:val="nil"/>
            </w:tcBorders>
            <w:noWrap/>
            <w:vAlign w:val="center"/>
          </w:tcPr>
          <w:p w14:paraId="6EE8210B">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0.023245</w:t>
            </w:r>
          </w:p>
        </w:tc>
        <w:tc>
          <w:tcPr>
            <w:tcW w:w="1290" w:type="dxa"/>
            <w:tcBorders>
              <w:top w:val="nil"/>
              <w:left w:val="nil"/>
              <w:bottom w:val="nil"/>
              <w:right w:val="nil"/>
            </w:tcBorders>
            <w:noWrap/>
            <w:vAlign w:val="center"/>
          </w:tcPr>
          <w:p w14:paraId="5A4885D3">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0.042514</w:t>
            </w:r>
          </w:p>
        </w:tc>
      </w:tr>
      <w:tr w14:paraId="3FA36E96">
        <w:tblPrEx>
          <w:tblCellMar>
            <w:top w:w="0" w:type="dxa"/>
            <w:left w:w="108" w:type="dxa"/>
            <w:bottom w:w="0" w:type="dxa"/>
            <w:right w:w="108" w:type="dxa"/>
          </w:tblCellMar>
        </w:tblPrEx>
        <w:trPr>
          <w:trHeight w:val="308" w:hRule="atLeast"/>
          <w:jc w:val="center"/>
        </w:trPr>
        <w:tc>
          <w:tcPr>
            <w:tcW w:w="956" w:type="dxa"/>
            <w:tcBorders>
              <w:top w:val="nil"/>
              <w:left w:val="nil"/>
              <w:bottom w:val="nil"/>
              <w:right w:val="nil"/>
            </w:tcBorders>
            <w:noWrap/>
            <w:vAlign w:val="center"/>
          </w:tcPr>
          <w:p w14:paraId="3F9711A6">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NPPV</w:t>
            </w:r>
          </w:p>
        </w:tc>
        <w:tc>
          <w:tcPr>
            <w:tcW w:w="1290" w:type="dxa"/>
            <w:tcBorders>
              <w:top w:val="nil"/>
              <w:left w:val="nil"/>
              <w:bottom w:val="nil"/>
              <w:right w:val="nil"/>
            </w:tcBorders>
            <w:noWrap/>
            <w:vAlign w:val="center"/>
          </w:tcPr>
          <w:p w14:paraId="218CDE01">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5.154</w:t>
            </w:r>
          </w:p>
        </w:tc>
        <w:tc>
          <w:tcPr>
            <w:tcW w:w="1290" w:type="dxa"/>
            <w:tcBorders>
              <w:top w:val="nil"/>
              <w:left w:val="nil"/>
              <w:bottom w:val="nil"/>
              <w:right w:val="nil"/>
            </w:tcBorders>
            <w:noWrap/>
            <w:vAlign w:val="center"/>
          </w:tcPr>
          <w:p w14:paraId="342D97E4">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5.2427</w:t>
            </w:r>
          </w:p>
        </w:tc>
        <w:tc>
          <w:tcPr>
            <w:tcW w:w="1290" w:type="dxa"/>
            <w:tcBorders>
              <w:top w:val="nil"/>
              <w:left w:val="nil"/>
              <w:bottom w:val="nil"/>
              <w:right w:val="nil"/>
            </w:tcBorders>
            <w:noWrap/>
            <w:vAlign w:val="center"/>
          </w:tcPr>
          <w:p w14:paraId="5428E343">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4.7716</w:t>
            </w:r>
          </w:p>
        </w:tc>
      </w:tr>
      <w:tr w14:paraId="2546D75C">
        <w:tblPrEx>
          <w:tblCellMar>
            <w:top w:w="0" w:type="dxa"/>
            <w:left w:w="108" w:type="dxa"/>
            <w:bottom w:w="0" w:type="dxa"/>
            <w:right w:w="108" w:type="dxa"/>
          </w:tblCellMar>
        </w:tblPrEx>
        <w:trPr>
          <w:trHeight w:val="308" w:hRule="atLeast"/>
          <w:jc w:val="center"/>
        </w:trPr>
        <w:tc>
          <w:tcPr>
            <w:tcW w:w="956" w:type="dxa"/>
            <w:tcBorders>
              <w:top w:val="nil"/>
              <w:left w:val="nil"/>
              <w:bottom w:val="nil"/>
              <w:right w:val="nil"/>
            </w:tcBorders>
            <w:noWrap/>
            <w:vAlign w:val="center"/>
          </w:tcPr>
          <w:p w14:paraId="7BD643E2">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DIC</w:t>
            </w:r>
          </w:p>
        </w:tc>
        <w:tc>
          <w:tcPr>
            <w:tcW w:w="1290" w:type="dxa"/>
            <w:tcBorders>
              <w:top w:val="nil"/>
              <w:left w:val="nil"/>
              <w:bottom w:val="nil"/>
              <w:right w:val="nil"/>
            </w:tcBorders>
            <w:noWrap/>
            <w:vAlign w:val="center"/>
          </w:tcPr>
          <w:p w14:paraId="65F73BAC">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2.0102</w:t>
            </w:r>
          </w:p>
        </w:tc>
        <w:tc>
          <w:tcPr>
            <w:tcW w:w="1290" w:type="dxa"/>
            <w:tcBorders>
              <w:top w:val="nil"/>
              <w:left w:val="nil"/>
              <w:bottom w:val="nil"/>
              <w:right w:val="nil"/>
            </w:tcBorders>
            <w:noWrap/>
            <w:vAlign w:val="center"/>
          </w:tcPr>
          <w:p w14:paraId="58B91804">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2.0099</w:t>
            </w:r>
          </w:p>
        </w:tc>
        <w:tc>
          <w:tcPr>
            <w:tcW w:w="1290" w:type="dxa"/>
            <w:tcBorders>
              <w:top w:val="nil"/>
              <w:left w:val="nil"/>
              <w:bottom w:val="nil"/>
              <w:right w:val="nil"/>
            </w:tcBorders>
            <w:noWrap/>
            <w:vAlign w:val="center"/>
          </w:tcPr>
          <w:p w14:paraId="4FDB25D2">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2.0103</w:t>
            </w:r>
          </w:p>
        </w:tc>
      </w:tr>
      <w:tr w14:paraId="3473674C">
        <w:tblPrEx>
          <w:tblCellMar>
            <w:top w:w="0" w:type="dxa"/>
            <w:left w:w="108" w:type="dxa"/>
            <w:bottom w:w="0" w:type="dxa"/>
            <w:right w:w="108" w:type="dxa"/>
          </w:tblCellMar>
        </w:tblPrEx>
        <w:trPr>
          <w:trHeight w:val="308" w:hRule="atLeast"/>
          <w:jc w:val="center"/>
        </w:trPr>
        <w:tc>
          <w:tcPr>
            <w:tcW w:w="956" w:type="dxa"/>
            <w:tcBorders>
              <w:top w:val="nil"/>
              <w:left w:val="nil"/>
              <w:bottom w:val="nil"/>
              <w:right w:val="nil"/>
            </w:tcBorders>
            <w:noWrap/>
            <w:vAlign w:val="center"/>
          </w:tcPr>
          <w:p w14:paraId="29C0B7BE">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TA</w:t>
            </w:r>
          </w:p>
        </w:tc>
        <w:tc>
          <w:tcPr>
            <w:tcW w:w="1290" w:type="dxa"/>
            <w:tcBorders>
              <w:top w:val="nil"/>
              <w:left w:val="nil"/>
              <w:bottom w:val="nil"/>
              <w:right w:val="nil"/>
            </w:tcBorders>
            <w:noWrap/>
            <w:vAlign w:val="center"/>
          </w:tcPr>
          <w:p w14:paraId="6155CD43">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2.335</w:t>
            </w:r>
          </w:p>
        </w:tc>
        <w:tc>
          <w:tcPr>
            <w:tcW w:w="1290" w:type="dxa"/>
            <w:tcBorders>
              <w:top w:val="nil"/>
              <w:left w:val="nil"/>
              <w:bottom w:val="nil"/>
              <w:right w:val="nil"/>
            </w:tcBorders>
            <w:noWrap/>
            <w:vAlign w:val="center"/>
          </w:tcPr>
          <w:p w14:paraId="33B069FE">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2.3352</w:t>
            </w:r>
          </w:p>
        </w:tc>
        <w:tc>
          <w:tcPr>
            <w:tcW w:w="1290" w:type="dxa"/>
            <w:tcBorders>
              <w:top w:val="nil"/>
              <w:left w:val="nil"/>
              <w:bottom w:val="nil"/>
              <w:right w:val="nil"/>
            </w:tcBorders>
            <w:noWrap/>
            <w:vAlign w:val="center"/>
          </w:tcPr>
          <w:p w14:paraId="11DF0945">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2.3346</w:t>
            </w:r>
          </w:p>
        </w:tc>
      </w:tr>
      <w:tr w14:paraId="1CA18608">
        <w:tblPrEx>
          <w:tblCellMar>
            <w:top w:w="0" w:type="dxa"/>
            <w:left w:w="108" w:type="dxa"/>
            <w:bottom w:w="0" w:type="dxa"/>
            <w:right w:w="108" w:type="dxa"/>
          </w:tblCellMar>
        </w:tblPrEx>
        <w:trPr>
          <w:trHeight w:val="308" w:hRule="atLeast"/>
          <w:jc w:val="center"/>
        </w:trPr>
        <w:tc>
          <w:tcPr>
            <w:tcW w:w="956" w:type="dxa"/>
            <w:tcBorders>
              <w:top w:val="nil"/>
              <w:left w:val="nil"/>
              <w:bottom w:val="nil"/>
              <w:right w:val="nil"/>
            </w:tcBorders>
            <w:noWrap/>
            <w:vAlign w:val="center"/>
          </w:tcPr>
          <w:p w14:paraId="4A4E902C">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DO</w:t>
            </w:r>
          </w:p>
        </w:tc>
        <w:tc>
          <w:tcPr>
            <w:tcW w:w="1290" w:type="dxa"/>
            <w:tcBorders>
              <w:top w:val="nil"/>
              <w:left w:val="nil"/>
              <w:bottom w:val="nil"/>
              <w:right w:val="nil"/>
            </w:tcBorders>
            <w:noWrap/>
            <w:vAlign w:val="center"/>
          </w:tcPr>
          <w:p w14:paraId="42FDBF5A">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6.34464</w:t>
            </w:r>
          </w:p>
        </w:tc>
        <w:tc>
          <w:tcPr>
            <w:tcW w:w="1290" w:type="dxa"/>
            <w:tcBorders>
              <w:top w:val="nil"/>
              <w:left w:val="nil"/>
              <w:bottom w:val="nil"/>
              <w:right w:val="nil"/>
            </w:tcBorders>
            <w:noWrap/>
            <w:vAlign w:val="center"/>
          </w:tcPr>
          <w:p w14:paraId="1BA2B198">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6.33856</w:t>
            </w:r>
          </w:p>
        </w:tc>
        <w:tc>
          <w:tcPr>
            <w:tcW w:w="1290" w:type="dxa"/>
            <w:tcBorders>
              <w:top w:val="nil"/>
              <w:left w:val="nil"/>
              <w:bottom w:val="nil"/>
              <w:right w:val="nil"/>
            </w:tcBorders>
            <w:noWrap/>
            <w:vAlign w:val="center"/>
          </w:tcPr>
          <w:p w14:paraId="4B83DC26">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6.34944</w:t>
            </w:r>
          </w:p>
        </w:tc>
      </w:tr>
      <w:tr w14:paraId="64D37CAF">
        <w:tblPrEx>
          <w:tblCellMar>
            <w:top w:w="0" w:type="dxa"/>
            <w:left w:w="108" w:type="dxa"/>
            <w:bottom w:w="0" w:type="dxa"/>
            <w:right w:w="108" w:type="dxa"/>
          </w:tblCellMar>
        </w:tblPrEx>
        <w:trPr>
          <w:trHeight w:val="308" w:hRule="atLeast"/>
          <w:jc w:val="center"/>
        </w:trPr>
        <w:tc>
          <w:tcPr>
            <w:tcW w:w="956" w:type="dxa"/>
            <w:tcBorders>
              <w:top w:val="nil"/>
              <w:left w:val="nil"/>
              <w:bottom w:val="nil"/>
              <w:right w:val="nil"/>
            </w:tcBorders>
            <w:noWrap/>
            <w:vAlign w:val="center"/>
          </w:tcPr>
          <w:p w14:paraId="7B9FADC8">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NO3</w:t>
            </w:r>
          </w:p>
        </w:tc>
        <w:tc>
          <w:tcPr>
            <w:tcW w:w="1290" w:type="dxa"/>
            <w:tcBorders>
              <w:top w:val="nil"/>
              <w:left w:val="nil"/>
              <w:bottom w:val="nil"/>
              <w:right w:val="nil"/>
            </w:tcBorders>
            <w:noWrap/>
            <w:vAlign w:val="center"/>
          </w:tcPr>
          <w:p w14:paraId="37DAB96F">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0.000321792</w:t>
            </w:r>
          </w:p>
        </w:tc>
        <w:tc>
          <w:tcPr>
            <w:tcW w:w="1290" w:type="dxa"/>
            <w:tcBorders>
              <w:top w:val="nil"/>
              <w:left w:val="nil"/>
              <w:bottom w:val="nil"/>
              <w:right w:val="nil"/>
            </w:tcBorders>
            <w:noWrap/>
            <w:vAlign w:val="center"/>
          </w:tcPr>
          <w:p w14:paraId="5D08A0D4">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0.000327112</w:t>
            </w:r>
          </w:p>
        </w:tc>
        <w:tc>
          <w:tcPr>
            <w:tcW w:w="1290" w:type="dxa"/>
            <w:tcBorders>
              <w:top w:val="nil"/>
              <w:left w:val="nil"/>
              <w:bottom w:val="nil"/>
              <w:right w:val="nil"/>
            </w:tcBorders>
            <w:noWrap/>
            <w:vAlign w:val="center"/>
          </w:tcPr>
          <w:p w14:paraId="2F0EC620">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0.000265844</w:t>
            </w:r>
          </w:p>
        </w:tc>
      </w:tr>
      <w:tr w14:paraId="0DF96A9E">
        <w:tblPrEx>
          <w:tblCellMar>
            <w:top w:w="0" w:type="dxa"/>
            <w:left w:w="108" w:type="dxa"/>
            <w:bottom w:w="0" w:type="dxa"/>
            <w:right w:w="108" w:type="dxa"/>
          </w:tblCellMar>
        </w:tblPrEx>
        <w:trPr>
          <w:trHeight w:val="308" w:hRule="atLeast"/>
          <w:jc w:val="center"/>
        </w:trPr>
        <w:tc>
          <w:tcPr>
            <w:tcW w:w="956" w:type="dxa"/>
            <w:tcBorders>
              <w:top w:val="nil"/>
              <w:left w:val="nil"/>
              <w:bottom w:val="nil"/>
              <w:right w:val="nil"/>
            </w:tcBorders>
            <w:noWrap/>
            <w:vAlign w:val="center"/>
          </w:tcPr>
          <w:p w14:paraId="20633538">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Chla</w:t>
            </w:r>
          </w:p>
        </w:tc>
        <w:tc>
          <w:tcPr>
            <w:tcW w:w="1290" w:type="dxa"/>
            <w:tcBorders>
              <w:top w:val="nil"/>
              <w:left w:val="nil"/>
              <w:bottom w:val="nil"/>
              <w:right w:val="nil"/>
            </w:tcBorders>
            <w:noWrap/>
            <w:vAlign w:val="center"/>
          </w:tcPr>
          <w:p w14:paraId="18FD718C">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0.12264</w:t>
            </w:r>
          </w:p>
        </w:tc>
        <w:tc>
          <w:tcPr>
            <w:tcW w:w="1290" w:type="dxa"/>
            <w:tcBorders>
              <w:top w:val="nil"/>
              <w:left w:val="nil"/>
              <w:bottom w:val="nil"/>
              <w:right w:val="nil"/>
            </w:tcBorders>
            <w:noWrap/>
            <w:vAlign w:val="center"/>
          </w:tcPr>
          <w:p w14:paraId="4DF9D748">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0.12363</w:t>
            </w:r>
          </w:p>
        </w:tc>
        <w:tc>
          <w:tcPr>
            <w:tcW w:w="1290" w:type="dxa"/>
            <w:tcBorders>
              <w:top w:val="nil"/>
              <w:left w:val="nil"/>
              <w:bottom w:val="nil"/>
              <w:right w:val="nil"/>
            </w:tcBorders>
            <w:noWrap/>
            <w:vAlign w:val="center"/>
          </w:tcPr>
          <w:p w14:paraId="04C4D3AE">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0.12057</w:t>
            </w:r>
          </w:p>
        </w:tc>
      </w:tr>
      <w:tr w14:paraId="1F1309C8">
        <w:tblPrEx>
          <w:tblCellMar>
            <w:top w:w="0" w:type="dxa"/>
            <w:left w:w="108" w:type="dxa"/>
            <w:bottom w:w="0" w:type="dxa"/>
            <w:right w:w="108" w:type="dxa"/>
          </w:tblCellMar>
        </w:tblPrEx>
        <w:trPr>
          <w:trHeight w:val="308" w:hRule="atLeast"/>
          <w:jc w:val="center"/>
        </w:trPr>
        <w:tc>
          <w:tcPr>
            <w:tcW w:w="956" w:type="dxa"/>
            <w:tcBorders>
              <w:top w:val="nil"/>
              <w:left w:val="nil"/>
              <w:bottom w:val="nil"/>
              <w:right w:val="nil"/>
            </w:tcBorders>
            <w:noWrap/>
            <w:vAlign w:val="center"/>
          </w:tcPr>
          <w:p w14:paraId="347BEFEA">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Temp</w:t>
            </w:r>
          </w:p>
        </w:tc>
        <w:tc>
          <w:tcPr>
            <w:tcW w:w="1290" w:type="dxa"/>
            <w:tcBorders>
              <w:top w:val="nil"/>
              <w:left w:val="nil"/>
              <w:bottom w:val="nil"/>
              <w:right w:val="nil"/>
            </w:tcBorders>
            <w:noWrap/>
            <w:vAlign w:val="center"/>
          </w:tcPr>
          <w:p w14:paraId="11AFA68C">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31.203</w:t>
            </w:r>
          </w:p>
        </w:tc>
        <w:tc>
          <w:tcPr>
            <w:tcW w:w="1290" w:type="dxa"/>
            <w:tcBorders>
              <w:top w:val="nil"/>
              <w:left w:val="nil"/>
              <w:bottom w:val="nil"/>
              <w:right w:val="nil"/>
            </w:tcBorders>
            <w:noWrap/>
            <w:vAlign w:val="center"/>
          </w:tcPr>
          <w:p w14:paraId="1A9507BA">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31.219</w:t>
            </w:r>
          </w:p>
        </w:tc>
        <w:tc>
          <w:tcPr>
            <w:tcW w:w="1290" w:type="dxa"/>
            <w:tcBorders>
              <w:top w:val="nil"/>
              <w:left w:val="nil"/>
              <w:bottom w:val="nil"/>
              <w:right w:val="nil"/>
            </w:tcBorders>
            <w:noWrap/>
            <w:vAlign w:val="center"/>
          </w:tcPr>
          <w:p w14:paraId="62562D41">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30.95</w:t>
            </w:r>
          </w:p>
        </w:tc>
      </w:tr>
      <w:tr w14:paraId="045BD684">
        <w:tblPrEx>
          <w:tblCellMar>
            <w:top w:w="0" w:type="dxa"/>
            <w:left w:w="108" w:type="dxa"/>
            <w:bottom w:w="0" w:type="dxa"/>
            <w:right w:w="108" w:type="dxa"/>
          </w:tblCellMar>
        </w:tblPrEx>
        <w:trPr>
          <w:trHeight w:val="308" w:hRule="atLeast"/>
          <w:jc w:val="center"/>
        </w:trPr>
        <w:tc>
          <w:tcPr>
            <w:tcW w:w="956" w:type="dxa"/>
            <w:tcBorders>
              <w:top w:val="nil"/>
              <w:left w:val="nil"/>
              <w:bottom w:val="nil"/>
              <w:right w:val="nil"/>
            </w:tcBorders>
            <w:noWrap/>
            <w:vAlign w:val="center"/>
          </w:tcPr>
          <w:p w14:paraId="386AF81A">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COV</w:t>
            </w:r>
          </w:p>
        </w:tc>
        <w:tc>
          <w:tcPr>
            <w:tcW w:w="1290" w:type="dxa"/>
            <w:tcBorders>
              <w:top w:val="nil"/>
              <w:left w:val="nil"/>
              <w:bottom w:val="nil"/>
              <w:right w:val="nil"/>
            </w:tcBorders>
            <w:noWrap/>
            <w:vAlign w:val="center"/>
          </w:tcPr>
          <w:p w14:paraId="7ABCCAFE">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0.0965</w:t>
            </w:r>
          </w:p>
        </w:tc>
        <w:tc>
          <w:tcPr>
            <w:tcW w:w="1290" w:type="dxa"/>
            <w:tcBorders>
              <w:top w:val="nil"/>
              <w:left w:val="nil"/>
              <w:bottom w:val="nil"/>
              <w:right w:val="nil"/>
            </w:tcBorders>
            <w:noWrap/>
            <w:vAlign w:val="center"/>
          </w:tcPr>
          <w:p w14:paraId="37C47267">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0.079</w:t>
            </w:r>
          </w:p>
        </w:tc>
        <w:tc>
          <w:tcPr>
            <w:tcW w:w="1290" w:type="dxa"/>
            <w:tcBorders>
              <w:top w:val="nil"/>
              <w:left w:val="nil"/>
              <w:bottom w:val="nil"/>
              <w:right w:val="nil"/>
            </w:tcBorders>
            <w:noWrap/>
            <w:vAlign w:val="center"/>
          </w:tcPr>
          <w:p w14:paraId="0665A446">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0.275</w:t>
            </w:r>
          </w:p>
        </w:tc>
      </w:tr>
      <w:tr w14:paraId="7E7B0ACC">
        <w:tblPrEx>
          <w:tblCellMar>
            <w:top w:w="0" w:type="dxa"/>
            <w:left w:w="108" w:type="dxa"/>
            <w:bottom w:w="0" w:type="dxa"/>
            <w:right w:w="108" w:type="dxa"/>
          </w:tblCellMar>
        </w:tblPrEx>
        <w:trPr>
          <w:trHeight w:val="308" w:hRule="atLeast"/>
          <w:jc w:val="center"/>
        </w:trPr>
        <w:tc>
          <w:tcPr>
            <w:tcW w:w="956" w:type="dxa"/>
            <w:tcBorders>
              <w:top w:val="nil"/>
              <w:left w:val="nil"/>
              <w:bottom w:val="nil"/>
              <w:right w:val="nil"/>
            </w:tcBorders>
            <w:noWrap/>
            <w:vAlign w:val="center"/>
          </w:tcPr>
          <w:p w14:paraId="52414B90">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Sal</w:t>
            </w:r>
          </w:p>
        </w:tc>
        <w:tc>
          <w:tcPr>
            <w:tcW w:w="1290" w:type="dxa"/>
            <w:tcBorders>
              <w:top w:val="nil"/>
              <w:left w:val="nil"/>
              <w:bottom w:val="nil"/>
              <w:right w:val="nil"/>
            </w:tcBorders>
            <w:noWrap/>
            <w:vAlign w:val="center"/>
          </w:tcPr>
          <w:p w14:paraId="2DFCA356">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33.722</w:t>
            </w:r>
          </w:p>
        </w:tc>
        <w:tc>
          <w:tcPr>
            <w:tcW w:w="1290" w:type="dxa"/>
            <w:tcBorders>
              <w:top w:val="nil"/>
              <w:left w:val="nil"/>
              <w:bottom w:val="nil"/>
              <w:right w:val="nil"/>
            </w:tcBorders>
            <w:noWrap/>
            <w:vAlign w:val="center"/>
          </w:tcPr>
          <w:p w14:paraId="5012F3C8">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33.72</w:t>
            </w:r>
          </w:p>
        </w:tc>
        <w:tc>
          <w:tcPr>
            <w:tcW w:w="1290" w:type="dxa"/>
            <w:tcBorders>
              <w:top w:val="nil"/>
              <w:left w:val="nil"/>
              <w:bottom w:val="nil"/>
              <w:right w:val="nil"/>
            </w:tcBorders>
            <w:noWrap/>
            <w:vAlign w:val="center"/>
          </w:tcPr>
          <w:p w14:paraId="021F1BD2">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33.732</w:t>
            </w:r>
          </w:p>
        </w:tc>
      </w:tr>
      <w:tr w14:paraId="77E278E3">
        <w:tblPrEx>
          <w:tblCellMar>
            <w:top w:w="0" w:type="dxa"/>
            <w:left w:w="108" w:type="dxa"/>
            <w:bottom w:w="0" w:type="dxa"/>
            <w:right w:w="108" w:type="dxa"/>
          </w:tblCellMar>
        </w:tblPrEx>
        <w:trPr>
          <w:trHeight w:val="323" w:hRule="atLeast"/>
          <w:jc w:val="center"/>
        </w:trPr>
        <w:tc>
          <w:tcPr>
            <w:tcW w:w="956" w:type="dxa"/>
            <w:tcBorders>
              <w:top w:val="nil"/>
              <w:left w:val="nil"/>
              <w:bottom w:val="single" w:color="000000" w:sz="8" w:space="0"/>
              <w:right w:val="nil"/>
            </w:tcBorders>
            <w:noWrap/>
            <w:vAlign w:val="center"/>
          </w:tcPr>
          <w:p w14:paraId="515A2733">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pH</w:t>
            </w:r>
          </w:p>
        </w:tc>
        <w:tc>
          <w:tcPr>
            <w:tcW w:w="1290" w:type="dxa"/>
            <w:tcBorders>
              <w:top w:val="nil"/>
              <w:left w:val="nil"/>
              <w:bottom w:val="single" w:color="000000" w:sz="8" w:space="0"/>
              <w:right w:val="nil"/>
            </w:tcBorders>
            <w:noWrap/>
            <w:vAlign w:val="center"/>
          </w:tcPr>
          <w:p w14:paraId="0A9EC073">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7.9864</w:t>
            </w:r>
          </w:p>
        </w:tc>
        <w:tc>
          <w:tcPr>
            <w:tcW w:w="1290" w:type="dxa"/>
            <w:tcBorders>
              <w:top w:val="nil"/>
              <w:left w:val="nil"/>
              <w:bottom w:val="single" w:color="000000" w:sz="8" w:space="0"/>
              <w:right w:val="nil"/>
            </w:tcBorders>
            <w:noWrap/>
            <w:vAlign w:val="center"/>
          </w:tcPr>
          <w:p w14:paraId="0749A4FE">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7.9848</w:t>
            </w:r>
          </w:p>
        </w:tc>
        <w:tc>
          <w:tcPr>
            <w:tcW w:w="1290" w:type="dxa"/>
            <w:tcBorders>
              <w:top w:val="nil"/>
              <w:left w:val="nil"/>
              <w:bottom w:val="single" w:color="000000" w:sz="8" w:space="0"/>
              <w:right w:val="nil"/>
            </w:tcBorders>
            <w:noWrap/>
            <w:vAlign w:val="center"/>
          </w:tcPr>
          <w:p w14:paraId="2F4B5401">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szCs w:val="22"/>
              </w:rPr>
              <w:t>7.9884</w:t>
            </w:r>
          </w:p>
        </w:tc>
      </w:tr>
    </w:tbl>
    <w:p w14:paraId="46448417">
      <w:pPr>
        <w:spacing w:after="160" w:line="278" w:lineRule="auto"/>
        <w:rPr>
          <w:rFonts w:ascii="Times New Roman" w:hAnsi="Times New Roman" w:eastAsia="楷体" w:cs="Times New Roman"/>
          <w:kern w:val="2"/>
          <w:szCs w:val="22"/>
        </w:rPr>
      </w:pPr>
    </w:p>
    <w:p w14:paraId="4D8C4849">
      <w:pPr>
        <w:rPr>
          <w:rFonts w:ascii="Times New Roman" w:hAnsi="Times New Roman" w:eastAsia="楷体" w:cs="Times New Roman"/>
          <w:kern w:val="2"/>
          <w:szCs w:val="22"/>
        </w:rPr>
      </w:pPr>
      <w:r>
        <w:rPr>
          <w:rFonts w:ascii="Times New Roman" w:hAnsi="Times New Roman" w:eastAsia="楷体" w:cs="Times New Roman"/>
          <w:kern w:val="2"/>
          <w:szCs w:val="22"/>
        </w:rPr>
        <w:br w:type="page"/>
      </w:r>
    </w:p>
    <w:p w14:paraId="19BE01DF">
      <w:pPr>
        <w:spacing w:line="360" w:lineRule="auto"/>
        <w:jc w:val="both"/>
        <w:rPr>
          <w:rFonts w:ascii="Times New Roman" w:hAnsi="Times New Roman" w:eastAsia="楷体" w:cs="Times New Roman"/>
        </w:rPr>
      </w:pPr>
      <w:r>
        <w:rPr>
          <w:rFonts w:ascii="Times New Roman" w:hAnsi="Times New Roman" w:eastAsia="楷体" w:cs="Times New Roman"/>
          <w:b/>
          <w:bCs/>
        </w:rPr>
        <w:t>Table S</w:t>
      </w:r>
      <w:r>
        <w:rPr>
          <w:rFonts w:hint="eastAsia" w:ascii="Times New Roman" w:hAnsi="Times New Roman" w:eastAsia="楷体" w:cs="Times New Roman"/>
          <w:b/>
          <w:bCs/>
        </w:rPr>
        <w:t>7</w:t>
      </w:r>
      <w:r>
        <w:rPr>
          <w:rFonts w:ascii="Times New Roman" w:hAnsi="Times New Roman" w:eastAsia="楷体" w:cs="Times New Roman"/>
          <w:b/>
          <w:bCs/>
        </w:rPr>
        <w:t xml:space="preserve"> </w:t>
      </w:r>
      <w:r>
        <w:rPr>
          <w:rFonts w:hint="eastAsia" w:ascii="Times New Roman" w:hAnsi="Times New Roman" w:eastAsia="楷体" w:cs="Times New Roman"/>
        </w:rPr>
        <w:t>Table of topological properties of coral microbiome co-occurrence networks from two reef areas, MJ and BW. N is the number of nodes; E is the number of edges; Avg. Degree is the average degree; Density is the network density; Avg. Path Length is the average path length; Clust. Coef. is the clustering coefficient; Diameter is the network diameter; Modularity (Q) is the modularity; # Communities is the number of communities.</w:t>
      </w:r>
    </w:p>
    <w:tbl>
      <w:tblPr>
        <w:tblStyle w:val="16"/>
        <w:tblW w:w="6385"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94"/>
        <w:gridCol w:w="2264"/>
        <w:gridCol w:w="1427"/>
      </w:tblGrid>
      <w:tr w14:paraId="0678553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2694" w:type="dxa"/>
            <w:tcBorders>
              <w:top w:val="single" w:color="auto" w:sz="12" w:space="0"/>
              <w:bottom w:val="single" w:color="auto" w:sz="12" w:space="0"/>
            </w:tcBorders>
            <w:noWrap/>
            <w:vAlign w:val="center"/>
          </w:tcPr>
          <w:p w14:paraId="295A8A53">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Indicator</w:t>
            </w:r>
          </w:p>
        </w:tc>
        <w:tc>
          <w:tcPr>
            <w:tcW w:w="2264" w:type="dxa"/>
            <w:tcBorders>
              <w:top w:val="single" w:color="auto" w:sz="12" w:space="0"/>
              <w:bottom w:val="single" w:color="auto" w:sz="12" w:space="0"/>
            </w:tcBorders>
            <w:noWrap/>
            <w:vAlign w:val="center"/>
          </w:tcPr>
          <w:p w14:paraId="1179627B">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BW</w:t>
            </w:r>
          </w:p>
        </w:tc>
        <w:tc>
          <w:tcPr>
            <w:tcW w:w="1427" w:type="dxa"/>
            <w:tcBorders>
              <w:top w:val="single" w:color="auto" w:sz="12" w:space="0"/>
              <w:bottom w:val="single" w:color="auto" w:sz="12" w:space="0"/>
            </w:tcBorders>
            <w:noWrap/>
            <w:vAlign w:val="center"/>
          </w:tcPr>
          <w:p w14:paraId="78C3B15E">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MJ</w:t>
            </w:r>
          </w:p>
        </w:tc>
      </w:tr>
      <w:tr w14:paraId="02B040D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694" w:type="dxa"/>
            <w:tcBorders>
              <w:top w:val="single" w:color="auto" w:sz="12" w:space="0"/>
            </w:tcBorders>
            <w:noWrap/>
            <w:vAlign w:val="center"/>
          </w:tcPr>
          <w:p w14:paraId="5168FDF5">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rPr>
              <w:t>N</w:t>
            </w:r>
          </w:p>
        </w:tc>
        <w:tc>
          <w:tcPr>
            <w:tcW w:w="2264" w:type="dxa"/>
            <w:tcBorders>
              <w:top w:val="single" w:color="auto" w:sz="12" w:space="0"/>
            </w:tcBorders>
            <w:noWrap/>
            <w:vAlign w:val="center"/>
          </w:tcPr>
          <w:p w14:paraId="43E392F2">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321</w:t>
            </w:r>
          </w:p>
        </w:tc>
        <w:tc>
          <w:tcPr>
            <w:tcW w:w="1427" w:type="dxa"/>
            <w:tcBorders>
              <w:top w:val="single" w:color="auto" w:sz="12" w:space="0"/>
            </w:tcBorders>
            <w:noWrap/>
            <w:vAlign w:val="center"/>
          </w:tcPr>
          <w:p w14:paraId="0C8919D2">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259</w:t>
            </w:r>
          </w:p>
        </w:tc>
      </w:tr>
      <w:tr w14:paraId="20DB5A6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694" w:type="dxa"/>
            <w:noWrap/>
            <w:vAlign w:val="center"/>
          </w:tcPr>
          <w:p w14:paraId="3EB450BF">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rPr>
              <w:t>E</w:t>
            </w:r>
          </w:p>
        </w:tc>
        <w:tc>
          <w:tcPr>
            <w:tcW w:w="2264" w:type="dxa"/>
            <w:noWrap/>
            <w:vAlign w:val="center"/>
          </w:tcPr>
          <w:p w14:paraId="268A84A9">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1163</w:t>
            </w:r>
          </w:p>
        </w:tc>
        <w:tc>
          <w:tcPr>
            <w:tcW w:w="1427" w:type="dxa"/>
            <w:noWrap/>
            <w:vAlign w:val="center"/>
          </w:tcPr>
          <w:p w14:paraId="2B1006A3">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162</w:t>
            </w:r>
          </w:p>
        </w:tc>
      </w:tr>
      <w:tr w14:paraId="00AC01C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694" w:type="dxa"/>
            <w:noWrap/>
            <w:vAlign w:val="center"/>
          </w:tcPr>
          <w:p w14:paraId="1A2719CD">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rPr>
              <w:t>Avg. Degree</w:t>
            </w:r>
          </w:p>
        </w:tc>
        <w:tc>
          <w:tcPr>
            <w:tcW w:w="2264" w:type="dxa"/>
            <w:noWrap/>
            <w:vAlign w:val="center"/>
          </w:tcPr>
          <w:p w14:paraId="691589CA">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7.246</w:t>
            </w:r>
          </w:p>
        </w:tc>
        <w:tc>
          <w:tcPr>
            <w:tcW w:w="1427" w:type="dxa"/>
            <w:noWrap/>
            <w:vAlign w:val="center"/>
          </w:tcPr>
          <w:p w14:paraId="7A53ECAF">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1.251</w:t>
            </w:r>
          </w:p>
        </w:tc>
      </w:tr>
      <w:tr w14:paraId="4A85BEC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694" w:type="dxa"/>
            <w:noWrap/>
            <w:vAlign w:val="center"/>
          </w:tcPr>
          <w:p w14:paraId="61CC9059">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rPr>
              <w:t>Density</w:t>
            </w:r>
          </w:p>
        </w:tc>
        <w:tc>
          <w:tcPr>
            <w:tcW w:w="2264" w:type="dxa"/>
            <w:noWrap/>
            <w:vAlign w:val="center"/>
          </w:tcPr>
          <w:p w14:paraId="7FCA7F7F">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0.02264</w:t>
            </w:r>
          </w:p>
        </w:tc>
        <w:tc>
          <w:tcPr>
            <w:tcW w:w="1427" w:type="dxa"/>
            <w:noWrap/>
            <w:vAlign w:val="center"/>
          </w:tcPr>
          <w:p w14:paraId="168A1649">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0.00485</w:t>
            </w:r>
          </w:p>
        </w:tc>
      </w:tr>
      <w:tr w14:paraId="543E369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694" w:type="dxa"/>
            <w:noWrap/>
            <w:vAlign w:val="center"/>
          </w:tcPr>
          <w:p w14:paraId="07F453A7">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rPr>
              <w:t xml:space="preserve">Avg. </w:t>
            </w:r>
            <w:r>
              <w:rPr>
                <w:rFonts w:ascii="Times New Roman" w:hAnsi="Times New Roman" w:eastAsia="楷体" w:cs="Times New Roman"/>
                <w:kern w:val="2"/>
                <w:szCs w:val="22"/>
              </w:rPr>
              <w:t>Path</w:t>
            </w:r>
            <w:r>
              <w:rPr>
                <w:rFonts w:ascii="Times New Roman" w:hAnsi="Times New Roman" w:eastAsia="楷体" w:cs="Times New Roman"/>
                <w:kern w:val="2"/>
              </w:rPr>
              <w:t xml:space="preserve"> Length</w:t>
            </w:r>
          </w:p>
        </w:tc>
        <w:tc>
          <w:tcPr>
            <w:tcW w:w="2264" w:type="dxa"/>
            <w:noWrap/>
            <w:vAlign w:val="center"/>
          </w:tcPr>
          <w:p w14:paraId="4339D71A">
            <w:pPr>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1.802</w:t>
            </w:r>
          </w:p>
        </w:tc>
        <w:tc>
          <w:tcPr>
            <w:tcW w:w="1427" w:type="dxa"/>
            <w:noWrap/>
            <w:vAlign w:val="center"/>
          </w:tcPr>
          <w:p w14:paraId="1CFDEB72">
            <w:pPr>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2.12</w:t>
            </w:r>
          </w:p>
        </w:tc>
      </w:tr>
      <w:tr w14:paraId="4AC7600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694" w:type="dxa"/>
            <w:noWrap/>
            <w:vAlign w:val="center"/>
          </w:tcPr>
          <w:p w14:paraId="71C08E26">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rPr>
              <w:t>Clust. Coef.</w:t>
            </w:r>
          </w:p>
        </w:tc>
        <w:tc>
          <w:tcPr>
            <w:tcW w:w="2264" w:type="dxa"/>
            <w:noWrap/>
            <w:vAlign w:val="center"/>
          </w:tcPr>
          <w:p w14:paraId="031A4577">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0.364</w:t>
            </w:r>
          </w:p>
        </w:tc>
        <w:tc>
          <w:tcPr>
            <w:tcW w:w="1427" w:type="dxa"/>
            <w:noWrap/>
            <w:vAlign w:val="center"/>
          </w:tcPr>
          <w:p w14:paraId="21E78ADF">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0.448</w:t>
            </w:r>
          </w:p>
        </w:tc>
      </w:tr>
      <w:tr w14:paraId="39189C5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694" w:type="dxa"/>
            <w:noWrap/>
            <w:vAlign w:val="center"/>
          </w:tcPr>
          <w:p w14:paraId="5DBC0DA3">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rPr>
              <w:t>Diameter</w:t>
            </w:r>
          </w:p>
        </w:tc>
        <w:tc>
          <w:tcPr>
            <w:tcW w:w="2264" w:type="dxa"/>
            <w:noWrap/>
            <w:vAlign w:val="center"/>
          </w:tcPr>
          <w:p w14:paraId="1264144A">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 xml:space="preserve">6.90945 </w:t>
            </w:r>
          </w:p>
        </w:tc>
        <w:tc>
          <w:tcPr>
            <w:tcW w:w="1427" w:type="dxa"/>
            <w:noWrap/>
            <w:vAlign w:val="center"/>
          </w:tcPr>
          <w:p w14:paraId="246B07D8">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 xml:space="preserve">6.01864 </w:t>
            </w:r>
          </w:p>
        </w:tc>
      </w:tr>
      <w:tr w14:paraId="36CB21B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694" w:type="dxa"/>
            <w:noWrap/>
            <w:vAlign w:val="center"/>
          </w:tcPr>
          <w:p w14:paraId="0032C2A0">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rPr>
              <w:t>Modularity (Q)</w:t>
            </w:r>
          </w:p>
        </w:tc>
        <w:tc>
          <w:tcPr>
            <w:tcW w:w="2264" w:type="dxa"/>
            <w:noWrap/>
            <w:vAlign w:val="center"/>
          </w:tcPr>
          <w:p w14:paraId="366121C2">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0.446</w:t>
            </w:r>
          </w:p>
        </w:tc>
        <w:tc>
          <w:tcPr>
            <w:tcW w:w="1427" w:type="dxa"/>
            <w:noWrap/>
            <w:vAlign w:val="center"/>
          </w:tcPr>
          <w:p w14:paraId="4758DAB5">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0.735</w:t>
            </w:r>
          </w:p>
        </w:tc>
      </w:tr>
      <w:tr w14:paraId="2ECE011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694" w:type="dxa"/>
            <w:noWrap/>
            <w:vAlign w:val="center"/>
          </w:tcPr>
          <w:p w14:paraId="29D8C8F7">
            <w:pPr>
              <w:spacing w:line="360" w:lineRule="auto"/>
              <w:jc w:val="center"/>
              <w:rPr>
                <w:rFonts w:ascii="Times New Roman" w:hAnsi="Times New Roman" w:eastAsia="楷体" w:cs="Times New Roman"/>
                <w:kern w:val="2"/>
                <w:szCs w:val="22"/>
              </w:rPr>
            </w:pPr>
            <w:r>
              <w:rPr>
                <w:rFonts w:ascii="Times New Roman" w:hAnsi="Times New Roman" w:eastAsia="楷体" w:cs="Times New Roman"/>
                <w:kern w:val="2"/>
              </w:rPr>
              <w:t># Communities</w:t>
            </w:r>
          </w:p>
        </w:tc>
        <w:tc>
          <w:tcPr>
            <w:tcW w:w="2264" w:type="dxa"/>
            <w:noWrap/>
            <w:vAlign w:val="center"/>
          </w:tcPr>
          <w:p w14:paraId="7CA265A6">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99</w:t>
            </w:r>
          </w:p>
        </w:tc>
        <w:tc>
          <w:tcPr>
            <w:tcW w:w="1427" w:type="dxa"/>
            <w:noWrap/>
            <w:vAlign w:val="center"/>
          </w:tcPr>
          <w:p w14:paraId="7D227ACD">
            <w:pPr>
              <w:spacing w:line="360" w:lineRule="auto"/>
              <w:jc w:val="center"/>
              <w:rPr>
                <w:rFonts w:ascii="Times New Roman" w:hAnsi="Times New Roman" w:eastAsia="楷体" w:cs="Times New Roman"/>
                <w:kern w:val="2"/>
                <w:szCs w:val="22"/>
              </w:rPr>
            </w:pPr>
            <w:r>
              <w:rPr>
                <w:rFonts w:hint="eastAsia" w:ascii="Times New Roman" w:hAnsi="Times New Roman" w:eastAsia="楷体" w:cs="Times New Roman"/>
                <w:kern w:val="2"/>
                <w:szCs w:val="22"/>
              </w:rPr>
              <w:t>171</w:t>
            </w:r>
          </w:p>
        </w:tc>
      </w:tr>
    </w:tbl>
    <w:p w14:paraId="300C7126">
      <w:pPr>
        <w:spacing w:after="160" w:line="278" w:lineRule="auto"/>
        <w:rPr>
          <w:rFonts w:ascii="Times New Roman" w:hAnsi="Times New Roman" w:eastAsia="楷体" w:cs="Times New Roman"/>
          <w:b/>
          <w:bCs/>
        </w:rPr>
      </w:pPr>
    </w:p>
    <w:sectPr>
      <w:pgSz w:w="11906" w:h="16838"/>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B4F"/>
    <w:rsid w:val="00003AB0"/>
    <w:rsid w:val="00033B4F"/>
    <w:rsid w:val="000372C0"/>
    <w:rsid w:val="00037D9C"/>
    <w:rsid w:val="00042DB5"/>
    <w:rsid w:val="000F1253"/>
    <w:rsid w:val="00130BA9"/>
    <w:rsid w:val="00152BAF"/>
    <w:rsid w:val="001866B7"/>
    <w:rsid w:val="001D16CD"/>
    <w:rsid w:val="001D1B8D"/>
    <w:rsid w:val="001D4CE6"/>
    <w:rsid w:val="001F0CD9"/>
    <w:rsid w:val="001F38A7"/>
    <w:rsid w:val="00205897"/>
    <w:rsid w:val="002410D1"/>
    <w:rsid w:val="00294DB9"/>
    <w:rsid w:val="002A505E"/>
    <w:rsid w:val="002C5690"/>
    <w:rsid w:val="002E43F2"/>
    <w:rsid w:val="003A5141"/>
    <w:rsid w:val="0042585E"/>
    <w:rsid w:val="004344F5"/>
    <w:rsid w:val="004A0EA5"/>
    <w:rsid w:val="004B29D7"/>
    <w:rsid w:val="005A202C"/>
    <w:rsid w:val="005C6CC1"/>
    <w:rsid w:val="005E35EE"/>
    <w:rsid w:val="005F4FA7"/>
    <w:rsid w:val="00643D2A"/>
    <w:rsid w:val="006B0627"/>
    <w:rsid w:val="006C6B6D"/>
    <w:rsid w:val="006D3CEA"/>
    <w:rsid w:val="006E49A2"/>
    <w:rsid w:val="006F1669"/>
    <w:rsid w:val="007E7AFC"/>
    <w:rsid w:val="00866F5C"/>
    <w:rsid w:val="008B66D0"/>
    <w:rsid w:val="008F30B5"/>
    <w:rsid w:val="008F46E1"/>
    <w:rsid w:val="009C338A"/>
    <w:rsid w:val="009E3109"/>
    <w:rsid w:val="00A669C5"/>
    <w:rsid w:val="00A83896"/>
    <w:rsid w:val="00AD59CD"/>
    <w:rsid w:val="00BA4B6D"/>
    <w:rsid w:val="00BB777E"/>
    <w:rsid w:val="00BD535C"/>
    <w:rsid w:val="00BE51CA"/>
    <w:rsid w:val="00C04EDB"/>
    <w:rsid w:val="00C64A5B"/>
    <w:rsid w:val="00CA3E19"/>
    <w:rsid w:val="00CC3482"/>
    <w:rsid w:val="00D3711E"/>
    <w:rsid w:val="00D524B1"/>
    <w:rsid w:val="00DC1FB8"/>
    <w:rsid w:val="00DE3533"/>
    <w:rsid w:val="00DF3892"/>
    <w:rsid w:val="00EA5CE2"/>
    <w:rsid w:val="00EE363C"/>
    <w:rsid w:val="00F21FE0"/>
    <w:rsid w:val="00F329D5"/>
    <w:rsid w:val="00F44E39"/>
    <w:rsid w:val="00F626F3"/>
    <w:rsid w:val="00F83A3F"/>
    <w:rsid w:val="00FD1D44"/>
    <w:rsid w:val="00FF7430"/>
    <w:rsid w:val="01C6440F"/>
    <w:rsid w:val="26E91765"/>
    <w:rsid w:val="2AC27C07"/>
    <w:rsid w:val="72263862"/>
    <w:rsid w:val="771904FA"/>
    <w:rsid w:val="7A231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1"/>
    <w:qFormat/>
    <w:uiPriority w:val="9"/>
    <w:pPr>
      <w:keepNext/>
      <w:keepLines/>
      <w:widowControl w:val="0"/>
      <w:spacing w:before="480" w:after="80" w:line="278" w:lineRule="auto"/>
      <w:outlineLvl w:val="0"/>
    </w:pPr>
    <w:rPr>
      <w:rFonts w:asciiTheme="majorHAnsi" w:hAnsiTheme="majorHAnsi" w:eastAsiaTheme="majorEastAsia" w:cstheme="majorBidi"/>
      <w:color w:val="2F5597" w:themeColor="accent1" w:themeShade="BF"/>
      <w:kern w:val="2"/>
      <w:sz w:val="48"/>
      <w:szCs w:val="48"/>
      <w14:ligatures w14:val="standardContextual"/>
    </w:rPr>
  </w:style>
  <w:style w:type="paragraph" w:styleId="3">
    <w:name w:val="heading 2"/>
    <w:basedOn w:val="1"/>
    <w:next w:val="1"/>
    <w:link w:val="22"/>
    <w:semiHidden/>
    <w:unhideWhenUsed/>
    <w:qFormat/>
    <w:uiPriority w:val="9"/>
    <w:pPr>
      <w:keepNext/>
      <w:keepLines/>
      <w:widowControl w:val="0"/>
      <w:spacing w:before="160" w:after="80" w:line="278" w:lineRule="auto"/>
      <w:outlineLvl w:val="1"/>
    </w:pPr>
    <w:rPr>
      <w:rFonts w:asciiTheme="majorHAnsi" w:hAnsiTheme="majorHAnsi" w:eastAsiaTheme="majorEastAsia" w:cstheme="majorBidi"/>
      <w:color w:val="2F5597" w:themeColor="accent1" w:themeShade="BF"/>
      <w:kern w:val="2"/>
      <w:sz w:val="40"/>
      <w:szCs w:val="40"/>
      <w14:ligatures w14:val="standardContextual"/>
    </w:rPr>
  </w:style>
  <w:style w:type="paragraph" w:styleId="4">
    <w:name w:val="heading 3"/>
    <w:basedOn w:val="1"/>
    <w:next w:val="1"/>
    <w:link w:val="23"/>
    <w:semiHidden/>
    <w:unhideWhenUsed/>
    <w:qFormat/>
    <w:uiPriority w:val="9"/>
    <w:pPr>
      <w:keepNext/>
      <w:keepLines/>
      <w:widowControl w:val="0"/>
      <w:spacing w:before="160" w:after="80" w:line="278" w:lineRule="auto"/>
      <w:outlineLvl w:val="2"/>
    </w:pPr>
    <w:rPr>
      <w:rFonts w:asciiTheme="majorHAnsi" w:hAnsiTheme="majorHAnsi" w:eastAsiaTheme="majorEastAsia" w:cstheme="majorBidi"/>
      <w:color w:val="2F5597" w:themeColor="accent1" w:themeShade="BF"/>
      <w:kern w:val="2"/>
      <w:sz w:val="32"/>
      <w:szCs w:val="32"/>
      <w14:ligatures w14:val="standardContextual"/>
    </w:rPr>
  </w:style>
  <w:style w:type="paragraph" w:styleId="5">
    <w:name w:val="heading 4"/>
    <w:basedOn w:val="1"/>
    <w:next w:val="1"/>
    <w:link w:val="24"/>
    <w:semiHidden/>
    <w:unhideWhenUsed/>
    <w:qFormat/>
    <w:uiPriority w:val="9"/>
    <w:pPr>
      <w:keepNext/>
      <w:keepLines/>
      <w:widowControl w:val="0"/>
      <w:spacing w:before="80" w:after="40" w:line="278" w:lineRule="auto"/>
      <w:outlineLvl w:val="3"/>
    </w:pPr>
    <w:rPr>
      <w:rFonts w:asciiTheme="minorHAnsi" w:hAnsiTheme="minorHAnsi" w:eastAsiaTheme="minorEastAsia" w:cstheme="majorBidi"/>
      <w:color w:val="2F5597" w:themeColor="accent1" w:themeShade="BF"/>
      <w:kern w:val="2"/>
      <w:sz w:val="28"/>
      <w:szCs w:val="28"/>
      <w14:ligatures w14:val="standardContextual"/>
    </w:rPr>
  </w:style>
  <w:style w:type="paragraph" w:styleId="6">
    <w:name w:val="heading 5"/>
    <w:basedOn w:val="1"/>
    <w:next w:val="1"/>
    <w:link w:val="25"/>
    <w:semiHidden/>
    <w:unhideWhenUsed/>
    <w:qFormat/>
    <w:uiPriority w:val="9"/>
    <w:pPr>
      <w:keepNext/>
      <w:keepLines/>
      <w:widowControl w:val="0"/>
      <w:spacing w:before="80" w:after="40" w:line="278" w:lineRule="auto"/>
      <w:outlineLvl w:val="4"/>
    </w:pPr>
    <w:rPr>
      <w:rFonts w:asciiTheme="minorHAnsi" w:hAnsiTheme="minorHAnsi" w:eastAsiaTheme="minorEastAsia" w:cstheme="majorBidi"/>
      <w:color w:val="2F5597" w:themeColor="accent1" w:themeShade="BF"/>
      <w:kern w:val="2"/>
      <w14:ligatures w14:val="standardContextual"/>
    </w:rPr>
  </w:style>
  <w:style w:type="paragraph" w:styleId="7">
    <w:name w:val="heading 6"/>
    <w:basedOn w:val="1"/>
    <w:next w:val="1"/>
    <w:link w:val="26"/>
    <w:semiHidden/>
    <w:unhideWhenUsed/>
    <w:qFormat/>
    <w:uiPriority w:val="9"/>
    <w:pPr>
      <w:keepNext/>
      <w:keepLines/>
      <w:widowControl w:val="0"/>
      <w:spacing w:before="40" w:line="278" w:lineRule="auto"/>
      <w:outlineLvl w:val="5"/>
    </w:pPr>
    <w:rPr>
      <w:rFonts w:asciiTheme="minorHAnsi" w:hAnsiTheme="minorHAnsi" w:eastAsiaTheme="minorEastAsia" w:cstheme="majorBidi"/>
      <w:b/>
      <w:bCs/>
      <w:color w:val="2F5597" w:themeColor="accent1" w:themeShade="BF"/>
      <w:kern w:val="2"/>
      <w:sz w:val="22"/>
      <w14:ligatures w14:val="standardContextual"/>
    </w:rPr>
  </w:style>
  <w:style w:type="paragraph" w:styleId="8">
    <w:name w:val="heading 7"/>
    <w:basedOn w:val="1"/>
    <w:next w:val="1"/>
    <w:link w:val="27"/>
    <w:semiHidden/>
    <w:unhideWhenUsed/>
    <w:qFormat/>
    <w:uiPriority w:val="9"/>
    <w:pPr>
      <w:keepNext/>
      <w:keepLines/>
      <w:widowControl w:val="0"/>
      <w:spacing w:before="40" w:line="278" w:lineRule="auto"/>
      <w:outlineLvl w:val="6"/>
    </w:pPr>
    <w:rPr>
      <w:rFonts w:asciiTheme="minorHAnsi" w:hAnsiTheme="minorHAnsi" w:eastAsiaTheme="minorEastAsia" w:cstheme="majorBidi"/>
      <w:b/>
      <w:bCs/>
      <w:color w:val="595959" w:themeColor="text1" w:themeTint="A6"/>
      <w:kern w:val="2"/>
      <w:sz w:val="22"/>
      <w14:textFill>
        <w14:solidFill>
          <w14:schemeClr w14:val="tx1">
            <w14:lumMod w14:val="65000"/>
            <w14:lumOff w14:val="35000"/>
          </w14:schemeClr>
        </w14:solidFill>
      </w14:textFill>
      <w14:ligatures w14:val="standardContextual"/>
    </w:rPr>
  </w:style>
  <w:style w:type="paragraph" w:styleId="9">
    <w:name w:val="heading 8"/>
    <w:basedOn w:val="1"/>
    <w:next w:val="1"/>
    <w:link w:val="28"/>
    <w:semiHidden/>
    <w:unhideWhenUsed/>
    <w:qFormat/>
    <w:uiPriority w:val="9"/>
    <w:pPr>
      <w:keepNext/>
      <w:keepLines/>
      <w:widowControl w:val="0"/>
      <w:spacing w:line="278" w:lineRule="auto"/>
      <w:outlineLvl w:val="7"/>
    </w:pPr>
    <w:rPr>
      <w:rFonts w:asciiTheme="minorHAnsi" w:hAnsiTheme="minorHAnsi" w:eastAsiaTheme="minorEastAsia" w:cstheme="majorBidi"/>
      <w:color w:val="595959" w:themeColor="text1" w:themeTint="A6"/>
      <w:kern w:val="2"/>
      <w:sz w:val="22"/>
      <w14:textFill>
        <w14:solidFill>
          <w14:schemeClr w14:val="tx1">
            <w14:lumMod w14:val="65000"/>
            <w14:lumOff w14:val="35000"/>
          </w14:schemeClr>
        </w14:solidFill>
      </w14:textFill>
      <w14:ligatures w14:val="standardContextual"/>
    </w:rPr>
  </w:style>
  <w:style w:type="paragraph" w:styleId="10">
    <w:name w:val="heading 9"/>
    <w:basedOn w:val="1"/>
    <w:next w:val="1"/>
    <w:link w:val="29"/>
    <w:semiHidden/>
    <w:unhideWhenUsed/>
    <w:qFormat/>
    <w:uiPriority w:val="9"/>
    <w:pPr>
      <w:keepNext/>
      <w:keepLines/>
      <w:widowControl w:val="0"/>
      <w:spacing w:line="278" w:lineRule="auto"/>
      <w:outlineLvl w:val="8"/>
    </w:pPr>
    <w:rPr>
      <w:rFonts w:asciiTheme="minorHAnsi" w:hAnsiTheme="minorHAnsi" w:eastAsiaTheme="majorEastAsia" w:cstheme="majorBidi"/>
      <w:color w:val="595959" w:themeColor="text1" w:themeTint="A6"/>
      <w:kern w:val="2"/>
      <w:sz w:val="22"/>
      <w14:textFill>
        <w14:solidFill>
          <w14:schemeClr w14:val="tx1">
            <w14:lumMod w14:val="65000"/>
            <w14:lumOff w14:val="35000"/>
          </w14:schemeClr>
        </w14:solidFill>
      </w14:textFill>
      <w14:ligatures w14:val="standardContextual"/>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40"/>
    <w:unhideWhenUsed/>
    <w:qFormat/>
    <w:uiPriority w:val="99"/>
    <w:pPr>
      <w:widowControl w:val="0"/>
      <w:tabs>
        <w:tab w:val="center" w:pos="4153"/>
        <w:tab w:val="right" w:pos="8306"/>
      </w:tabs>
      <w:snapToGrid w:val="0"/>
      <w:spacing w:after="160"/>
    </w:pPr>
    <w:rPr>
      <w:rFonts w:asciiTheme="minorHAnsi" w:hAnsiTheme="minorHAnsi" w:eastAsiaTheme="minorEastAsia" w:cstheme="minorBidi"/>
      <w:kern w:val="2"/>
      <w:sz w:val="18"/>
      <w:szCs w:val="18"/>
      <w14:ligatures w14:val="standardContextual"/>
    </w:rPr>
  </w:style>
  <w:style w:type="paragraph" w:styleId="12">
    <w:name w:val="header"/>
    <w:basedOn w:val="1"/>
    <w:link w:val="39"/>
    <w:unhideWhenUsed/>
    <w:qFormat/>
    <w:uiPriority w:val="99"/>
    <w:pPr>
      <w:widowControl w:val="0"/>
      <w:tabs>
        <w:tab w:val="center" w:pos="4153"/>
        <w:tab w:val="right" w:pos="8306"/>
      </w:tabs>
      <w:snapToGrid w:val="0"/>
      <w:spacing w:after="160"/>
      <w:jc w:val="center"/>
    </w:pPr>
    <w:rPr>
      <w:rFonts w:asciiTheme="minorHAnsi" w:hAnsiTheme="minorHAnsi" w:eastAsiaTheme="minorEastAsia" w:cstheme="minorBidi"/>
      <w:kern w:val="2"/>
      <w:sz w:val="18"/>
      <w:szCs w:val="18"/>
      <w14:ligatures w14:val="standardContextual"/>
    </w:rPr>
  </w:style>
  <w:style w:type="paragraph" w:styleId="13">
    <w:name w:val="Subtitle"/>
    <w:basedOn w:val="1"/>
    <w:next w:val="1"/>
    <w:link w:val="31"/>
    <w:qFormat/>
    <w:uiPriority w:val="11"/>
    <w:pPr>
      <w:widowControl w:val="0"/>
      <w:spacing w:after="160" w:line="278" w:lineRule="auto"/>
      <w:jc w:val="center"/>
    </w:pPr>
    <w:rPr>
      <w:rFonts w:asciiTheme="majorHAnsi" w:hAnsiTheme="majorHAnsi" w:eastAsiaTheme="majorEastAsia" w:cstheme="majorBidi"/>
      <w:color w:val="595959" w:themeColor="text1" w:themeTint="A6"/>
      <w:spacing w:val="15"/>
      <w:kern w:val="2"/>
      <w:sz w:val="28"/>
      <w:szCs w:val="28"/>
      <w14:textFill>
        <w14:solidFill>
          <w14:schemeClr w14:val="tx1">
            <w14:lumMod w14:val="65000"/>
            <w14:lumOff w14:val="35000"/>
          </w14:schemeClr>
        </w14:solidFill>
      </w14:textFill>
      <w14:ligatures w14:val="standardContextual"/>
    </w:rPr>
  </w:style>
  <w:style w:type="paragraph" w:styleId="14">
    <w:name w:val="Normal (Web)"/>
    <w:basedOn w:val="1"/>
    <w:semiHidden/>
    <w:unhideWhenUsed/>
    <w:qFormat/>
    <w:uiPriority w:val="99"/>
    <w:pPr>
      <w:spacing w:before="100" w:beforeAutospacing="1" w:after="100" w:afterAutospacing="1"/>
    </w:pPr>
  </w:style>
  <w:style w:type="paragraph" w:styleId="15">
    <w:name w:val="Title"/>
    <w:basedOn w:val="1"/>
    <w:next w:val="1"/>
    <w:link w:val="30"/>
    <w:qFormat/>
    <w:uiPriority w:val="10"/>
    <w:pPr>
      <w:widowControl w:val="0"/>
      <w:spacing w:after="80"/>
      <w:contextualSpacing/>
      <w:jc w:val="center"/>
    </w:pPr>
    <w:rPr>
      <w:rFonts w:asciiTheme="majorHAnsi" w:hAnsiTheme="majorHAnsi" w:eastAsiaTheme="majorEastAsia" w:cstheme="majorBidi"/>
      <w:spacing w:val="-10"/>
      <w:kern w:val="28"/>
      <w:sz w:val="56"/>
      <w:szCs w:val="56"/>
      <w14:ligatures w14:val="standardContextual"/>
    </w:rPr>
  </w:style>
  <w:style w:type="table" w:styleId="17">
    <w:name w:val="Table Grid"/>
    <w:basedOn w:val="16"/>
    <w:qFormat/>
    <w:uiPriority w:val="39"/>
    <w:rPr>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table" w:customStyle="1" w:styleId="20">
    <w:name w:val="三线表"/>
    <w:basedOn w:val="16"/>
    <w:qFormat/>
    <w:uiPriority w:val="99"/>
    <w:pPr>
      <w:spacing w:line="360" w:lineRule="auto"/>
      <w:jc w:val="both"/>
    </w:pPr>
    <w:rPr>
      <w:sz w:val="24"/>
      <w:szCs w:val="22"/>
    </w:rPr>
    <w:tblPr>
      <w:tblBorders>
        <w:top w:val="single" w:color="auto" w:sz="12" w:space="0"/>
        <w:bottom w:val="single" w:color="auto" w:sz="12" w:space="0"/>
      </w:tblBorders>
    </w:tblPr>
    <w:tcPr>
      <w:vAlign w:val="center"/>
    </w:tcPr>
  </w:style>
  <w:style w:type="character" w:customStyle="1" w:styleId="21">
    <w:name w:val="标题 1 字符"/>
    <w:basedOn w:val="18"/>
    <w:link w:val="2"/>
    <w:qFormat/>
    <w:uiPriority w:val="9"/>
    <w:rPr>
      <w:rFonts w:asciiTheme="majorHAnsi" w:hAnsiTheme="majorHAnsi" w:eastAsiaTheme="majorEastAsia" w:cstheme="majorBidi"/>
      <w:color w:val="2F5597" w:themeColor="accent1" w:themeShade="BF"/>
      <w:sz w:val="48"/>
      <w:szCs w:val="48"/>
    </w:rPr>
  </w:style>
  <w:style w:type="character" w:customStyle="1" w:styleId="22">
    <w:name w:val="标题 2 字符"/>
    <w:basedOn w:val="18"/>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23">
    <w:name w:val="标题 3 字符"/>
    <w:basedOn w:val="18"/>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4">
    <w:name w:val="标题 4 字符"/>
    <w:basedOn w:val="18"/>
    <w:link w:val="5"/>
    <w:semiHidden/>
    <w:qFormat/>
    <w:uiPriority w:val="9"/>
    <w:rPr>
      <w:rFonts w:cstheme="majorBidi"/>
      <w:color w:val="2F5597" w:themeColor="accent1" w:themeShade="BF"/>
      <w:sz w:val="28"/>
      <w:szCs w:val="28"/>
    </w:rPr>
  </w:style>
  <w:style w:type="character" w:customStyle="1" w:styleId="25">
    <w:name w:val="标题 5 字符"/>
    <w:basedOn w:val="18"/>
    <w:link w:val="6"/>
    <w:semiHidden/>
    <w:qFormat/>
    <w:uiPriority w:val="9"/>
    <w:rPr>
      <w:rFonts w:cstheme="majorBidi"/>
      <w:color w:val="2F5597" w:themeColor="accent1" w:themeShade="BF"/>
      <w:sz w:val="24"/>
    </w:rPr>
  </w:style>
  <w:style w:type="character" w:customStyle="1" w:styleId="26">
    <w:name w:val="标题 6 字符"/>
    <w:basedOn w:val="18"/>
    <w:link w:val="7"/>
    <w:semiHidden/>
    <w:qFormat/>
    <w:uiPriority w:val="9"/>
    <w:rPr>
      <w:rFonts w:cstheme="majorBidi"/>
      <w:b/>
      <w:bCs/>
      <w:color w:val="2F5597" w:themeColor="accent1" w:themeShade="BF"/>
    </w:rPr>
  </w:style>
  <w:style w:type="character" w:customStyle="1" w:styleId="27">
    <w:name w:val="标题 7 字符"/>
    <w:basedOn w:val="18"/>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8">
    <w:name w:val="标题 8 字符"/>
    <w:basedOn w:val="18"/>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9">
    <w:name w:val="标题 9 字符"/>
    <w:basedOn w:val="18"/>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0">
    <w:name w:val="标题 字符"/>
    <w:basedOn w:val="18"/>
    <w:link w:val="15"/>
    <w:qFormat/>
    <w:uiPriority w:val="10"/>
    <w:rPr>
      <w:rFonts w:asciiTheme="majorHAnsi" w:hAnsiTheme="majorHAnsi" w:eastAsiaTheme="majorEastAsia" w:cstheme="majorBidi"/>
      <w:spacing w:val="-10"/>
      <w:kern w:val="28"/>
      <w:sz w:val="56"/>
      <w:szCs w:val="56"/>
    </w:rPr>
  </w:style>
  <w:style w:type="character" w:customStyle="1" w:styleId="31">
    <w:name w:val="副标题 字符"/>
    <w:basedOn w:val="18"/>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Quote"/>
    <w:basedOn w:val="1"/>
    <w:next w:val="1"/>
    <w:link w:val="33"/>
    <w:qFormat/>
    <w:uiPriority w:val="29"/>
    <w:pPr>
      <w:widowControl w:val="0"/>
      <w:spacing w:before="160" w:after="160" w:line="278" w:lineRule="auto"/>
      <w:jc w:val="center"/>
    </w:pPr>
    <w:rPr>
      <w:rFonts w:asciiTheme="minorHAnsi" w:hAnsiTheme="minorHAnsi" w:eastAsiaTheme="minorEastAsia" w:cstheme="minorBidi"/>
      <w:i/>
      <w:iCs/>
      <w:color w:val="404040" w:themeColor="text1" w:themeTint="BF"/>
      <w:kern w:val="2"/>
      <w:sz w:val="22"/>
      <w14:textFill>
        <w14:solidFill>
          <w14:schemeClr w14:val="tx1">
            <w14:lumMod w14:val="75000"/>
            <w14:lumOff w14:val="25000"/>
          </w14:schemeClr>
        </w14:solidFill>
      </w14:textFill>
      <w14:ligatures w14:val="standardContextual"/>
    </w:rPr>
  </w:style>
  <w:style w:type="character" w:customStyle="1" w:styleId="33">
    <w:name w:val="引用 字符"/>
    <w:basedOn w:val="18"/>
    <w:link w:val="32"/>
    <w:qFormat/>
    <w:uiPriority w:val="29"/>
    <w:rPr>
      <w:i/>
      <w:iCs/>
      <w:color w:val="404040" w:themeColor="text1" w:themeTint="BF"/>
      <w14:textFill>
        <w14:solidFill>
          <w14:schemeClr w14:val="tx1">
            <w14:lumMod w14:val="75000"/>
            <w14:lumOff w14:val="25000"/>
          </w14:schemeClr>
        </w14:solidFill>
      </w14:textFill>
    </w:rPr>
  </w:style>
  <w:style w:type="paragraph" w:styleId="34">
    <w:name w:val="List Paragraph"/>
    <w:basedOn w:val="1"/>
    <w:qFormat/>
    <w:uiPriority w:val="34"/>
    <w:pPr>
      <w:widowControl w:val="0"/>
      <w:spacing w:after="160" w:line="278" w:lineRule="auto"/>
      <w:ind w:left="720"/>
      <w:contextualSpacing/>
    </w:pPr>
    <w:rPr>
      <w:rFonts w:asciiTheme="minorHAnsi" w:hAnsiTheme="minorHAnsi" w:eastAsiaTheme="minorEastAsia" w:cstheme="minorBidi"/>
      <w:kern w:val="2"/>
      <w:sz w:val="22"/>
      <w14:ligatures w14:val="standardContextual"/>
    </w:rPr>
  </w:style>
  <w:style w:type="character" w:customStyle="1" w:styleId="35">
    <w:name w:val="明显强调1"/>
    <w:basedOn w:val="18"/>
    <w:qFormat/>
    <w:uiPriority w:val="21"/>
    <w:rPr>
      <w:i/>
      <w:iCs/>
      <w:color w:val="2F5597" w:themeColor="accent1" w:themeShade="BF"/>
    </w:rPr>
  </w:style>
  <w:style w:type="paragraph" w:styleId="36">
    <w:name w:val="Intense Quote"/>
    <w:basedOn w:val="1"/>
    <w:next w:val="1"/>
    <w:link w:val="37"/>
    <w:qFormat/>
    <w:uiPriority w:val="30"/>
    <w:pPr>
      <w:widowControl w:val="0"/>
      <w:pBdr>
        <w:top w:val="single" w:color="2F5496" w:themeColor="accent1" w:themeShade="BF" w:sz="4" w:space="10"/>
        <w:bottom w:val="single" w:color="2F5496" w:themeColor="accent1" w:themeShade="BF" w:sz="4" w:space="10"/>
      </w:pBdr>
      <w:spacing w:before="360" w:after="360" w:line="278" w:lineRule="auto"/>
      <w:ind w:left="864" w:right="864"/>
      <w:jc w:val="center"/>
    </w:pPr>
    <w:rPr>
      <w:rFonts w:asciiTheme="minorHAnsi" w:hAnsiTheme="minorHAnsi" w:eastAsiaTheme="minorEastAsia" w:cstheme="minorBidi"/>
      <w:i/>
      <w:iCs/>
      <w:color w:val="2F5597" w:themeColor="accent1" w:themeShade="BF"/>
      <w:kern w:val="2"/>
      <w:sz w:val="22"/>
      <w14:ligatures w14:val="standardContextual"/>
    </w:rPr>
  </w:style>
  <w:style w:type="character" w:customStyle="1" w:styleId="37">
    <w:name w:val="明显引用 字符"/>
    <w:basedOn w:val="18"/>
    <w:link w:val="36"/>
    <w:qFormat/>
    <w:uiPriority w:val="30"/>
    <w:rPr>
      <w:i/>
      <w:iCs/>
      <w:color w:val="2F5597" w:themeColor="accent1" w:themeShade="BF"/>
    </w:rPr>
  </w:style>
  <w:style w:type="character" w:customStyle="1" w:styleId="38">
    <w:name w:val="明显参考1"/>
    <w:basedOn w:val="18"/>
    <w:qFormat/>
    <w:uiPriority w:val="32"/>
    <w:rPr>
      <w:b/>
      <w:bCs/>
      <w:smallCaps/>
      <w:color w:val="2F5597" w:themeColor="accent1" w:themeShade="BF"/>
      <w:spacing w:val="5"/>
    </w:rPr>
  </w:style>
  <w:style w:type="character" w:customStyle="1" w:styleId="39">
    <w:name w:val="页眉 字符"/>
    <w:basedOn w:val="18"/>
    <w:link w:val="12"/>
    <w:qFormat/>
    <w:uiPriority w:val="99"/>
    <w:rPr>
      <w:sz w:val="18"/>
      <w:szCs w:val="18"/>
    </w:rPr>
  </w:style>
  <w:style w:type="character" w:customStyle="1" w:styleId="40">
    <w:name w:val="页脚 字符"/>
    <w:basedOn w:val="18"/>
    <w:link w:val="11"/>
    <w:qFormat/>
    <w:uiPriority w:val="99"/>
    <w:rPr>
      <w:sz w:val="18"/>
      <w:szCs w:val="18"/>
    </w:rPr>
  </w:style>
  <w:style w:type="paragraph" w:customStyle="1" w:styleId="41">
    <w:name w:val="msonormal"/>
    <w:basedOn w:val="1"/>
    <w:qFormat/>
    <w:uiPriority w:val="0"/>
    <w:pPr>
      <w:spacing w:before="100" w:beforeAutospacing="1" w:after="100" w:afterAutospacing="1"/>
    </w:pPr>
  </w:style>
  <w:style w:type="paragraph" w:customStyle="1" w:styleId="42">
    <w:name w:val="font0"/>
    <w:basedOn w:val="1"/>
    <w:qFormat/>
    <w:uiPriority w:val="0"/>
    <w:pPr>
      <w:spacing w:before="100" w:beforeAutospacing="1" w:after="100" w:afterAutospacing="1"/>
    </w:pPr>
    <w:rPr>
      <w:color w:val="000000"/>
      <w:sz w:val="22"/>
      <w:szCs w:val="22"/>
    </w:rPr>
  </w:style>
  <w:style w:type="paragraph" w:customStyle="1" w:styleId="43">
    <w:name w:val="et2"/>
    <w:basedOn w:val="1"/>
    <w:qFormat/>
    <w:uiPriority w:val="0"/>
    <w:pPr>
      <w:spacing w:before="100" w:beforeAutospacing="1" w:after="100" w:afterAutospacing="1"/>
    </w:pPr>
  </w:style>
  <w:style w:type="character" w:customStyle="1" w:styleId="44">
    <w:name w:val="font21"/>
    <w:basedOn w:val="18"/>
    <w:qFormat/>
    <w:uiPriority w:val="0"/>
    <w:rPr>
      <w:rFonts w:hint="default" w:ascii="Times New Roman" w:hAnsi="Times New Roman" w:cs="Times New Roman"/>
      <w:i/>
      <w:iCs/>
      <w:color w:val="000000"/>
      <w:sz w:val="24"/>
      <w:szCs w:val="24"/>
      <w:u w:val="none"/>
    </w:rPr>
  </w:style>
  <w:style w:type="character" w:customStyle="1" w:styleId="45">
    <w:name w:val="font31"/>
    <w:basedOn w:val="18"/>
    <w:qFormat/>
    <w:uiPriority w:val="0"/>
    <w:rPr>
      <w:rFonts w:hint="default" w:ascii="Times New Roman" w:hAnsi="Times New Roman" w:cs="Times New Roman"/>
      <w:i/>
      <w:iCs/>
      <w:color w:val="000000"/>
      <w:sz w:val="24"/>
      <w:szCs w:val="24"/>
      <w:u w:val="none"/>
    </w:rPr>
  </w:style>
  <w:style w:type="character" w:customStyle="1" w:styleId="46">
    <w:name w:val="font41"/>
    <w:basedOn w:val="18"/>
    <w:qFormat/>
    <w:uiPriority w:val="0"/>
    <w:rPr>
      <w:rFonts w:hint="default" w:ascii="Times New Roman" w:hAnsi="Times New Roman" w:cs="Times New Roman"/>
      <w:i/>
      <w:iCs/>
      <w:color w:val="000000"/>
      <w:sz w:val="24"/>
      <w:szCs w:val="24"/>
      <w:u w:val="none"/>
    </w:rPr>
  </w:style>
  <w:style w:type="character" w:customStyle="1" w:styleId="47">
    <w:name w:val="font51"/>
    <w:basedOn w:val="18"/>
    <w:qFormat/>
    <w:uiPriority w:val="0"/>
    <w:rPr>
      <w:rFonts w:hint="default" w:ascii="Times New Roman" w:hAnsi="Times New Roman" w:cs="Times New Roman"/>
      <w:i/>
      <w:iCs/>
      <w:color w:val="000000"/>
      <w:sz w:val="24"/>
      <w:szCs w:val="24"/>
      <w:u w:val="none"/>
    </w:rPr>
  </w:style>
  <w:style w:type="paragraph" w:customStyle="1" w:styleId="48">
    <w:name w:val="Revision"/>
    <w:hidden/>
    <w:unhideWhenUsed/>
    <w:qFormat/>
    <w:uiPriority w:val="99"/>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830AE-B04D-4076-B65E-DE077058E28A}">
  <ds:schemaRefs/>
</ds:datastoreItem>
</file>

<file path=docProps/app.xml><?xml version="1.0" encoding="utf-8"?>
<Properties xmlns="http://schemas.openxmlformats.org/officeDocument/2006/extended-properties" xmlns:vt="http://schemas.openxmlformats.org/officeDocument/2006/docPropsVTypes">
  <Template>Normal</Template>
  <Pages>8</Pages>
  <Words>591</Words>
  <Characters>3670</Characters>
  <Lines>53</Lines>
  <Paragraphs>8</Paragraphs>
  <TotalTime>76</TotalTime>
  <ScaleCrop>false</ScaleCrop>
  <LinksUpToDate>false</LinksUpToDate>
  <CharactersWithSpaces>4083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2025-07-17T09:22:00Z</dcterms:created>
  <dc:creator>han lai</dc:creator>
  <cp:lastModifiedBy>奶茶味便当</cp:lastModifiedBy>
  <dcterms:modified xsi:type="dcterms:W3CDTF">2026-02-03T03:49:27Z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eyJoZGlkIjoiYWQyNTYzMmI4MTg0NjEwODIwYTk5NmRhMmM5N2IwMzYiLCJ1c2VySWQiOiI2NjQwNzk4MjYifQ==</vt:lpwstr>
  </property>
  <property fmtid="{D5CDD505-2E9C-101B-9397-08002B2CF9AE}" pid="3" name="KSOProductBuildVer">
    <vt:lpwstr>2052-12.1.0.25225</vt:lpwstr>
  </property>
  <property fmtid="{D5CDD505-2E9C-101B-9397-08002B2CF9AE}" pid="4" name="ICV">
    <vt:lpwstr>7F271D9AD5764BEDA3981AE34F911202_12</vt:lpwstr>
  </property>
</Properties>
</file>