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864" w:rsidRPr="003101EC" w:rsidRDefault="00DC5864" w:rsidP="00DC5864">
      <w:pPr>
        <w:rPr>
          <w:rFonts w:ascii="Arial" w:hAnsi="Arial" w:cs="Arial"/>
          <w:b/>
          <w:bCs/>
          <w:color w:val="000000"/>
          <w:lang w:val="en-GB"/>
        </w:rPr>
      </w:pPr>
      <w:r>
        <w:rPr>
          <w:rFonts w:ascii="Arial" w:hAnsi="Arial" w:cs="Arial"/>
          <w:b/>
          <w:bCs/>
          <w:color w:val="000000"/>
          <w:lang w:val="en-GB"/>
        </w:rPr>
        <w:t xml:space="preserve">Extended data </w:t>
      </w:r>
      <w:r w:rsidRPr="003101EC">
        <w:rPr>
          <w:rFonts w:ascii="Arial" w:hAnsi="Arial" w:cs="Arial"/>
          <w:b/>
          <w:bCs/>
          <w:lang w:val="en-GB"/>
        </w:rPr>
        <w:t xml:space="preserve">Table </w:t>
      </w:r>
      <w:r>
        <w:rPr>
          <w:rFonts w:ascii="Arial" w:hAnsi="Arial" w:cs="Arial"/>
          <w:b/>
          <w:bCs/>
          <w:lang w:val="en-GB"/>
        </w:rPr>
        <w:t>1</w:t>
      </w:r>
      <w:r w:rsidRPr="003101EC">
        <w:rPr>
          <w:rFonts w:ascii="Arial" w:hAnsi="Arial" w:cs="Arial"/>
          <w:b/>
          <w:bCs/>
          <w:lang w:val="en-GB"/>
        </w:rPr>
        <w:t xml:space="preserve">. </w:t>
      </w:r>
      <w:r w:rsidRPr="003101EC">
        <w:rPr>
          <w:rFonts w:ascii="Arial" w:hAnsi="Arial" w:cs="Arial"/>
          <w:lang w:val="en-GB"/>
        </w:rPr>
        <w:t xml:space="preserve">Comparison of </w:t>
      </w:r>
      <w:r w:rsidRPr="003101EC">
        <w:rPr>
          <w:rFonts w:ascii="Arial" w:hAnsi="Arial" w:cs="Arial"/>
          <w:color w:val="000000"/>
          <w:lang w:val="en-GB"/>
        </w:rPr>
        <w:t>the haemagglutination test antibody endpoint titres against the Wuhan-like virus to the neutralisation and binding antibodies in the WHO anti-SARS-CoV-2 international standards</w:t>
      </w:r>
      <w:r w:rsidRPr="003101EC">
        <w:rPr>
          <w:rFonts w:ascii="Arial" w:hAnsi="Arial" w:cs="Arial"/>
          <w:b/>
          <w:bCs/>
          <w:color w:val="000000"/>
          <w:lang w:val="en-GB"/>
        </w:rPr>
        <w:t xml:space="preserve"> </w:t>
      </w:r>
    </w:p>
    <w:tbl>
      <w:tblPr>
        <w:tblStyle w:val="TableGrid"/>
        <w:tblpPr w:leftFromText="141" w:rightFromText="141" w:vertAnchor="text" w:horzAnchor="margin" w:tblpY="174"/>
        <w:tblW w:w="7933" w:type="dxa"/>
        <w:tblLayout w:type="fixed"/>
        <w:tblLook w:val="04A0" w:firstRow="1" w:lastRow="0" w:firstColumn="1" w:lastColumn="0" w:noHBand="0" w:noVBand="1"/>
      </w:tblPr>
      <w:tblGrid>
        <w:gridCol w:w="3964"/>
        <w:gridCol w:w="993"/>
        <w:gridCol w:w="992"/>
        <w:gridCol w:w="992"/>
        <w:gridCol w:w="992"/>
      </w:tblGrid>
      <w:tr w:rsidR="00DC5864" w:rsidRPr="003101EC" w:rsidTr="001A2373">
        <w:trPr>
          <w:trHeight w:val="525"/>
        </w:trPr>
        <w:tc>
          <w:tcPr>
            <w:tcW w:w="3964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DC5864" w:rsidRPr="003101EC" w:rsidRDefault="00DC5864" w:rsidP="001A2373">
            <w:pPr>
              <w:pStyle w:val="NormalWeb"/>
              <w:jc w:val="center"/>
              <w:rPr>
                <w:rFonts w:ascii="Arial" w:hAnsi="Arial" w:cs="Arial"/>
                <w:vertAlign w:val="superscript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WHO antibody standards</w:t>
            </w:r>
            <w:r w:rsidRPr="003101EC">
              <w:rPr>
                <w:rFonts w:ascii="Arial" w:hAnsi="Arial" w:cs="Arial"/>
                <w:vertAlign w:val="superscript"/>
                <w:lang w:val="en-GB"/>
              </w:rPr>
              <w:t>*</w:t>
            </w:r>
          </w:p>
        </w:tc>
      </w:tr>
      <w:tr w:rsidR="00DC5864" w:rsidRPr="003101EC" w:rsidTr="001A2373">
        <w:trPr>
          <w:trHeight w:val="525"/>
        </w:trPr>
        <w:tc>
          <w:tcPr>
            <w:tcW w:w="3964" w:type="dxa"/>
            <w:vAlign w:val="center"/>
          </w:tcPr>
          <w:p w:rsidR="00DC5864" w:rsidRPr="003101EC" w:rsidRDefault="00DC5864" w:rsidP="001A2373">
            <w:pPr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Antibody test</w:t>
            </w:r>
          </w:p>
        </w:tc>
        <w:tc>
          <w:tcPr>
            <w:tcW w:w="993" w:type="dxa"/>
            <w:vAlign w:val="center"/>
          </w:tcPr>
          <w:p w:rsidR="00DC5864" w:rsidRPr="003101EC" w:rsidRDefault="00DC5864" w:rsidP="001A2373">
            <w:pPr>
              <w:pStyle w:val="NormalWeb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High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pStyle w:val="NormalWeb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Mid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pStyle w:val="NormalWeb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Low S, high N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pStyle w:val="NormalWeb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Low S</w:t>
            </w:r>
          </w:p>
        </w:tc>
      </w:tr>
      <w:tr w:rsidR="00DC5864" w:rsidRPr="003101EC" w:rsidTr="001A2373">
        <w:trPr>
          <w:trHeight w:val="249"/>
        </w:trPr>
        <w:tc>
          <w:tcPr>
            <w:tcW w:w="3964" w:type="dxa"/>
            <w:vAlign w:val="center"/>
          </w:tcPr>
          <w:p w:rsidR="00DC5864" w:rsidRPr="003101EC" w:rsidRDefault="00DC5864" w:rsidP="001A2373">
            <w:pPr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HAT</w:t>
            </w:r>
          </w:p>
        </w:tc>
        <w:tc>
          <w:tcPr>
            <w:tcW w:w="993" w:type="dxa"/>
            <w:vAlign w:val="center"/>
          </w:tcPr>
          <w:p w:rsidR="00DC5864" w:rsidRPr="003101EC" w:rsidRDefault="00DC5864" w:rsidP="001A2373">
            <w:pPr>
              <w:pStyle w:val="NormalWeb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5120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color w:val="000000"/>
                <w:lang w:val="en-GB"/>
              </w:rPr>
              <w:t>640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5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5</w:t>
            </w:r>
          </w:p>
        </w:tc>
      </w:tr>
      <w:tr w:rsidR="00DC5864" w:rsidRPr="003101EC" w:rsidTr="001A2373">
        <w:trPr>
          <w:trHeight w:val="261"/>
        </w:trPr>
        <w:tc>
          <w:tcPr>
            <w:tcW w:w="3964" w:type="dxa"/>
            <w:vAlign w:val="center"/>
          </w:tcPr>
          <w:p w:rsidR="00DC5864" w:rsidRPr="003101EC" w:rsidRDefault="00DC5864" w:rsidP="001A2373">
            <w:pPr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MN titre (IC</w:t>
            </w:r>
            <w:r w:rsidRPr="003101EC">
              <w:rPr>
                <w:rFonts w:ascii="Arial" w:hAnsi="Arial" w:cs="Arial"/>
                <w:vertAlign w:val="subscript"/>
                <w:lang w:val="en-GB"/>
              </w:rPr>
              <w:t>50</w:t>
            </w:r>
            <w:r w:rsidRPr="003101EC"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993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2298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240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55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21</w:t>
            </w:r>
          </w:p>
        </w:tc>
      </w:tr>
      <w:tr w:rsidR="00DC5864" w:rsidRPr="003101EC" w:rsidTr="001A2373">
        <w:trPr>
          <w:trHeight w:val="261"/>
        </w:trPr>
        <w:tc>
          <w:tcPr>
            <w:tcW w:w="3964" w:type="dxa"/>
            <w:vAlign w:val="center"/>
          </w:tcPr>
          <w:p w:rsidR="00DC5864" w:rsidRPr="003101EC" w:rsidRDefault="00DC5864" w:rsidP="001A2373">
            <w:pPr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Neutralisation antibodies (IU/mL)</w:t>
            </w:r>
            <w:r w:rsidRPr="003101EC">
              <w:rPr>
                <w:rFonts w:ascii="Arial" w:hAnsi="Arial" w:cs="Arial"/>
                <w:vertAlign w:val="superscript"/>
                <w:lang w:val="en-GB"/>
              </w:rPr>
              <w:t>#</w:t>
            </w:r>
          </w:p>
        </w:tc>
        <w:tc>
          <w:tcPr>
            <w:tcW w:w="993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1473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210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58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44</w:t>
            </w:r>
          </w:p>
        </w:tc>
      </w:tr>
      <w:tr w:rsidR="00DC5864" w:rsidRPr="003101EC" w:rsidTr="001A2373">
        <w:trPr>
          <w:trHeight w:val="261"/>
        </w:trPr>
        <w:tc>
          <w:tcPr>
            <w:tcW w:w="3964" w:type="dxa"/>
            <w:vAlign w:val="center"/>
          </w:tcPr>
          <w:p w:rsidR="00DC5864" w:rsidRPr="003101EC" w:rsidRDefault="00DC5864" w:rsidP="001A2373">
            <w:pPr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Anti-RBD (BAU/mL)</w:t>
            </w:r>
          </w:p>
        </w:tc>
        <w:tc>
          <w:tcPr>
            <w:tcW w:w="993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817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205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66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45</w:t>
            </w:r>
          </w:p>
        </w:tc>
      </w:tr>
      <w:tr w:rsidR="00DC5864" w:rsidRPr="003101EC" w:rsidTr="001A2373">
        <w:trPr>
          <w:trHeight w:val="249"/>
        </w:trPr>
        <w:tc>
          <w:tcPr>
            <w:tcW w:w="3964" w:type="dxa"/>
            <w:vAlign w:val="center"/>
          </w:tcPr>
          <w:p w:rsidR="00DC5864" w:rsidRPr="003101EC" w:rsidRDefault="00DC5864" w:rsidP="001A2373">
            <w:pPr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IgG anti-S1 (BAU/mL)</w:t>
            </w:r>
            <w:r w:rsidRPr="003101EC">
              <w:rPr>
                <w:rFonts w:ascii="Arial" w:hAnsi="Arial" w:cs="Arial"/>
                <w:vertAlign w:val="superscript"/>
                <w:lang w:val="en-GB"/>
              </w:rPr>
              <w:t>#</w:t>
            </w:r>
          </w:p>
        </w:tc>
        <w:tc>
          <w:tcPr>
            <w:tcW w:w="993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766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246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50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46</w:t>
            </w:r>
          </w:p>
        </w:tc>
      </w:tr>
      <w:tr w:rsidR="00DC5864" w:rsidRPr="003101EC" w:rsidTr="001A2373">
        <w:trPr>
          <w:trHeight w:val="261"/>
        </w:trPr>
        <w:tc>
          <w:tcPr>
            <w:tcW w:w="3964" w:type="dxa"/>
            <w:vAlign w:val="center"/>
          </w:tcPr>
          <w:p w:rsidR="00DC5864" w:rsidRPr="00A01B19" w:rsidRDefault="00DC5864" w:rsidP="001A2373">
            <w:pPr>
              <w:rPr>
                <w:rFonts w:ascii="Arial" w:hAnsi="Arial" w:cs="Arial"/>
              </w:rPr>
            </w:pPr>
            <w:r w:rsidRPr="00A01B19">
              <w:rPr>
                <w:rFonts w:ascii="Arial" w:hAnsi="Arial" w:cs="Arial"/>
              </w:rPr>
              <w:t>IgG anti-Spike IgG (BAU/mL)</w:t>
            </w:r>
            <w:r w:rsidRPr="00A01B19">
              <w:rPr>
                <w:rFonts w:ascii="Arial" w:hAnsi="Arial" w:cs="Arial"/>
                <w:vertAlign w:val="superscript"/>
              </w:rPr>
              <w:t>#</w:t>
            </w:r>
          </w:p>
        </w:tc>
        <w:tc>
          <w:tcPr>
            <w:tcW w:w="993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832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241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83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53</w:t>
            </w:r>
          </w:p>
        </w:tc>
      </w:tr>
      <w:tr w:rsidR="00DC5864" w:rsidRPr="003101EC" w:rsidTr="001A2373">
        <w:trPr>
          <w:trHeight w:val="261"/>
        </w:trPr>
        <w:tc>
          <w:tcPr>
            <w:tcW w:w="3964" w:type="dxa"/>
            <w:vAlign w:val="center"/>
          </w:tcPr>
          <w:p w:rsidR="00DC5864" w:rsidRPr="003101EC" w:rsidRDefault="00DC5864" w:rsidP="001A2373">
            <w:pPr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Anti-N IgG (BAU/mL)</w:t>
            </w:r>
            <w:r w:rsidRPr="003101EC">
              <w:rPr>
                <w:rFonts w:ascii="Arial" w:hAnsi="Arial" w:cs="Arial"/>
                <w:vertAlign w:val="superscript"/>
                <w:lang w:val="en-GB"/>
              </w:rPr>
              <w:t>#</w:t>
            </w:r>
          </w:p>
        </w:tc>
        <w:tc>
          <w:tcPr>
            <w:tcW w:w="993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713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295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146</w:t>
            </w:r>
          </w:p>
        </w:tc>
        <w:tc>
          <w:tcPr>
            <w:tcW w:w="992" w:type="dxa"/>
            <w:vAlign w:val="center"/>
          </w:tcPr>
          <w:p w:rsidR="00DC5864" w:rsidRPr="003101EC" w:rsidRDefault="00DC5864" w:rsidP="001A2373">
            <w:pPr>
              <w:ind w:left="318" w:hanging="318"/>
              <w:jc w:val="center"/>
              <w:rPr>
                <w:rFonts w:ascii="Arial" w:hAnsi="Arial" w:cs="Arial"/>
                <w:color w:val="000000"/>
                <w:lang w:val="en-GB"/>
              </w:rPr>
            </w:pPr>
            <w:r w:rsidRPr="003101EC">
              <w:rPr>
                <w:rFonts w:ascii="Arial" w:hAnsi="Arial" w:cs="Arial"/>
                <w:lang w:val="en-GB"/>
              </w:rPr>
              <w:t>12</w:t>
            </w:r>
          </w:p>
        </w:tc>
      </w:tr>
    </w:tbl>
    <w:p w:rsidR="00DC5864" w:rsidRPr="003101EC" w:rsidRDefault="00DC5864" w:rsidP="00DC5864">
      <w:pPr>
        <w:ind w:left="-851"/>
        <w:rPr>
          <w:rFonts w:ascii="Arial" w:hAnsi="Arial" w:cs="Arial"/>
          <w:lang w:val="en-GB"/>
        </w:rPr>
      </w:pPr>
    </w:p>
    <w:p w:rsidR="00DC5864" w:rsidRPr="003101EC" w:rsidRDefault="00DC5864" w:rsidP="00DC5864">
      <w:pPr>
        <w:ind w:left="-851"/>
        <w:rPr>
          <w:rFonts w:ascii="Arial" w:hAnsi="Arial" w:cs="Arial"/>
          <w:lang w:val="en-GB"/>
        </w:rPr>
      </w:pPr>
    </w:p>
    <w:p w:rsidR="00DC5864" w:rsidRPr="003101EC" w:rsidRDefault="00DC5864" w:rsidP="00DC5864">
      <w:pPr>
        <w:ind w:left="-851"/>
        <w:rPr>
          <w:rFonts w:ascii="Arial" w:hAnsi="Arial" w:cs="Arial"/>
          <w:lang w:val="en-GB"/>
        </w:rPr>
      </w:pP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</w:p>
    <w:p w:rsidR="00DC5864" w:rsidRPr="00F274CD" w:rsidRDefault="00DC5864" w:rsidP="00DC5864">
      <w:pPr>
        <w:pStyle w:val="NormalWeb"/>
        <w:rPr>
          <w:rFonts w:ascii="Arial" w:hAnsi="Arial" w:cs="Arial"/>
          <w:color w:val="000000" w:themeColor="text1"/>
          <w:lang w:val="en-GB"/>
        </w:rPr>
      </w:pPr>
      <w:r w:rsidRPr="003101EC">
        <w:rPr>
          <w:rFonts w:ascii="Arial" w:hAnsi="Arial" w:cs="Arial"/>
          <w:color w:val="222222"/>
          <w:vertAlign w:val="superscript"/>
          <w:lang w:val="en-GB"/>
        </w:rPr>
        <w:t>*</w:t>
      </w:r>
      <w:r w:rsidRPr="003101EC">
        <w:rPr>
          <w:rFonts w:ascii="Arial" w:hAnsi="Arial" w:cs="Arial"/>
          <w:color w:val="222222"/>
          <w:lang w:val="en-GB"/>
        </w:rPr>
        <w:t xml:space="preserve">The WHO </w:t>
      </w:r>
      <w:r w:rsidRPr="003101EC">
        <w:rPr>
          <w:rFonts w:ascii="Arial" w:hAnsi="Arial" w:cs="Arial"/>
          <w:color w:val="000000"/>
          <w:lang w:val="en-GB"/>
        </w:rPr>
        <w:t>anti-SARS-CoV-2 international standards (20/268 NIBSC, UK) contained high (</w:t>
      </w:r>
      <w:r w:rsidRPr="003101EC">
        <w:rPr>
          <w:rFonts w:ascii="Arial" w:hAnsi="Arial" w:cs="Arial"/>
          <w:lang w:val="en-GB"/>
        </w:rPr>
        <w:t xml:space="preserve">20/150), mid (20/148), low S and high N (20/144) and low S (20/140) human antibodies. The HAT endpoint titres are compared MN titres and </w:t>
      </w:r>
      <w:r w:rsidRPr="003101EC">
        <w:rPr>
          <w:rFonts w:ascii="Arial" w:hAnsi="Arial" w:cs="Arial"/>
          <w:vertAlign w:val="superscript"/>
          <w:lang w:val="en-GB"/>
        </w:rPr>
        <w:t>#</w:t>
      </w:r>
      <w:r w:rsidRPr="003101EC">
        <w:rPr>
          <w:rFonts w:ascii="Arial" w:hAnsi="Arial" w:cs="Arial"/>
          <w:lang w:val="en-GB"/>
        </w:rPr>
        <w:t xml:space="preserve">neutralisation titres (IU/ml), and antibody binding (BAU/mL) as reported by NIBSC. </w:t>
      </w:r>
      <w:r w:rsidRPr="00F274CD">
        <w:rPr>
          <w:rFonts w:ascii="Arial" w:hAnsi="Arial" w:cs="Arial"/>
          <w:color w:val="000000" w:themeColor="text1"/>
          <w:lang w:val="en-GB"/>
        </w:rPr>
        <w:t>Negative HAT tests are given a value of 5 for consistency.</w:t>
      </w:r>
    </w:p>
    <w:p w:rsidR="00DC5864" w:rsidRPr="003101EC" w:rsidRDefault="00DC5864" w:rsidP="00DC5864">
      <w:pPr>
        <w:pStyle w:val="NormalWeb"/>
        <w:rPr>
          <w:rFonts w:ascii="Arial" w:hAnsi="Arial" w:cs="Arial"/>
          <w:color w:val="FF0000"/>
          <w:lang w:val="en-GB"/>
        </w:rPr>
      </w:pPr>
    </w:p>
    <w:p w:rsidR="00DC5864" w:rsidRDefault="00DC5864" w:rsidP="00DC5864">
      <w:pPr>
        <w:rPr>
          <w:rFonts w:ascii="Arial" w:hAnsi="Arial" w:cs="Arial"/>
          <w:b/>
          <w:bCs/>
          <w:color w:val="000000"/>
          <w:lang w:val="en-GB"/>
        </w:rPr>
      </w:pPr>
      <w:r>
        <w:rPr>
          <w:rFonts w:ascii="Arial" w:hAnsi="Arial" w:cs="Arial"/>
          <w:b/>
          <w:bCs/>
          <w:color w:val="000000"/>
          <w:lang w:val="en-GB"/>
        </w:rPr>
        <w:br w:type="page"/>
      </w:r>
    </w:p>
    <w:p w:rsidR="00DC5864" w:rsidRDefault="00DC5864" w:rsidP="00DC5864">
      <w:pPr>
        <w:rPr>
          <w:rFonts w:ascii="Arial" w:hAnsi="Arial" w:cs="Arial"/>
          <w:b/>
          <w:bCs/>
          <w:color w:val="000000"/>
          <w:lang w:val="en-GB"/>
        </w:rPr>
      </w:pPr>
      <w:r>
        <w:rPr>
          <w:rFonts w:ascii="Arial" w:hAnsi="Arial" w:cs="Arial"/>
          <w:b/>
          <w:bCs/>
          <w:color w:val="000000"/>
          <w:lang w:val="en-GB"/>
        </w:rPr>
        <w:lastRenderedPageBreak/>
        <w:t>Extended data Figure 1.</w:t>
      </w:r>
      <w:r>
        <w:rPr>
          <w:rFonts w:ascii="Arial" w:hAnsi="Arial" w:cs="Arial"/>
          <w:color w:val="000000"/>
          <w:lang w:val="en-GB"/>
        </w:rPr>
        <w:t xml:space="preserve"> Flow chart showing the cohorts included in the study. </w:t>
      </w:r>
    </w:p>
    <w:p w:rsidR="00DC5864" w:rsidRDefault="00DC5864" w:rsidP="00DC5864">
      <w:pPr>
        <w:rPr>
          <w:rFonts w:ascii="Arial" w:hAnsi="Arial" w:cs="Arial"/>
          <w:b/>
          <w:bCs/>
          <w:color w:val="000000"/>
          <w:lang w:val="en-GB"/>
        </w:rPr>
      </w:pPr>
    </w:p>
    <w:p w:rsidR="00DC5864" w:rsidRDefault="00DC5864" w:rsidP="00DC5864">
      <w:pPr>
        <w:rPr>
          <w:rFonts w:ascii="Arial" w:hAnsi="Arial" w:cs="Arial"/>
          <w:b/>
          <w:bCs/>
          <w:color w:val="000000"/>
          <w:lang w:val="en-GB"/>
        </w:rPr>
      </w:pPr>
      <w:r>
        <w:rPr>
          <w:rFonts w:ascii="Arial" w:hAnsi="Arial" w:cs="Arial"/>
          <w:b/>
          <w:bCs/>
          <w:noProof/>
          <w:lang w:val="en-US" w:eastAsia="en-US"/>
        </w:rPr>
        <w:drawing>
          <wp:inline distT="0" distB="0" distL="0" distR="0" wp14:anchorId="45DF1D79" wp14:editId="1B7A8459">
            <wp:extent cx="5727700" cy="3708400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0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5864" w:rsidRPr="006155EE" w:rsidRDefault="00DC5864" w:rsidP="00DC5864">
      <w:pPr>
        <w:rPr>
          <w:rFonts w:ascii="Arial" w:hAnsi="Arial" w:cs="Arial"/>
          <w:color w:val="000000"/>
          <w:lang w:val="en-GB"/>
        </w:rPr>
      </w:pPr>
      <w:r w:rsidRPr="006155EE">
        <w:rPr>
          <w:rFonts w:ascii="Arial" w:hAnsi="Arial" w:cs="Arial"/>
          <w:color w:val="000000"/>
          <w:lang w:val="en-GB"/>
        </w:rPr>
        <w:t xml:space="preserve">A schematic figure showing the </w:t>
      </w:r>
      <w:r>
        <w:rPr>
          <w:rFonts w:ascii="Arial" w:hAnsi="Arial" w:cs="Arial"/>
          <w:color w:val="000000"/>
          <w:lang w:val="en-GB"/>
        </w:rPr>
        <w:t xml:space="preserve">number of individuals used in the Bergen, Public Health England (PHE) and Oxford </w:t>
      </w:r>
      <w:r w:rsidRPr="006155EE">
        <w:rPr>
          <w:rFonts w:ascii="Arial" w:hAnsi="Arial" w:cs="Arial"/>
          <w:color w:val="000000"/>
          <w:lang w:val="en-GB"/>
        </w:rPr>
        <w:t>cohorts used in this study</w:t>
      </w:r>
      <w:r>
        <w:rPr>
          <w:rFonts w:ascii="Arial" w:hAnsi="Arial" w:cs="Arial"/>
          <w:color w:val="000000"/>
          <w:lang w:val="en-GB"/>
        </w:rPr>
        <w:t xml:space="preserve"> in different analysis and figures.</w:t>
      </w:r>
    </w:p>
    <w:p w:rsidR="00DC5864" w:rsidRDefault="00DC5864" w:rsidP="00DC5864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br w:type="page"/>
      </w:r>
    </w:p>
    <w:p w:rsidR="00DC5864" w:rsidRPr="00010955" w:rsidRDefault="00DC5864" w:rsidP="00DC5864">
      <w:pPr>
        <w:rPr>
          <w:rFonts w:ascii="Arial" w:hAnsi="Arial" w:cs="Arial"/>
          <w:lang w:val="en-GB"/>
        </w:rPr>
      </w:pPr>
      <w:r w:rsidRPr="00010955">
        <w:rPr>
          <w:rFonts w:ascii="Arial" w:hAnsi="Arial" w:cs="Arial"/>
          <w:b/>
          <w:bCs/>
          <w:lang w:val="en-GB"/>
        </w:rPr>
        <w:lastRenderedPageBreak/>
        <w:t>Extended data Figure 2.</w:t>
      </w:r>
      <w:r w:rsidRPr="00010955">
        <w:rPr>
          <w:rFonts w:ascii="Arial" w:hAnsi="Arial" w:cs="Arial"/>
          <w:lang w:val="en-GB"/>
        </w:rPr>
        <w:t xml:space="preserve"> Correlations between haemagglutination test antibody endpoint titres and binding antibodies (anti-IgG spike and anti-IgG RBD) </w:t>
      </w:r>
    </w:p>
    <w:p w:rsidR="00DC5864" w:rsidRPr="003101EC" w:rsidRDefault="00DC5864" w:rsidP="00DC5864">
      <w:pPr>
        <w:pStyle w:val="NormalWeb"/>
        <w:rPr>
          <w:rFonts w:ascii="Arial" w:hAnsi="Arial" w:cs="Arial"/>
          <w:color w:val="FF0000"/>
          <w:lang w:val="en-GB"/>
        </w:rPr>
      </w:pPr>
      <w:r w:rsidRPr="004E7E42">
        <w:rPr>
          <w:rFonts w:ascii="Arial" w:hAnsi="Arial" w:cs="Arial"/>
          <w:noProof/>
          <w:color w:val="FF0000"/>
          <w:lang w:val="en-US" w:eastAsia="en-US"/>
        </w:rPr>
        <w:drawing>
          <wp:inline distT="0" distB="0" distL="0" distR="0" wp14:anchorId="4634188F" wp14:editId="579EF1B3">
            <wp:extent cx="6016101" cy="2463800"/>
            <wp:effectExtent l="0" t="0" r="0" b="0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8257" cy="2464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5864" w:rsidRPr="003101EC" w:rsidRDefault="00DC5864" w:rsidP="00DC5864">
      <w:pPr>
        <w:rPr>
          <w:rFonts w:ascii="Arial" w:hAnsi="Arial" w:cs="Arial"/>
          <w:color w:val="222222"/>
          <w:lang w:val="en-GB"/>
        </w:rPr>
      </w:pPr>
      <w:r w:rsidRPr="003101EC">
        <w:rPr>
          <w:rFonts w:ascii="Arial" w:hAnsi="Arial" w:cs="Arial"/>
          <w:color w:val="000000"/>
          <w:lang w:val="en-GB"/>
        </w:rPr>
        <w:t xml:space="preserve">Correlation of endpoint HAT titres with </w:t>
      </w:r>
      <w:r w:rsidRPr="003101EC">
        <w:rPr>
          <w:rFonts w:ascii="Arial" w:hAnsi="Arial" w:cs="Arial"/>
          <w:color w:val="222222"/>
          <w:lang w:val="en-GB"/>
        </w:rPr>
        <w:t xml:space="preserve">binding antibody </w:t>
      </w:r>
      <w:r w:rsidRPr="003101EC">
        <w:rPr>
          <w:rFonts w:ascii="Arial" w:hAnsi="Arial" w:cs="Arial"/>
          <w:color w:val="000000"/>
          <w:lang w:val="en-GB"/>
        </w:rPr>
        <w:t xml:space="preserve">titres from </w:t>
      </w:r>
      <w:r w:rsidRPr="003101EC">
        <w:rPr>
          <w:rFonts w:ascii="Arial" w:hAnsi="Arial" w:cs="Arial"/>
          <w:color w:val="000000" w:themeColor="text1"/>
          <w:lang w:val="en-GB"/>
        </w:rPr>
        <w:t>a</w:t>
      </w:r>
      <w:r w:rsidRPr="003101EC">
        <w:rPr>
          <w:rFonts w:ascii="Arial" w:hAnsi="Arial" w:cs="Arial"/>
          <w:color w:val="000000"/>
          <w:lang w:val="en-GB"/>
        </w:rPr>
        <w:t xml:space="preserve"> cohort of infected individuals from the first pandemic wave (diagnosis by PCR from nasopharyngeal swabs or serology in Bergen) (A-D, G). Wuhan antibodies were measured by ELISA; A: receptor binding domain (RBD) and B: spike endpoint titres. The dotted lines show the lowest detectable titre in each assay and the numbers in blue are the number of samples in each quadrant</w:t>
      </w:r>
    </w:p>
    <w:p w:rsidR="00342BD7" w:rsidRDefault="00342BD7">
      <w:bookmarkStart w:id="0" w:name="_GoBack"/>
      <w:bookmarkEnd w:id="0"/>
    </w:p>
    <w:sectPr w:rsidR="00342BD7" w:rsidSect="003C3055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0139531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624D8" w:rsidRDefault="00DC5864" w:rsidP="00244F5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0624D8" w:rsidRDefault="00DC5864" w:rsidP="003B3EC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4179847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624D8" w:rsidRDefault="00DC5864" w:rsidP="00244F5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0624D8" w:rsidRDefault="00DC5864" w:rsidP="003B3EC4">
    <w:pPr>
      <w:ind w:right="360"/>
      <w:rPr>
        <w:rFonts w:ascii="Arial" w:hAnsi="Arial" w:cs="Arial"/>
        <w:b/>
        <w:bCs/>
        <w:color w:val="000000"/>
        <w:sz w:val="22"/>
        <w:szCs w:val="22"/>
      </w:rPr>
    </w:pPr>
  </w:p>
  <w:p w:rsidR="000624D8" w:rsidRDefault="00DC586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864"/>
    <w:rsid w:val="00342BD7"/>
    <w:rsid w:val="00DC5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1D6C00-887D-4F7F-8A34-1197BB569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8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5864"/>
    <w:pPr>
      <w:spacing w:after="0" w:line="240" w:lineRule="auto"/>
    </w:pPr>
    <w:rPr>
      <w:sz w:val="24"/>
      <w:szCs w:val="24"/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C5864"/>
    <w:pPr>
      <w:tabs>
        <w:tab w:val="center" w:pos="4513"/>
        <w:tab w:val="right" w:pos="9026"/>
      </w:tabs>
    </w:pPr>
    <w:rPr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DC5864"/>
    <w:rPr>
      <w:rFonts w:ascii="Times New Roman" w:eastAsia="Times New Roman" w:hAnsi="Times New Roman" w:cs="Times New Roman"/>
      <w:sz w:val="24"/>
      <w:szCs w:val="24"/>
      <w:lang w:val="nb-NO" w:eastAsia="en-GB"/>
    </w:rPr>
  </w:style>
  <w:style w:type="paragraph" w:styleId="NormalWeb">
    <w:name w:val="Normal (Web)"/>
    <w:basedOn w:val="Normal"/>
    <w:uiPriority w:val="99"/>
    <w:unhideWhenUsed/>
    <w:rsid w:val="00DC5864"/>
    <w:pPr>
      <w:spacing w:before="100" w:beforeAutospacing="1" w:after="100" w:afterAutospacing="1"/>
    </w:pPr>
    <w:rPr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DC58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264</Words>
  <Characters>1507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2021-10-01T12:03:00Z</dcterms:created>
  <dcterms:modified xsi:type="dcterms:W3CDTF">2021-10-01T12:04:00Z</dcterms:modified>
</cp:coreProperties>
</file>