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13747" w14:textId="77777777" w:rsidR="00B6364E" w:rsidRPr="000A2CB9" w:rsidRDefault="00B6364E" w:rsidP="00B6364E">
      <w:pPr>
        <w:jc w:val="center"/>
        <w:rPr>
          <w:rFonts w:ascii="Times New Roman" w:hAnsi="Times New Roman" w:cs="Times New Roman"/>
          <w:b/>
          <w:sz w:val="28"/>
          <w:szCs w:val="28"/>
        </w:rPr>
      </w:pPr>
      <w:r w:rsidRPr="000A2CB9">
        <w:rPr>
          <w:rFonts w:ascii="Times New Roman" w:hAnsi="Times New Roman" w:cs="Times New Roman"/>
          <w:b/>
          <w:sz w:val="28"/>
          <w:szCs w:val="28"/>
        </w:rPr>
        <w:t>Supporting Information</w:t>
      </w:r>
    </w:p>
    <w:p w14:paraId="30615D4B" w14:textId="23FA7923" w:rsidR="000825A3" w:rsidRDefault="00B6364E" w:rsidP="00B6364E">
      <w:pPr>
        <w:jc w:val="center"/>
        <w:rPr>
          <w:rFonts w:ascii="Times New Roman" w:hAnsi="Times New Roman" w:cs="Times New Roman"/>
          <w:bCs/>
          <w:sz w:val="28"/>
          <w:szCs w:val="28"/>
        </w:rPr>
      </w:pPr>
      <w:r w:rsidRPr="00B6364E">
        <w:rPr>
          <w:rFonts w:ascii="Times New Roman" w:hAnsi="Times New Roman" w:cs="Times New Roman"/>
          <w:bCs/>
          <w:sz w:val="28"/>
          <w:szCs w:val="28"/>
        </w:rPr>
        <w:t>Transcriptomic and Functional Responses of Human Airway Cells to Vaped ∆8-THC and its Oxidation Product ∆8-THCQ</w:t>
      </w:r>
    </w:p>
    <w:p w14:paraId="5AE0CF71" w14:textId="77777777" w:rsidR="00B6364E" w:rsidRDefault="00B6364E" w:rsidP="00B6364E">
      <w:pPr>
        <w:jc w:val="center"/>
        <w:rPr>
          <w:rFonts w:ascii="Times New Roman" w:hAnsi="Times New Roman" w:cs="Times New Roman"/>
          <w:bCs/>
          <w:sz w:val="28"/>
          <w:szCs w:val="28"/>
        </w:rPr>
      </w:pPr>
    </w:p>
    <w:p w14:paraId="638D23B4" w14:textId="77777777" w:rsidR="00B6364E" w:rsidRPr="00B6364E" w:rsidRDefault="00B6364E" w:rsidP="00B6364E">
      <w:pPr>
        <w:suppressLineNumbers/>
        <w:spacing w:after="180"/>
        <w:rPr>
          <w:rFonts w:ascii="Times New Roman" w:eastAsia="Times New Roman" w:hAnsi="Times New Roman" w:cs="Times New Roman"/>
          <w:kern w:val="26"/>
          <w:vertAlign w:val="superscript"/>
          <w14:ligatures w14:val="none"/>
        </w:rPr>
      </w:pPr>
      <w:r w:rsidRPr="00B6364E">
        <w:rPr>
          <w:rFonts w:ascii="Times New Roman" w:eastAsia="Times New Roman" w:hAnsi="Times New Roman" w:cs="Times New Roman"/>
          <w:kern w:val="26"/>
          <w14:ligatures w14:val="none"/>
        </w:rPr>
        <w:t>Charlotte A. Love</w:t>
      </w:r>
      <w:r w:rsidRPr="00B6364E">
        <w:rPr>
          <w:rFonts w:ascii="Times New Roman" w:eastAsia="Times New Roman" w:hAnsi="Times New Roman" w:cs="Times New Roman"/>
          <w:kern w:val="26"/>
          <w:vertAlign w:val="superscript"/>
          <w14:ligatures w14:val="none"/>
        </w:rPr>
        <w:t>1</w:t>
      </w:r>
      <w:r w:rsidRPr="00B6364E">
        <w:rPr>
          <w:rFonts w:ascii="Times New Roman" w:eastAsia="Times New Roman" w:hAnsi="Times New Roman" w:cs="Times New Roman"/>
          <w:kern w:val="26"/>
          <w14:ligatures w14:val="none"/>
        </w:rPr>
        <w:t>, Hye-Young H. Kim</w:t>
      </w:r>
      <w:r w:rsidRPr="00B6364E">
        <w:rPr>
          <w:rFonts w:ascii="Times New Roman" w:eastAsia="Times New Roman" w:hAnsi="Times New Roman" w:cs="Times New Roman"/>
          <w:kern w:val="26"/>
          <w:vertAlign w:val="superscript"/>
          <w14:ligatures w14:val="none"/>
        </w:rPr>
        <w:t>2</w:t>
      </w:r>
      <w:r w:rsidRPr="00B6364E">
        <w:rPr>
          <w:rFonts w:ascii="Times New Roman" w:eastAsia="Times New Roman" w:hAnsi="Times New Roman" w:cs="Times New Roman"/>
          <w:kern w:val="26"/>
          <w14:ligatures w14:val="none"/>
        </w:rPr>
        <w:t>, Julia E. Rager</w:t>
      </w:r>
      <w:r w:rsidRPr="00B6364E">
        <w:rPr>
          <w:rFonts w:ascii="Times New Roman" w:eastAsia="Times New Roman" w:hAnsi="Times New Roman" w:cs="Times New Roman"/>
          <w:kern w:val="26"/>
          <w:vertAlign w:val="superscript"/>
          <w14:ligatures w14:val="none"/>
        </w:rPr>
        <w:t>1,3</w:t>
      </w:r>
      <w:r w:rsidRPr="00B6364E">
        <w:rPr>
          <w:rFonts w:ascii="Times New Roman" w:eastAsia="Times New Roman" w:hAnsi="Times New Roman" w:cs="Times New Roman"/>
          <w:kern w:val="26"/>
          <w14:ligatures w14:val="none"/>
        </w:rPr>
        <w:t>, Keri A. Tallman</w:t>
      </w:r>
      <w:r w:rsidRPr="00B6364E">
        <w:rPr>
          <w:rFonts w:ascii="Times New Roman" w:eastAsia="Times New Roman" w:hAnsi="Times New Roman" w:cs="Times New Roman"/>
          <w:kern w:val="26"/>
          <w:vertAlign w:val="superscript"/>
          <w14:ligatures w14:val="none"/>
        </w:rPr>
        <w:t>2</w:t>
      </w:r>
      <w:r w:rsidRPr="00B6364E">
        <w:rPr>
          <w:rFonts w:ascii="Times New Roman" w:eastAsia="Times New Roman" w:hAnsi="Times New Roman" w:cs="Times New Roman"/>
          <w:kern w:val="26"/>
          <w14:ligatures w14:val="none"/>
        </w:rPr>
        <w:t>,</w:t>
      </w:r>
      <w:r w:rsidRPr="00B6364E">
        <w:rPr>
          <w:rFonts w:ascii="Times New Roman" w:eastAsia="Times New Roman" w:hAnsi="Times New Roman" w:cs="Times New Roman"/>
          <w:kern w:val="26"/>
          <w:vertAlign w:val="superscript"/>
          <w14:ligatures w14:val="none"/>
        </w:rPr>
        <w:t xml:space="preserve"> </w:t>
      </w:r>
      <w:r w:rsidRPr="00B6364E">
        <w:rPr>
          <w:rFonts w:ascii="Times New Roman" w:eastAsia="Times New Roman" w:hAnsi="Times New Roman" w:cs="Times New Roman"/>
          <w:kern w:val="26"/>
          <w14:ligatures w14:val="none"/>
        </w:rPr>
        <w:t>Kevin D. Schichlein</w:t>
      </w:r>
      <w:r w:rsidRPr="00B6364E">
        <w:rPr>
          <w:rFonts w:ascii="Times New Roman" w:eastAsia="Times New Roman" w:hAnsi="Times New Roman" w:cs="Times New Roman"/>
          <w:kern w:val="26"/>
          <w:vertAlign w:val="superscript"/>
          <w14:ligatures w14:val="none"/>
        </w:rPr>
        <w:t>1</w:t>
      </w:r>
      <w:r w:rsidRPr="00B6364E">
        <w:rPr>
          <w:rFonts w:ascii="Times New Roman" w:eastAsia="Times New Roman" w:hAnsi="Times New Roman" w:cs="Times New Roman"/>
          <w:kern w:val="26"/>
          <w14:ligatures w14:val="none"/>
        </w:rPr>
        <w:t>, Ned A. Porter</w:t>
      </w:r>
      <w:r w:rsidRPr="00B6364E">
        <w:rPr>
          <w:rFonts w:ascii="Times New Roman" w:eastAsia="Times New Roman" w:hAnsi="Times New Roman" w:cs="Times New Roman"/>
          <w:kern w:val="26"/>
          <w:vertAlign w:val="superscript"/>
          <w14:ligatures w14:val="none"/>
        </w:rPr>
        <w:t>2</w:t>
      </w:r>
      <w:r w:rsidRPr="00B6364E">
        <w:rPr>
          <w:rFonts w:ascii="Times New Roman" w:eastAsia="Times New Roman" w:hAnsi="Times New Roman" w:cs="Times New Roman"/>
          <w:kern w:val="26"/>
          <w14:ligatures w14:val="none"/>
        </w:rPr>
        <w:t>, and Ilona Jaspers</w:t>
      </w:r>
      <w:r w:rsidRPr="00B6364E">
        <w:rPr>
          <w:rFonts w:ascii="Times New Roman" w:eastAsia="Times New Roman" w:hAnsi="Times New Roman" w:cs="Times New Roman"/>
          <w:kern w:val="26"/>
          <w:vertAlign w:val="superscript"/>
          <w14:ligatures w14:val="none"/>
        </w:rPr>
        <w:t>1*</w:t>
      </w:r>
    </w:p>
    <w:p w14:paraId="389F9492" w14:textId="77777777" w:rsidR="00B6364E" w:rsidRPr="00B6364E" w:rsidRDefault="00B6364E" w:rsidP="00B6364E">
      <w:pPr>
        <w:suppressLineNumbers/>
        <w:spacing w:after="60"/>
        <w:rPr>
          <w:rFonts w:ascii="Times New Roman" w:eastAsia="Times New Roman" w:hAnsi="Times New Roman" w:cs="Times New Roman"/>
          <w:kern w:val="22"/>
          <w14:ligatures w14:val="none"/>
        </w:rPr>
      </w:pPr>
      <w:r w:rsidRPr="00B6364E">
        <w:rPr>
          <w:rFonts w:ascii="Times New Roman" w:eastAsia="Times New Roman" w:hAnsi="Times New Roman" w:cs="Times New Roman"/>
          <w:kern w:val="22"/>
          <w:vertAlign w:val="superscript"/>
          <w14:ligatures w14:val="none"/>
        </w:rPr>
        <w:t>1</w:t>
      </w:r>
      <w:r w:rsidRPr="00B6364E">
        <w:rPr>
          <w:rFonts w:ascii="Times New Roman" w:eastAsia="Times New Roman" w:hAnsi="Times New Roman" w:cs="Times New Roman"/>
          <w:kern w:val="22"/>
          <w14:ligatures w14:val="none"/>
        </w:rPr>
        <w:t xml:space="preserve">Curriculum in Toxicology &amp; Environmental Medicine, Center for Environmental Medicine, Asthma, and Lung Biology and </w:t>
      </w:r>
      <w:r w:rsidRPr="00B6364E">
        <w:rPr>
          <w:rFonts w:ascii="Times New Roman" w:eastAsia="Times New Roman" w:hAnsi="Times New Roman" w:cs="Times New Roman"/>
          <w:kern w:val="22"/>
          <w:vertAlign w:val="superscript"/>
          <w14:ligatures w14:val="none"/>
        </w:rPr>
        <w:t>3</w:t>
      </w:r>
      <w:r w:rsidRPr="00B6364E">
        <w:rPr>
          <w:rFonts w:ascii="Times New Roman" w:eastAsia="Times New Roman" w:hAnsi="Times New Roman" w:cs="Times New Roman"/>
          <w:kern w:val="22"/>
          <w14:ligatures w14:val="none"/>
        </w:rPr>
        <w:t>Department of Environmental Sciences and Engineering, The University of North Carolina at Chapel Hill, Chapel Hill, North Carolina 27599, United States</w:t>
      </w:r>
    </w:p>
    <w:p w14:paraId="5D137942" w14:textId="77777777" w:rsidR="00B6364E" w:rsidRPr="00B6364E" w:rsidRDefault="00B6364E" w:rsidP="00B6364E">
      <w:pPr>
        <w:suppressLineNumbers/>
        <w:rPr>
          <w:rFonts w:ascii="Times New Roman" w:eastAsia="Times New Roman" w:hAnsi="Times New Roman" w:cs="Times New Roman"/>
          <w:kern w:val="0"/>
          <w14:ligatures w14:val="none"/>
        </w:rPr>
      </w:pPr>
      <w:r w:rsidRPr="00B6364E">
        <w:rPr>
          <w:rFonts w:ascii="Times New Roman" w:eastAsia="Times New Roman" w:hAnsi="Times New Roman" w:cs="Times New Roman"/>
          <w:kern w:val="0"/>
          <w:vertAlign w:val="superscript"/>
          <w14:ligatures w14:val="none"/>
        </w:rPr>
        <w:t>2</w:t>
      </w:r>
      <w:r w:rsidRPr="00B6364E">
        <w:rPr>
          <w:rFonts w:ascii="Times New Roman" w:eastAsia="Times New Roman" w:hAnsi="Times New Roman" w:cs="Times New Roman"/>
          <w:kern w:val="0"/>
          <w14:ligatures w14:val="none"/>
        </w:rPr>
        <w:t>Department of Chemistry and Vanderbilt Institute of Chemical Biology, Vanderbilt University, Nashville, Tennessee 37235, United States</w:t>
      </w:r>
    </w:p>
    <w:p w14:paraId="4F1FB91C" w14:textId="77777777" w:rsidR="00B6364E" w:rsidRPr="00B6364E" w:rsidRDefault="00B6364E" w:rsidP="00B6364E">
      <w:pPr>
        <w:rPr>
          <w:rFonts w:ascii="Times New Roman" w:eastAsia="Aptos" w:hAnsi="Times New Roman" w:cs="Times New Roman"/>
        </w:rPr>
      </w:pPr>
    </w:p>
    <w:p w14:paraId="0F0D42BD" w14:textId="77777777" w:rsidR="00B6364E" w:rsidRPr="00B6364E" w:rsidRDefault="00B6364E" w:rsidP="00B6364E">
      <w:pPr>
        <w:suppressLineNumbers/>
        <w:rPr>
          <w:rFonts w:ascii="Times New Roman" w:eastAsia="Aptos" w:hAnsi="Times New Roman" w:cs="Times New Roman"/>
        </w:rPr>
      </w:pPr>
      <w:r w:rsidRPr="00B6364E">
        <w:rPr>
          <w:rFonts w:ascii="Times New Roman" w:eastAsia="Aptos" w:hAnsi="Times New Roman" w:cs="Times New Roman"/>
        </w:rPr>
        <w:t xml:space="preserve">*Corresponding author: Ilona Jaspers – Curriculum in Toxicology &amp; Environmental Medicine, Center for Environmental Medicine, Asthma, and Lung Biology, and Department of Pediatrics, The University of North Carolina at Chapel Hill, 116 Manning Drive, University of North Carolina at Chapel Hill, NC 27599-7310, USA; Email: </w:t>
      </w:r>
      <w:hyperlink r:id="rId7" w:history="1">
        <w:r w:rsidRPr="00B6364E">
          <w:rPr>
            <w:rFonts w:ascii="Times New Roman" w:eastAsia="Aptos" w:hAnsi="Times New Roman" w:cs="Times New Roman"/>
            <w:color w:val="467886"/>
            <w:u w:val="single"/>
          </w:rPr>
          <w:t>ilona_jaspers@med.unc.edu</w:t>
        </w:r>
      </w:hyperlink>
    </w:p>
    <w:p w14:paraId="245C9322" w14:textId="77777777" w:rsidR="00B6364E" w:rsidRDefault="00B6364E" w:rsidP="00B636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915"/>
      </w:tblGrid>
      <w:tr w:rsidR="00B6364E" w:rsidRPr="00F50EBE" w14:paraId="1350E446" w14:textId="77777777" w:rsidTr="00223BCD">
        <w:tc>
          <w:tcPr>
            <w:tcW w:w="1435" w:type="dxa"/>
          </w:tcPr>
          <w:p w14:paraId="79245F27" w14:textId="77777777" w:rsidR="00B6364E" w:rsidRPr="00F50EBE" w:rsidRDefault="00B6364E" w:rsidP="00223BCD">
            <w:pPr>
              <w:rPr>
                <w:rFonts w:ascii="Times New Roman" w:hAnsi="Times New Roman" w:cs="Times New Roman"/>
                <w:b/>
              </w:rPr>
            </w:pPr>
            <w:r w:rsidRPr="00F50EBE">
              <w:rPr>
                <w:rFonts w:ascii="Times New Roman" w:hAnsi="Times New Roman" w:cs="Times New Roman"/>
                <w:b/>
              </w:rPr>
              <w:t>Page</w:t>
            </w:r>
          </w:p>
        </w:tc>
        <w:tc>
          <w:tcPr>
            <w:tcW w:w="7915" w:type="dxa"/>
          </w:tcPr>
          <w:p w14:paraId="03634B6A" w14:textId="77777777" w:rsidR="00B6364E" w:rsidRPr="00F50EBE" w:rsidRDefault="00B6364E" w:rsidP="00223BCD">
            <w:pPr>
              <w:rPr>
                <w:rFonts w:ascii="Times New Roman" w:hAnsi="Times New Roman" w:cs="Times New Roman"/>
                <w:b/>
              </w:rPr>
            </w:pPr>
            <w:r w:rsidRPr="00F50EBE">
              <w:rPr>
                <w:rFonts w:ascii="Times New Roman" w:hAnsi="Times New Roman" w:cs="Times New Roman"/>
                <w:b/>
              </w:rPr>
              <w:t>Contents</w:t>
            </w:r>
          </w:p>
        </w:tc>
      </w:tr>
      <w:tr w:rsidR="003F0CCD" w:rsidRPr="00F50EBE" w14:paraId="59AA2DE3" w14:textId="77777777" w:rsidTr="00223BCD">
        <w:tc>
          <w:tcPr>
            <w:tcW w:w="1435" w:type="dxa"/>
          </w:tcPr>
          <w:p w14:paraId="2151FED7" w14:textId="18026F3D" w:rsidR="003F0CCD" w:rsidRPr="00F50EBE" w:rsidRDefault="003F0CCD" w:rsidP="003F0CCD">
            <w:pPr>
              <w:rPr>
                <w:rFonts w:ascii="Times New Roman" w:hAnsi="Times New Roman" w:cs="Times New Roman"/>
                <w:bCs/>
              </w:rPr>
            </w:pPr>
            <w:r>
              <w:rPr>
                <w:rFonts w:ascii="Times New Roman" w:hAnsi="Times New Roman" w:cs="Times New Roman"/>
                <w:bCs/>
              </w:rPr>
              <w:t>S2-S</w:t>
            </w:r>
            <w:r w:rsidR="00705BA4">
              <w:rPr>
                <w:rFonts w:ascii="Times New Roman" w:hAnsi="Times New Roman" w:cs="Times New Roman"/>
                <w:bCs/>
              </w:rPr>
              <w:t>6</w:t>
            </w:r>
          </w:p>
        </w:tc>
        <w:tc>
          <w:tcPr>
            <w:tcW w:w="7915" w:type="dxa"/>
          </w:tcPr>
          <w:p w14:paraId="61AA346D" w14:textId="68D54E2F" w:rsidR="003F0CCD" w:rsidRPr="00F50EBE" w:rsidRDefault="003F0CCD" w:rsidP="003F0CCD">
            <w:pPr>
              <w:rPr>
                <w:rFonts w:ascii="Times New Roman" w:hAnsi="Times New Roman" w:cs="Times New Roman"/>
                <w:bCs/>
              </w:rPr>
            </w:pPr>
            <w:r w:rsidRPr="006E0721">
              <w:rPr>
                <w:rFonts w:ascii="Times New Roman" w:hAnsi="Times New Roman" w:cs="Times New Roman"/>
                <w:bCs/>
              </w:rPr>
              <w:t xml:space="preserve">Supplemental </w:t>
            </w:r>
            <w:r>
              <w:rPr>
                <w:rFonts w:ascii="Times New Roman" w:hAnsi="Times New Roman" w:cs="Times New Roman"/>
                <w:bCs/>
              </w:rPr>
              <w:t>m</w:t>
            </w:r>
            <w:r w:rsidRPr="006E0721">
              <w:rPr>
                <w:rFonts w:ascii="Times New Roman" w:hAnsi="Times New Roman" w:cs="Times New Roman"/>
                <w:bCs/>
              </w:rPr>
              <w:t xml:space="preserve">aterials and </w:t>
            </w:r>
            <w:r>
              <w:rPr>
                <w:rFonts w:ascii="Times New Roman" w:hAnsi="Times New Roman" w:cs="Times New Roman"/>
                <w:bCs/>
              </w:rPr>
              <w:t>m</w:t>
            </w:r>
            <w:r w:rsidRPr="006E0721">
              <w:rPr>
                <w:rFonts w:ascii="Times New Roman" w:hAnsi="Times New Roman" w:cs="Times New Roman"/>
                <w:bCs/>
              </w:rPr>
              <w:t>ethods</w:t>
            </w:r>
            <w:r>
              <w:rPr>
                <w:rFonts w:ascii="Times New Roman" w:hAnsi="Times New Roman" w:cs="Times New Roman"/>
                <w:bCs/>
              </w:rPr>
              <w:t>.</w:t>
            </w:r>
          </w:p>
        </w:tc>
      </w:tr>
      <w:tr w:rsidR="003F0CCD" w:rsidRPr="00F50EBE" w14:paraId="4739B45D" w14:textId="77777777" w:rsidTr="00223BCD">
        <w:tc>
          <w:tcPr>
            <w:tcW w:w="1435" w:type="dxa"/>
          </w:tcPr>
          <w:p w14:paraId="70AF33B4" w14:textId="5FF0FCA2" w:rsidR="003F0CCD" w:rsidRPr="00F50EBE" w:rsidRDefault="00B1607E" w:rsidP="003F0CCD">
            <w:pPr>
              <w:rPr>
                <w:rFonts w:ascii="Times New Roman" w:hAnsi="Times New Roman" w:cs="Times New Roman"/>
                <w:bCs/>
              </w:rPr>
            </w:pPr>
            <w:r>
              <w:rPr>
                <w:rFonts w:ascii="Times New Roman" w:hAnsi="Times New Roman" w:cs="Times New Roman"/>
                <w:bCs/>
              </w:rPr>
              <w:t>S7</w:t>
            </w:r>
          </w:p>
        </w:tc>
        <w:tc>
          <w:tcPr>
            <w:tcW w:w="7915" w:type="dxa"/>
          </w:tcPr>
          <w:p w14:paraId="0C5F8338" w14:textId="1BD267DF" w:rsidR="003F0CCD" w:rsidRPr="00F50EBE" w:rsidRDefault="00B1607E" w:rsidP="003F0CCD">
            <w:pPr>
              <w:rPr>
                <w:rFonts w:ascii="Times New Roman" w:hAnsi="Times New Roman" w:cs="Times New Roman"/>
                <w:bCs/>
              </w:rPr>
            </w:pPr>
            <w:r>
              <w:rPr>
                <w:rFonts w:ascii="Times New Roman" w:hAnsi="Times New Roman" w:cs="Times New Roman"/>
                <w:bCs/>
              </w:rPr>
              <w:t xml:space="preserve">Figure E1. </w:t>
            </w:r>
            <w:r w:rsidRPr="002A1006">
              <w:rPr>
                <w:rFonts w:ascii="Times New Roman" w:eastAsia="Aptos" w:hAnsi="Times New Roman" w:cs="Times New Roman"/>
              </w:rPr>
              <w:t>Principal component analysis</w:t>
            </w:r>
            <w:r>
              <w:rPr>
                <w:rFonts w:ascii="Times New Roman" w:eastAsia="Aptos" w:hAnsi="Times New Roman" w:cs="Times New Roman"/>
              </w:rPr>
              <w:t xml:space="preserve"> </w:t>
            </w:r>
            <w:r w:rsidRPr="00EC7529">
              <w:rPr>
                <w:rFonts w:ascii="Times New Roman" w:eastAsia="Aptos" w:hAnsi="Times New Roman" w:cs="Times New Roman"/>
              </w:rPr>
              <w:t>16HBE cells</w:t>
            </w:r>
            <w:r>
              <w:rPr>
                <w:rFonts w:ascii="Times New Roman" w:eastAsia="Aptos" w:hAnsi="Times New Roman" w:cs="Times New Roman"/>
              </w:rPr>
              <w:t>.</w:t>
            </w:r>
          </w:p>
        </w:tc>
      </w:tr>
      <w:tr w:rsidR="00FD6DA7" w:rsidRPr="00F50EBE" w14:paraId="3D99462F" w14:textId="77777777" w:rsidTr="00223BCD">
        <w:tc>
          <w:tcPr>
            <w:tcW w:w="1435" w:type="dxa"/>
          </w:tcPr>
          <w:p w14:paraId="5980C773" w14:textId="02A9EEDB" w:rsidR="00FD6DA7" w:rsidRDefault="00FD6DA7" w:rsidP="00FD6DA7">
            <w:pPr>
              <w:rPr>
                <w:rFonts w:ascii="Times New Roman" w:hAnsi="Times New Roman" w:cs="Times New Roman"/>
                <w:bCs/>
              </w:rPr>
            </w:pPr>
            <w:r>
              <w:rPr>
                <w:rFonts w:ascii="Times New Roman" w:hAnsi="Times New Roman" w:cs="Times New Roman"/>
                <w:bCs/>
              </w:rPr>
              <w:t>S7</w:t>
            </w:r>
          </w:p>
        </w:tc>
        <w:tc>
          <w:tcPr>
            <w:tcW w:w="7915" w:type="dxa"/>
          </w:tcPr>
          <w:p w14:paraId="3C705C7F" w14:textId="42F7AA22" w:rsidR="00FD6DA7" w:rsidRDefault="00FD6DA7" w:rsidP="00FD6DA7">
            <w:pPr>
              <w:rPr>
                <w:rFonts w:ascii="Times New Roman" w:hAnsi="Times New Roman" w:cs="Times New Roman"/>
                <w:bCs/>
              </w:rPr>
            </w:pPr>
            <w:r w:rsidRPr="00B1607E">
              <w:rPr>
                <w:rFonts w:ascii="Times New Roman" w:eastAsia="Aptos" w:hAnsi="Times New Roman" w:cs="Times New Roman"/>
              </w:rPr>
              <w:t>Figure E2. Heatmap and volcano plot for the 24-hour ∆8-THCQ exposure</w:t>
            </w:r>
            <w:r w:rsidR="00764374">
              <w:rPr>
                <w:rFonts w:ascii="Times New Roman" w:eastAsia="Aptos" w:hAnsi="Times New Roman" w:cs="Times New Roman"/>
              </w:rPr>
              <w:t xml:space="preserve"> in 16HBE cells. </w:t>
            </w:r>
          </w:p>
        </w:tc>
      </w:tr>
      <w:tr w:rsidR="00FD6DA7" w:rsidRPr="00F50EBE" w14:paraId="75247C64" w14:textId="77777777" w:rsidTr="00223BCD">
        <w:tc>
          <w:tcPr>
            <w:tcW w:w="1435" w:type="dxa"/>
          </w:tcPr>
          <w:p w14:paraId="3C264EF1" w14:textId="5ABC56D7" w:rsidR="00FD6DA7" w:rsidRPr="00F50EBE" w:rsidRDefault="00FD6DA7" w:rsidP="00FD6DA7">
            <w:pPr>
              <w:rPr>
                <w:rFonts w:ascii="Times New Roman" w:hAnsi="Times New Roman" w:cs="Times New Roman"/>
                <w:bCs/>
              </w:rPr>
            </w:pPr>
            <w:r>
              <w:rPr>
                <w:rFonts w:ascii="Times New Roman" w:hAnsi="Times New Roman" w:cs="Times New Roman"/>
                <w:bCs/>
              </w:rPr>
              <w:t>S7</w:t>
            </w:r>
          </w:p>
        </w:tc>
        <w:tc>
          <w:tcPr>
            <w:tcW w:w="7915" w:type="dxa"/>
          </w:tcPr>
          <w:p w14:paraId="24AF5389" w14:textId="7C8599DC" w:rsidR="00FD6DA7" w:rsidRPr="00FD6DA7" w:rsidRDefault="00FD6DA7" w:rsidP="00FD6DA7">
            <w:pPr>
              <w:rPr>
                <w:rFonts w:ascii="Times New Roman" w:hAnsi="Times New Roman" w:cs="Times New Roman"/>
              </w:rPr>
            </w:pPr>
            <w:r w:rsidRPr="00FD6DA7">
              <w:rPr>
                <w:rFonts w:ascii="Times New Roman" w:hAnsi="Times New Roman" w:cs="Times New Roman"/>
              </w:rPr>
              <w:t xml:space="preserve">Figure E3. Multidimensional scaling (MDS) analysis </w:t>
            </w:r>
            <w:r>
              <w:rPr>
                <w:rFonts w:ascii="Times New Roman" w:hAnsi="Times New Roman" w:cs="Times New Roman"/>
              </w:rPr>
              <w:t xml:space="preserve">for the vaped </w:t>
            </w:r>
            <w:r w:rsidR="00764374">
              <w:rPr>
                <w:rFonts w:ascii="Times New Roman" w:hAnsi="Times New Roman" w:cs="Times New Roman"/>
              </w:rPr>
              <w:t xml:space="preserve">∆8-THC transcriptomic analysis in HBECs. </w:t>
            </w:r>
          </w:p>
        </w:tc>
      </w:tr>
    </w:tbl>
    <w:p w14:paraId="12492CD5" w14:textId="77777777" w:rsidR="00B6364E" w:rsidRPr="00D428D6" w:rsidRDefault="00B6364E" w:rsidP="00B6364E">
      <w:pPr>
        <w:rPr>
          <w:rFonts w:ascii="Times New Roman" w:hAnsi="Times New Roman" w:cs="Times New Roman"/>
        </w:rPr>
      </w:pPr>
    </w:p>
    <w:p w14:paraId="4D5C6586" w14:textId="0BACE2C2" w:rsidR="00B6364E" w:rsidRPr="00D428D6" w:rsidRDefault="00D428D6" w:rsidP="00B6364E">
      <w:pPr>
        <w:rPr>
          <w:rFonts w:ascii="Times New Roman" w:hAnsi="Times New Roman" w:cs="Times New Roman"/>
        </w:rPr>
      </w:pPr>
      <w:r w:rsidRPr="00D428D6">
        <w:rPr>
          <w:rFonts w:ascii="Times New Roman" w:hAnsi="Times New Roman" w:cs="Times New Roman"/>
        </w:rPr>
        <w:t xml:space="preserve">Supplemental tables are available in a separate Microsoft Excel document. </w:t>
      </w:r>
    </w:p>
    <w:p w14:paraId="2B89E055" w14:textId="77777777" w:rsidR="00B6364E" w:rsidRDefault="00B6364E" w:rsidP="00B6364E"/>
    <w:p w14:paraId="54BE378A" w14:textId="77777777" w:rsidR="00B6364E" w:rsidRDefault="00B6364E" w:rsidP="00B6364E"/>
    <w:p w14:paraId="718C5A0F" w14:textId="77777777" w:rsidR="00B6364E" w:rsidRDefault="00B6364E" w:rsidP="00B6364E"/>
    <w:p w14:paraId="1A7B55C9" w14:textId="77777777" w:rsidR="00B6364E" w:rsidRDefault="00B6364E" w:rsidP="00B6364E"/>
    <w:p w14:paraId="1A6DA9EC" w14:textId="77777777" w:rsidR="00B6364E" w:rsidRDefault="00B6364E" w:rsidP="00B6364E"/>
    <w:p w14:paraId="6ACA68F8" w14:textId="77777777" w:rsidR="00B6364E" w:rsidRDefault="00B6364E" w:rsidP="00B6364E"/>
    <w:p w14:paraId="4ABA87F7" w14:textId="77777777" w:rsidR="00B6364E" w:rsidRDefault="00B6364E" w:rsidP="00B6364E"/>
    <w:p w14:paraId="7D9D412C" w14:textId="77777777" w:rsidR="00B6364E" w:rsidRDefault="00B6364E" w:rsidP="00B6364E"/>
    <w:p w14:paraId="16CFA805" w14:textId="77777777" w:rsidR="00FD6DA7" w:rsidRDefault="00FD6DA7" w:rsidP="00B6364E"/>
    <w:p w14:paraId="7E1CDE0B" w14:textId="77777777" w:rsidR="00FD6DA7" w:rsidRDefault="00FD6DA7" w:rsidP="00B6364E"/>
    <w:p w14:paraId="1327EBDE" w14:textId="77777777" w:rsidR="00FD6DA7" w:rsidRDefault="00FD6DA7" w:rsidP="00B6364E"/>
    <w:p w14:paraId="23D5EA89" w14:textId="77777777" w:rsidR="00FD6DA7" w:rsidRDefault="00FD6DA7" w:rsidP="00B6364E"/>
    <w:p w14:paraId="0C6AA282" w14:textId="77777777" w:rsidR="00FD6DA7" w:rsidRDefault="00FD6DA7" w:rsidP="00B6364E"/>
    <w:p w14:paraId="16B19407" w14:textId="77777777" w:rsidR="00FD6DA7" w:rsidRDefault="00FD6DA7" w:rsidP="00B6364E"/>
    <w:p w14:paraId="526E37C7" w14:textId="77777777" w:rsidR="00FD6DA7" w:rsidRDefault="00FD6DA7" w:rsidP="00B6364E"/>
    <w:p w14:paraId="72B3ED30" w14:textId="77777777" w:rsidR="00FD6DA7" w:rsidRDefault="00FD6DA7" w:rsidP="00B6364E"/>
    <w:p w14:paraId="286F8DCB" w14:textId="77777777" w:rsidR="00FD6DA7" w:rsidRDefault="00FD6DA7" w:rsidP="00B6364E"/>
    <w:p w14:paraId="14482C64" w14:textId="77777777" w:rsidR="00B6364E" w:rsidRDefault="00B6364E" w:rsidP="00B6364E"/>
    <w:p w14:paraId="5CE217C1" w14:textId="31940A0A" w:rsidR="00521228" w:rsidRDefault="00B6364E" w:rsidP="006F53FF">
      <w:pPr>
        <w:rPr>
          <w:rFonts w:ascii="Times New Roman" w:hAnsi="Times New Roman" w:cs="Times New Roman"/>
          <w:b/>
          <w:bCs/>
        </w:rPr>
      </w:pPr>
      <w:r w:rsidRPr="003A31F4">
        <w:rPr>
          <w:rFonts w:ascii="Times New Roman" w:hAnsi="Times New Roman" w:cs="Times New Roman"/>
          <w:b/>
          <w:bCs/>
        </w:rPr>
        <w:lastRenderedPageBreak/>
        <w:t>Supplemental Materials and Methods</w:t>
      </w:r>
    </w:p>
    <w:p w14:paraId="4DFD9EF8" w14:textId="77777777" w:rsidR="007C6227" w:rsidRDefault="007C6227" w:rsidP="006F53FF">
      <w:pPr>
        <w:rPr>
          <w:rFonts w:ascii="Times New Roman" w:hAnsi="Times New Roman" w:cs="Times New Roman"/>
          <w:b/>
          <w:bCs/>
        </w:rPr>
      </w:pPr>
    </w:p>
    <w:p w14:paraId="50E11687" w14:textId="77777777" w:rsidR="00521228" w:rsidRPr="00521228" w:rsidRDefault="00521228" w:rsidP="006F53FF">
      <w:pPr>
        <w:suppressLineNumbers/>
        <w:rPr>
          <w:rFonts w:ascii="Times New Roman" w:eastAsia="Aptos" w:hAnsi="Times New Roman" w:cs="Times New Roman"/>
          <w:i/>
          <w:iCs/>
          <w:u w:val="single"/>
        </w:rPr>
      </w:pPr>
      <w:r w:rsidRPr="00521228">
        <w:rPr>
          <w:rFonts w:ascii="Times New Roman" w:eastAsia="Aptos" w:hAnsi="Times New Roman" w:cs="Times New Roman"/>
          <w:i/>
          <w:iCs/>
          <w:u w:val="single"/>
        </w:rPr>
        <w:t>Chemical Analysis of Commercially Available Vaping Products</w:t>
      </w:r>
    </w:p>
    <w:p w14:paraId="1B1FF761" w14:textId="77777777" w:rsidR="00F46A09" w:rsidRDefault="00521228" w:rsidP="006F53FF">
      <w:pPr>
        <w:suppressLineNumbers/>
        <w:ind w:firstLine="720"/>
        <w:rPr>
          <w:rFonts w:ascii="Times New Roman" w:eastAsia="Aptos" w:hAnsi="Times New Roman" w:cs="Times New Roman"/>
        </w:rPr>
      </w:pPr>
      <w:r w:rsidRPr="00521228">
        <w:rPr>
          <w:rFonts w:ascii="Times New Roman" w:eastAsia="Aptos" w:hAnsi="Times New Roman" w:cs="Times New Roman"/>
          <w:i/>
          <w:iCs/>
        </w:rPr>
        <w:t xml:space="preserve">Vaped Condensate Preparation. </w:t>
      </w:r>
      <w:r w:rsidRPr="00521228">
        <w:rPr>
          <w:rFonts w:ascii="Times New Roman" w:eastAsia="Aptos" w:hAnsi="Times New Roman" w:cs="Times New Roman"/>
        </w:rPr>
        <w:t xml:space="preserve">Commercially available ∆8-THC vaping products were purchased either from a local shop (distillates and disposables) or from an online vendor (juices). A detailed description of the products chosen including advertised concentrations, additives, and devices used can be found in Table 1. To minimize changes in chemical composition from long-term storage, products were used for chemical analysis and </w:t>
      </w:r>
      <w:r w:rsidRPr="00521228">
        <w:rPr>
          <w:rFonts w:ascii="Times New Roman" w:eastAsia="Aptos" w:hAnsi="Times New Roman" w:cs="Times New Roman"/>
          <w:i/>
          <w:iCs/>
        </w:rPr>
        <w:t>in vitro</w:t>
      </w:r>
      <w:r w:rsidRPr="00521228">
        <w:rPr>
          <w:rFonts w:ascii="Times New Roman" w:eastAsia="Aptos" w:hAnsi="Times New Roman" w:cs="Times New Roman"/>
        </w:rPr>
        <w:t xml:space="preserve"> experiments within four weeks of purchase. Methods used for vaped condensate generation have been published by us previously </w:t>
      </w:r>
      <w:r w:rsidRPr="00521228">
        <w:rPr>
          <w:rFonts w:ascii="Times New Roman" w:eastAsia="Aptos" w:hAnsi="Times New Roman" w:cs="Times New Roman"/>
        </w:rPr>
        <w:fldChar w:fldCharType="begin"/>
      </w:r>
      <w:r w:rsidRPr="00521228">
        <w:rPr>
          <w:rFonts w:ascii="Times New Roman" w:eastAsia="Aptos" w:hAnsi="Times New Roman" w:cs="Times New Roman"/>
        </w:rPr>
        <w:instrText xml:space="preserve"> ADDIN ZOTERO_ITEM CSL_CITATION {"citationID":"3zIDpMtJ","properties":{"formattedCitation":"(26, 27)","plainCitation":"(26, 27)","noteIndex":0},"citationItems":[{"id":6,"uris":["http://zotero.org/users/14678818/items/JGVKLJ7P"],"itemData":{"id":6,"type":"article-journal","abstract":"Cannabidiol (CBD) vaping products have become widely available in the U.S. since their legalization in 2018. However, little is known about their respiratory health effects. Here we show that aerosolization of commercial CBD vaping products generates a reactive CBD quinone (CBDQ) which forms adducts with protein cysteine residues. Using click chemistry and a novel in vitro vaping product exposure system (VaPES), we further demonstrate that CBDQ forms adducts with human bronchial epithelial cell proteins including Keap1 and activates KEAP1-Nrf2 stress response pathway genes. These results suggest that vaping CBD alters protein function and induces cellular stress pathways in the lung. V aping products containing cannabidiol (CBD) (Figure 1A), a hemp-derived nonpsychoactive cannabinoid, have grown in popularity since they were legalized by the 2018 Farm Bill. 1 In a 2019 survey (n = 30,288), 26.1% of U.S. adults reported CBD use in the past 12 months and within that group 18.9% used CBD vaping oils. 2 Use of CBD vaping products can be attributed to a wide variety of claims about potential therapeutic effects including help with pain, inflammation, insomnia, anxiety, and depression. 2−4 Most CBD vaping products currently on the market can be categorized into either oil distillates (700−1200 mg/mL) or juices (15−50 mg/ mL). While oils are usually sold in prefilled cartridges for use in pen-type devices or in disposable vapes, juices can be added to any refillable vaping device including high-heat box mods. CBD vaping products are currently unregulated in the U.S., and measured product concentrations commonly vary ±20% from their labeled values. 5 Additionally, analysis of CBD vaping products has shown that they can contain synthetic cannabinoids, Δ 9-tetrahydrocannabinol (Δ 9-THC) exceeding the legal limit, heavy metals, large amounts of residual solvents, and flavoring chemicals. 5−7 There is an urgent need to understand the effects of vaping CBD, as 16% of patients within the e-cigarette, or vaping, product use-associated lung injury (EVALI) crisis used CBD vaping products. 8 The EVALI outbreak initially included at least 2807 cases and 68 deaths and cases continue to occur. 9,10 Despite their association with EVALI as well as the high cannabinoid concentrations and potentially harmful constituents in CBD vaping products, research on the respiratory health effects of vaping CBD has so far been limited. Within the few studies that have evaluated CBD in the context of inhalational exposures, it has been shown that aerosolized CBD induced cell death, pro-inflammatory responses, and reactive oxygen species generation in bronchial epithelial cell lines. 11,12 Proteomic analysis has also shown increases in markers of airway epithelial toxicity following CBD aerosol exposure. 13 However, the mechanism behind the adverse effects of vaped CBD on respiratory cell function is not clear. To investigate potential mechanisms of lung injury induced by aerosolized CBD, we explored whether CBD oxidizes to reactive species during vaping. We hypothesized that, due to the oxidation potential of CBD (1.2 V) and the high heat of vaping devices, CBD oxidizes to CBD quinone (CBDQ, also known as HU-331) (Figure 1A) when vaped, which forms adducts with thiol residues through Michael addition, altering protein function. CBDQ is a known oxidation product of CBD that can be formed by reaction with potassium hydroxide (the Beam test) and other oxidizing reagents. 14−16 Recently, CBDQ has also been detected in CBD vaping products after long-term storage. 17 However, the amount of CBDQ in commercial CBD products is not well characterized and the potential of vaping to promote oxidation of CBD to CBDQ is unknown.","container-title":"Chem. Res. Toxicol","DOI":"10.1021/acs.chemrestox.3c00038","issue":"4","license":"All rights reserved","note":"publisher: UTC","page":"565-569","title":"Vaping Induced Cannabidiol (CBD) Oxidation Product CBD Quinone Forms Protein Adducts with KEAP1 and Activates KEAP1-Nrf2 Genes","volume":"36","author":[{"family":"Love","given":"Charlotte A"},{"family":"Kim","given":"Hye-Young H"},{"family":"Tallman","given":"Keri A"},{"family":"Clapp","given":"Phillip W"},{"family":"Porter","given":"Ned A"},{"family":"Jaspers","given":"Ilona"}],"issued":{"date-parts":[["2023"]]}}},{"id":184,"uris":["http://zotero.org/users/14678818/items/E6SE8YWV"],"itemData":{"id":184,"type":"article-journal","container-title":"Accepted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A."},{"family":"Jaspers","given":"Ilona"}],"issued":{"date-parts":[["2025"]]}}}],"schema":"https://github.com/citation-style-language/schema/raw/master/csl-citation.json"} </w:instrText>
      </w:r>
      <w:r w:rsidRPr="00521228">
        <w:rPr>
          <w:rFonts w:ascii="Times New Roman" w:eastAsia="Aptos" w:hAnsi="Times New Roman" w:cs="Times New Roman"/>
        </w:rPr>
        <w:fldChar w:fldCharType="separate"/>
      </w:r>
      <w:r w:rsidRPr="00521228">
        <w:rPr>
          <w:rFonts w:ascii="Times New Roman" w:eastAsia="Aptos" w:hAnsi="Times New Roman" w:cs="Times New Roman"/>
          <w:noProof/>
        </w:rPr>
        <w:t>(26, 27)</w:t>
      </w:r>
      <w:r w:rsidRPr="00521228">
        <w:rPr>
          <w:rFonts w:ascii="Times New Roman" w:eastAsia="Aptos" w:hAnsi="Times New Roman" w:cs="Times New Roman"/>
        </w:rPr>
        <w:fldChar w:fldCharType="end"/>
      </w:r>
      <w:r w:rsidRPr="00521228">
        <w:rPr>
          <w:rFonts w:ascii="Times New Roman" w:eastAsia="Aptos" w:hAnsi="Times New Roman" w:cs="Times New Roman"/>
        </w:rPr>
        <w:t xml:space="preserve"> and were originally adapted from methods designed for e-cigarette aerosol sampling </w:t>
      </w:r>
      <w:r w:rsidRPr="00521228">
        <w:rPr>
          <w:rFonts w:ascii="Times New Roman" w:eastAsia="Aptos" w:hAnsi="Times New Roman" w:cs="Times New Roman"/>
        </w:rPr>
        <w:fldChar w:fldCharType="begin"/>
      </w:r>
      <w:r w:rsidRPr="00521228">
        <w:rPr>
          <w:rFonts w:ascii="Times New Roman" w:eastAsia="Aptos" w:hAnsi="Times New Roman" w:cs="Times New Roman"/>
        </w:rPr>
        <w:instrText xml:space="preserve"> ADDIN ZOTERO_ITEM CSL_CITATION {"citationID":"mFkWLUQW","properties":{"formattedCitation":"(30)","plainCitation":"(30)","noteIndex":0},"citationItems":[{"id":14,"uris":["http://zotero.org/users/14678818/items/GEWZ6V9S"],"itemData":{"id":14,"type":"article-journal","container-title":"Environmental Research","DOI":"10.1016/j.envres.2016.05.008","ISSN":"0013-9351","note":"publisher: Elsevier","page":"151-156","title":"A direct method for e-cigarette aerosol sample collection","volume":"149","author":[{"family":"Olmedo","given":"Pablo"},{"family":"Navas-acien","given":"Ana"},{"family":"Hess","given":"Catherine"},{"family":"Jarmul","given":"Stephanie"},{"family":"Rule","given":"Ana"}],"issued":{"date-parts":[["2016"]]}}}],"schema":"https://github.com/citation-style-language/schema/raw/master/csl-citation.json"} </w:instrText>
      </w:r>
      <w:r w:rsidRPr="00521228">
        <w:rPr>
          <w:rFonts w:ascii="Times New Roman" w:eastAsia="Aptos" w:hAnsi="Times New Roman" w:cs="Times New Roman"/>
        </w:rPr>
        <w:fldChar w:fldCharType="separate"/>
      </w:r>
      <w:r w:rsidRPr="00521228">
        <w:rPr>
          <w:rFonts w:ascii="Times New Roman" w:eastAsia="Aptos" w:hAnsi="Times New Roman" w:cs="Times New Roman"/>
          <w:noProof/>
        </w:rPr>
        <w:t>(30)</w:t>
      </w:r>
      <w:r w:rsidRPr="00521228">
        <w:rPr>
          <w:rFonts w:ascii="Times New Roman" w:eastAsia="Aptos" w:hAnsi="Times New Roman" w:cs="Times New Roman"/>
        </w:rPr>
        <w:fldChar w:fldCharType="end"/>
      </w:r>
      <w:r w:rsidRPr="00521228">
        <w:rPr>
          <w:rFonts w:ascii="Times New Roman" w:eastAsia="Aptos" w:hAnsi="Times New Roman" w:cs="Times New Roman"/>
        </w:rPr>
        <w:t xml:space="preserve">. Briefly, a peristaltic pump was connected to tubing (16 cm) leading to a series of trimmed pipette tips to condense the sample in a collection tube which is located at the end of the tubing and is fitted with vented parafilm. All products were directly connected to the 16 cm tubing for sampling, except the </w:t>
      </w:r>
      <w:proofErr w:type="spellStart"/>
      <w:r w:rsidRPr="00521228">
        <w:rPr>
          <w:rFonts w:ascii="Times New Roman" w:eastAsia="Aptos" w:hAnsi="Times New Roman" w:cs="Times New Roman"/>
        </w:rPr>
        <w:t>Stiizy</w:t>
      </w:r>
      <w:proofErr w:type="spellEnd"/>
      <w:r w:rsidRPr="00521228">
        <w:rPr>
          <w:rFonts w:ascii="Times New Roman" w:eastAsia="Aptos" w:hAnsi="Times New Roman" w:cs="Times New Roman"/>
        </w:rPr>
        <w:t xml:space="preserve"> disposable device for which a 3D printed adaptor fitted with a silicone insert was made (a detailed description of custom adaptors and images of the adaptors can be found in our previous publication </w:t>
      </w:r>
      <w:r w:rsidRPr="00521228">
        <w:rPr>
          <w:rFonts w:ascii="Times New Roman" w:eastAsia="Aptos" w:hAnsi="Times New Roman" w:cs="Times New Roman"/>
        </w:rPr>
        <w:fldChar w:fldCharType="begin"/>
      </w:r>
      <w:r w:rsidRPr="00521228">
        <w:rPr>
          <w:rFonts w:ascii="Times New Roman" w:eastAsia="Aptos" w:hAnsi="Times New Roman" w:cs="Times New Roman"/>
        </w:rPr>
        <w:instrText xml:space="preserve"> ADDIN ZOTERO_ITEM CSL_CITATION {"citationID":"SPYUddAV","properties":{"formattedCitation":"(27)","plainCitation":"(27)","noteIndex":0},"citationItems":[{"id":184,"uris":["http://zotero.org/users/14678818/items/E6SE8YWV"],"itemData":{"id":184,"type":"article-journal","container-title":"Accepted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A."},{"family":"Jaspers","given":"Ilona"}],"issued":{"date-parts":[["2025"]]}}}],"schema":"https://github.com/citation-style-language/schema/raw/master/csl-citation.json"} </w:instrText>
      </w:r>
      <w:r w:rsidRPr="00521228">
        <w:rPr>
          <w:rFonts w:ascii="Times New Roman" w:eastAsia="Aptos" w:hAnsi="Times New Roman" w:cs="Times New Roman"/>
        </w:rPr>
        <w:fldChar w:fldCharType="separate"/>
      </w:r>
      <w:r w:rsidRPr="00521228">
        <w:rPr>
          <w:rFonts w:ascii="Times New Roman" w:eastAsia="Aptos" w:hAnsi="Times New Roman" w:cs="Times New Roman"/>
          <w:noProof/>
        </w:rPr>
        <w:t>(27)</w:t>
      </w:r>
      <w:r w:rsidRPr="00521228">
        <w:rPr>
          <w:rFonts w:ascii="Times New Roman" w:eastAsia="Aptos" w:hAnsi="Times New Roman" w:cs="Times New Roman"/>
        </w:rPr>
        <w:fldChar w:fldCharType="end"/>
      </w:r>
      <w:r w:rsidRPr="00521228">
        <w:rPr>
          <w:rFonts w:ascii="Times New Roman" w:eastAsia="Aptos" w:hAnsi="Times New Roman" w:cs="Times New Roman"/>
        </w:rPr>
        <w:t xml:space="preserve">. To generate vaped condensates, liquid was collected from 20 5-second puffs with 1-minute rests. To compare vaped condensates to non-vaped samples, a duplicate was purchased for each product at the same time which was never vaped or heated. Directly following vaped condensate collection, vaped liquids and non-vaped samples were weighed and frozen at -80 °C. </w:t>
      </w:r>
    </w:p>
    <w:p w14:paraId="785C8BAC" w14:textId="5C82A5D0" w:rsidR="00521228" w:rsidRPr="00521228" w:rsidRDefault="00521228" w:rsidP="006F53FF">
      <w:pPr>
        <w:suppressLineNumbers/>
        <w:ind w:firstLine="720"/>
        <w:rPr>
          <w:rFonts w:ascii="Times New Roman" w:eastAsia="Aptos" w:hAnsi="Times New Roman" w:cs="Times New Roman"/>
        </w:rPr>
      </w:pPr>
      <w:r w:rsidRPr="00521228">
        <w:rPr>
          <w:rFonts w:ascii="Times New Roman" w:eastAsia="Times New Roman" w:hAnsi="Times New Roman" w:cs="Times New Roman"/>
          <w:i/>
          <w:iCs/>
          <w:kern w:val="0"/>
          <w14:ligatures w14:val="none"/>
        </w:rPr>
        <w:t xml:space="preserve">Quantitative Cannabinoid Analysis of ∆8-THC Products by LC/MS-MS. </w:t>
      </w:r>
      <w:r w:rsidRPr="00521228">
        <w:rPr>
          <w:rFonts w:ascii="Times New Roman" w:eastAsia="Times New Roman" w:hAnsi="Times New Roman" w:cs="Times New Roman"/>
          <w:kern w:val="0"/>
          <w14:ligatures w14:val="none"/>
        </w:rPr>
        <w:t xml:space="preserve">Methods of LC-MS analysis of vaped and non-vaped samples for quantitative analysis of cannabinoids have been previously described in detail </w:t>
      </w:r>
      <w:r w:rsidRPr="00521228">
        <w:rPr>
          <w:rFonts w:ascii="Times New Roman" w:eastAsia="Times New Roman" w:hAnsi="Times New Roman" w:cs="Times New Roman"/>
          <w:kern w:val="0"/>
          <w14:ligatures w14:val="none"/>
        </w:rPr>
        <w:fldChar w:fldCharType="begin"/>
      </w:r>
      <w:r w:rsidRPr="00521228">
        <w:rPr>
          <w:rFonts w:ascii="Times New Roman" w:eastAsia="Times New Roman" w:hAnsi="Times New Roman" w:cs="Times New Roman"/>
          <w:kern w:val="0"/>
          <w14:ligatures w14:val="none"/>
        </w:rPr>
        <w:instrText xml:space="preserve"> ADDIN ZOTERO_ITEM CSL_CITATION {"citationID":"YYyd1NsN","properties":{"formattedCitation":"(27)","plainCitation":"(27)","noteIndex":0},"citationItems":[{"id":184,"uris":["http://zotero.org/users/14678818/items/E6SE8YWV"],"itemData":{"id":184,"type":"article-journal","container-title":"Accepted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A."},{"family":"Jaspers","given":"Ilona"}],"issued":{"date-parts":[["2025"]]}}}],"schema":"https://github.com/citation-style-language/schema/raw/master/csl-citation.json"} </w:instrText>
      </w:r>
      <w:r w:rsidRPr="00521228">
        <w:rPr>
          <w:rFonts w:ascii="Times New Roman" w:eastAsia="Times New Roman" w:hAnsi="Times New Roman" w:cs="Times New Roman"/>
          <w:kern w:val="0"/>
          <w14:ligatures w14:val="none"/>
        </w:rPr>
        <w:fldChar w:fldCharType="separate"/>
      </w:r>
      <w:r w:rsidRPr="00521228">
        <w:rPr>
          <w:rFonts w:ascii="Times New Roman" w:eastAsia="Times New Roman" w:hAnsi="Times New Roman" w:cs="Times New Roman"/>
          <w:noProof/>
          <w:kern w:val="0"/>
          <w14:ligatures w14:val="none"/>
        </w:rPr>
        <w:t>(27)</w:t>
      </w:r>
      <w:r w:rsidRPr="00521228">
        <w:rPr>
          <w:rFonts w:ascii="Times New Roman" w:eastAsia="Times New Roman" w:hAnsi="Times New Roman" w:cs="Times New Roman"/>
          <w:kern w:val="0"/>
          <w14:ligatures w14:val="none"/>
        </w:rPr>
        <w:fldChar w:fldCharType="end"/>
      </w:r>
      <w:r w:rsidRPr="00521228">
        <w:rPr>
          <w:rFonts w:ascii="Times New Roman" w:eastAsia="Times New Roman" w:hAnsi="Times New Roman" w:cs="Times New Roman"/>
          <w:kern w:val="0"/>
          <w14:ligatures w14:val="none"/>
        </w:rPr>
        <w:t xml:space="preserve">. Briefly, </w:t>
      </w:r>
      <w:r w:rsidRPr="00521228">
        <w:rPr>
          <w:rFonts w:ascii="Times New Roman" w:eastAsia="Times New Roman" w:hAnsi="Times New Roman" w:cs="Times New Roman"/>
          <w:i/>
          <w:kern w:val="0"/>
          <w14:ligatures w14:val="none"/>
        </w:rPr>
        <w:t>d</w:t>
      </w:r>
      <w:r w:rsidRPr="00521228">
        <w:rPr>
          <w:rFonts w:ascii="Times New Roman" w:eastAsia="Times New Roman" w:hAnsi="Times New Roman" w:cs="Times New Roman"/>
          <w:i/>
          <w:kern w:val="0"/>
          <w:vertAlign w:val="subscript"/>
          <w14:ligatures w14:val="none"/>
        </w:rPr>
        <w:t>9</w:t>
      </w:r>
      <w:r w:rsidRPr="00521228">
        <w:rPr>
          <w:rFonts w:ascii="Times New Roman" w:eastAsia="Times New Roman" w:hAnsi="Times New Roman" w:cs="Times New Roman"/>
          <w:kern w:val="0"/>
          <w14:ligatures w14:val="none"/>
        </w:rPr>
        <w:t>-CBD was used as the internal standard in addition to standards of CBD, ∆9-THC, ∆8-THC, CBDA, ∆9-THCA, and CBN. Condensates were diluted in methanol (1 mg/mL), and d9-CBD (10 µL) was added before analysis. Samples (10 µL) were injected into an ultra-performance liquid chromatography (UPLC) system equipped with a C18 column, using a CH3</w:t>
      </w:r>
      <w:proofErr w:type="gramStart"/>
      <w:r w:rsidRPr="00521228">
        <w:rPr>
          <w:rFonts w:ascii="Times New Roman" w:eastAsia="Times New Roman" w:hAnsi="Times New Roman" w:cs="Times New Roman"/>
          <w:kern w:val="0"/>
          <w14:ligatures w14:val="none"/>
        </w:rPr>
        <w:t>CN:MeOH</w:t>
      </w:r>
      <w:proofErr w:type="gramEnd"/>
      <w:r w:rsidRPr="00521228">
        <w:rPr>
          <w:rFonts w:ascii="Times New Roman" w:eastAsia="Times New Roman" w:hAnsi="Times New Roman" w:cs="Times New Roman"/>
          <w:kern w:val="0"/>
          <w14:ligatures w14:val="none"/>
        </w:rPr>
        <w:t xml:space="preserve">:H2O (40:40:20, 0.01% formic acid) mobile phase at 40°C. The run time was 15 minutes with a 300 µL/min flow rate. MS analysis was performed on a tandem mass spectrometer with electrospray ionization in positive ion mode, using selected reaction monitoring (SRM). MS parameters, including spray voltage, capillary temperature, and gas pressures, were optimized using CBD. Collision energies and SRMs were determined for each compound. Response factors relative to </w:t>
      </w:r>
      <w:r w:rsidRPr="00521228">
        <w:rPr>
          <w:rFonts w:ascii="Times New Roman" w:eastAsia="Times New Roman" w:hAnsi="Times New Roman" w:cs="Times New Roman"/>
          <w:i/>
          <w:kern w:val="0"/>
          <w14:ligatures w14:val="none"/>
        </w:rPr>
        <w:t>d</w:t>
      </w:r>
      <w:r w:rsidRPr="00521228">
        <w:rPr>
          <w:rFonts w:ascii="Times New Roman" w:eastAsia="Times New Roman" w:hAnsi="Times New Roman" w:cs="Times New Roman"/>
          <w:i/>
          <w:kern w:val="0"/>
          <w:vertAlign w:val="subscript"/>
          <w14:ligatures w14:val="none"/>
        </w:rPr>
        <w:t>9</w:t>
      </w:r>
      <w:r w:rsidRPr="00521228">
        <w:rPr>
          <w:rFonts w:ascii="Times New Roman" w:eastAsia="Times New Roman" w:hAnsi="Times New Roman" w:cs="Times New Roman"/>
          <w:kern w:val="0"/>
          <w14:ligatures w14:val="none"/>
        </w:rPr>
        <w:t>-CBD were used for quantitation. ∆9-THCQ was measured but was not detected in any products.</w:t>
      </w:r>
    </w:p>
    <w:p w14:paraId="11675068" w14:textId="77777777" w:rsidR="00521228" w:rsidRPr="00521228" w:rsidRDefault="00521228" w:rsidP="006F53FF">
      <w:pPr>
        <w:ind w:firstLine="720"/>
        <w:rPr>
          <w:rFonts w:ascii="Times New Roman" w:eastAsia="Times New Roman" w:hAnsi="Times New Roman" w:cs="Times New Roman"/>
          <w:kern w:val="0"/>
          <w14:ligatures w14:val="none"/>
        </w:rPr>
      </w:pPr>
      <w:r w:rsidRPr="00521228">
        <w:rPr>
          <w:rFonts w:ascii="Times New Roman" w:eastAsia="Times New Roman" w:hAnsi="Times New Roman" w:cs="Times New Roman"/>
          <w:i/>
          <w:iCs/>
          <w:kern w:val="0"/>
          <w14:ligatures w14:val="none"/>
        </w:rPr>
        <w:t xml:space="preserve">Analysis of Non-Cannabinoid Constituents in ∆8-THC Products by GC-MS. </w:t>
      </w:r>
      <w:r w:rsidRPr="00521228">
        <w:rPr>
          <w:rFonts w:ascii="Times New Roman" w:eastAsia="Times New Roman" w:hAnsi="Times New Roman" w:cs="Times New Roman"/>
          <w:kern w:val="0"/>
          <w14:ligatures w14:val="none"/>
        </w:rPr>
        <w:t xml:space="preserve">Methods used here for identification of the relative abundance of additives and contaminants in ∆8-THC vaping products have also been previously described in detail </w:t>
      </w:r>
      <w:r w:rsidRPr="00521228">
        <w:rPr>
          <w:rFonts w:ascii="Times New Roman" w:eastAsia="Times New Roman" w:hAnsi="Times New Roman" w:cs="Times New Roman"/>
          <w:kern w:val="0"/>
          <w14:ligatures w14:val="none"/>
        </w:rPr>
        <w:fldChar w:fldCharType="begin"/>
      </w:r>
      <w:r w:rsidRPr="00521228">
        <w:rPr>
          <w:rFonts w:ascii="Times New Roman" w:eastAsia="Times New Roman" w:hAnsi="Times New Roman" w:cs="Times New Roman"/>
          <w:kern w:val="0"/>
          <w14:ligatures w14:val="none"/>
        </w:rPr>
        <w:instrText xml:space="preserve"> ADDIN ZOTERO_ITEM CSL_CITATION {"citationID":"WgtNTfXp","properties":{"formattedCitation":"(27)","plainCitation":"(27)","noteIndex":0},"citationItems":[{"id":184,"uris":["http://zotero.org/users/14678818/items/E6SE8YWV"],"itemData":{"id":184,"type":"article-journal","container-title":"Accepted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A."},{"family":"Jaspers","given":"Ilona"}],"issued":{"date-parts":[["2025"]]}}}],"schema":"https://github.com/citation-style-language/schema/raw/master/csl-citation.json"} </w:instrText>
      </w:r>
      <w:r w:rsidRPr="00521228">
        <w:rPr>
          <w:rFonts w:ascii="Times New Roman" w:eastAsia="Times New Roman" w:hAnsi="Times New Roman" w:cs="Times New Roman"/>
          <w:kern w:val="0"/>
          <w14:ligatures w14:val="none"/>
        </w:rPr>
        <w:fldChar w:fldCharType="separate"/>
      </w:r>
      <w:r w:rsidRPr="00521228">
        <w:rPr>
          <w:rFonts w:ascii="Times New Roman" w:eastAsia="Times New Roman" w:hAnsi="Times New Roman" w:cs="Times New Roman"/>
          <w:noProof/>
          <w:kern w:val="0"/>
          <w14:ligatures w14:val="none"/>
        </w:rPr>
        <w:t>(27)</w:t>
      </w:r>
      <w:r w:rsidRPr="00521228">
        <w:rPr>
          <w:rFonts w:ascii="Times New Roman" w:eastAsia="Times New Roman" w:hAnsi="Times New Roman" w:cs="Times New Roman"/>
          <w:kern w:val="0"/>
          <w14:ligatures w14:val="none"/>
        </w:rPr>
        <w:fldChar w:fldCharType="end"/>
      </w:r>
      <w:r w:rsidRPr="00521228">
        <w:rPr>
          <w:rFonts w:ascii="Times New Roman" w:eastAsia="Times New Roman" w:hAnsi="Times New Roman" w:cs="Times New Roman"/>
          <w:kern w:val="0"/>
          <w14:ligatures w14:val="none"/>
        </w:rPr>
        <w:t xml:space="preserve">. Non-vaped liquids and vaped condensates were analyzed. Briefly, samples (1 mg/mL in methanol) were analyzed on a </w:t>
      </w:r>
      <w:proofErr w:type="spellStart"/>
      <w:r w:rsidRPr="00521228">
        <w:rPr>
          <w:rFonts w:ascii="Times New Roman" w:eastAsia="Times New Roman" w:hAnsi="Times New Roman" w:cs="Times New Roman"/>
          <w:kern w:val="0"/>
          <w14:ligatures w14:val="none"/>
        </w:rPr>
        <w:t>ThermoFisher</w:t>
      </w:r>
      <w:proofErr w:type="spellEnd"/>
      <w:r w:rsidRPr="00521228">
        <w:rPr>
          <w:rFonts w:ascii="Times New Roman" w:eastAsia="Times New Roman" w:hAnsi="Times New Roman" w:cs="Times New Roman"/>
          <w:kern w:val="0"/>
          <w14:ligatures w14:val="none"/>
        </w:rPr>
        <w:t xml:space="preserve"> </w:t>
      </w:r>
      <w:proofErr w:type="spellStart"/>
      <w:r w:rsidRPr="00521228">
        <w:rPr>
          <w:rFonts w:ascii="Times New Roman" w:eastAsia="Times New Roman" w:hAnsi="Times New Roman" w:cs="Times New Roman"/>
          <w:kern w:val="0"/>
          <w14:ligatures w14:val="none"/>
        </w:rPr>
        <w:t>Exactive</w:t>
      </w:r>
      <w:proofErr w:type="spellEnd"/>
      <w:r w:rsidRPr="00521228">
        <w:rPr>
          <w:rFonts w:ascii="Times New Roman" w:eastAsia="Times New Roman" w:hAnsi="Times New Roman" w:cs="Times New Roman"/>
          <w:kern w:val="0"/>
          <w14:ligatures w14:val="none"/>
        </w:rPr>
        <w:t xml:space="preserve"> GC mass spectrometer with electron impact ionization (70 eV). The mass range was 50–400 m/z, with a resolution of 60,000. Separation was performed on a DB-5 column (30 m × 0.25 mm × 0.25 µm) under the following conditions: 100°C for 1.5 min, ramped at 30°C/min to 300°C, held for 12 min (total 20 min). A 1 µL injection with a 1:100 split ratio was used, with helium at 1.5 mL/min. Compounds were identified using the NIST Mass Spectral Library (v2.4, 2020) and filtered based on high-resolution filtering scores (&gt;91), matching calculated molecular and NIST theoretical molecular mass, consistent retention time between samples, presence of reference peak, and good mass spectra quality while matrixes and unknowns were excluded.</w:t>
      </w:r>
    </w:p>
    <w:p w14:paraId="4384501E" w14:textId="77777777" w:rsidR="00521228" w:rsidRPr="00521228" w:rsidRDefault="00521228" w:rsidP="006F53FF">
      <w:pPr>
        <w:rPr>
          <w:rFonts w:ascii="Times New Roman" w:eastAsia="Times New Roman" w:hAnsi="Times New Roman" w:cs="Times New Roman"/>
          <w:i/>
          <w:iCs/>
          <w:kern w:val="0"/>
          <w:u w:val="single"/>
          <w14:ligatures w14:val="none"/>
        </w:rPr>
      </w:pPr>
      <w:r w:rsidRPr="00521228">
        <w:rPr>
          <w:rFonts w:ascii="Times New Roman" w:eastAsia="Times New Roman" w:hAnsi="Times New Roman" w:cs="Times New Roman"/>
          <w:i/>
          <w:iCs/>
          <w:kern w:val="0"/>
          <w:u w:val="single"/>
          <w14:ligatures w14:val="none"/>
        </w:rPr>
        <w:lastRenderedPageBreak/>
        <w:t xml:space="preserve">Cell Culture and Differentiation </w:t>
      </w:r>
    </w:p>
    <w:p w14:paraId="46025A6D" w14:textId="77777777" w:rsidR="00521228" w:rsidRPr="00521228" w:rsidRDefault="00521228" w:rsidP="006F53FF">
      <w:pPr>
        <w:ind w:firstLine="720"/>
        <w:rPr>
          <w:rFonts w:ascii="Times New Roman" w:eastAsia="Times New Roman" w:hAnsi="Times New Roman" w:cs="Times New Roman"/>
          <w:color w:val="000000"/>
          <w:kern w:val="0"/>
          <w14:ligatures w14:val="none"/>
        </w:rPr>
      </w:pPr>
      <w:r w:rsidRPr="00521228">
        <w:rPr>
          <w:rFonts w:ascii="Times New Roman" w:eastAsia="Times New Roman" w:hAnsi="Times New Roman" w:cs="Times New Roman"/>
          <w:i/>
          <w:iCs/>
          <w:color w:val="000000"/>
          <w:kern w:val="0"/>
          <w14:ligatures w14:val="none"/>
        </w:rPr>
        <w:t xml:space="preserve">Culture of 16HBE Cells. </w:t>
      </w:r>
      <w:r w:rsidRPr="00521228">
        <w:rPr>
          <w:rFonts w:ascii="Times New Roman" w:eastAsia="Times New Roman" w:hAnsi="Times New Roman" w:cs="Times New Roman"/>
          <w:color w:val="000000"/>
          <w:kern w:val="0"/>
          <w14:ligatures w14:val="none"/>
        </w:rPr>
        <w:t xml:space="preserve">Cells were cultured from the SV-40 transformed human bronchial epithelial cell line 16HBE14 (16HBE cells) as described previously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{"citationID":"xf52s9Xo","properties":{"formattedCitation":"(27, 31)","plainCitation":"(27, 31)","noteIndex":0},"citationItems":[{"id":184,"uris":["http://zotero.org/users/14678818/items/E6SE8YWV"],"itemData":{"id":184,"type":"article-journal","container-title":"Accepted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A."},{"family":"Jaspers","given":"Ilona"}],"issued":{"date-parts":[["2025"]]}}},{"id":557,"uris":["http://zotero.org/users/14678818/items/TZNFY5DH"],"itemData":{"id":557,"type":"article-journal","abstract":"In the United States, the recent surge of electronic cigarette (e-cig) use has raised questions concerning the safety of these devices. This study seeks to assess the pro-inflammatory and cellular stress effects of the vaped humectants propylene glycol (PG) and glycerol (GLY) on airway epithelial cells (16HBE cells and differentiated human bronchial epithelial cells) with a newly developed aerosol exposure system. This system allows for chemical characterization of e-cig generated aerosol particles as well as in vitro exposures of 16HBE cells at an air-liquid interface to vaped PG and GLY aerosol. Our data demonstrate that the process of vaping results in the formation of PG- and GLY-derived oligomers in the aerosol particles. Our in vitro data demonstrate an increase in pro-inflammatory cytokines IL-6 and IL-8 levels in response to vaped PG and GLY exposures. Vaped GLY also causes an increase in cellular stress signals HMOX1, NQO1, and carbonylated proteins when the e-cig device is operated at high wattages. Additionally, we find that the exposure of vaped PG causes elevated IL-6 expression, while the exposure of vaped GLY increases HMOX1 expression in human bronchial epithelial cells when the device is operated at high wattages. These findings suggest that vaporizing PG and GLY results in the formation of novel compounds and the exposure of vaped PG and GLY are detrimental to airway cells. Since PG and/or GLY is universally contained in all e-cig liquids, we conclude that these components alone can cause harm to the airway epithelium.","container-title":"Chemical Research in Toxicology","DOI":"10.1021/ACS.CHEMRESTOX.9B00490","ISSN":"15205010","issue":"7","note":"PMID: 32223225\npublisher: American Chemical Society","page":"1677-1688","title":"In Vitro Toxicity and Chemical Characterization of Aerosol Derived from Electronic Cigarette Humectants Using a Newly Developed Exposure System","volume":"33","author":[{"family":"Escobar","given":"Yael Natalie H."},{"family":"Nipp","given":"Grace"},{"family":"Cui","given":"Tianqu"},{"family":"Petters","given":"Sarah S."},{"family":"Surratt","given":"Jason D."},{"family":"Jaspers","given":"Ilona"}],"issued":{"date-parts":[["2020",7,20]]}}}],"schema":"https://github.com/citation-style-language/schema/raw/master/csl-citation.json"}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(27, 31)</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Cells were grown in minimum essential medium (MEM) Eagle (Sigma Life Sciences, St. Louis, MO) with 10% fetal bovine serum (Omega Scientific Inc., Tarzana, CA) and 1% Gibco penicillin-streptomycin (</w:t>
      </w:r>
      <w:proofErr w:type="spellStart"/>
      <w:r w:rsidRPr="00521228">
        <w:rPr>
          <w:rFonts w:ascii="Times New Roman" w:eastAsia="Times New Roman" w:hAnsi="Times New Roman" w:cs="Times New Roman"/>
          <w:color w:val="000000"/>
          <w:kern w:val="0"/>
          <w14:ligatures w14:val="none"/>
        </w:rPr>
        <w:t>ThermoFisher</w:t>
      </w:r>
      <w:proofErr w:type="spellEnd"/>
      <w:r w:rsidRPr="00521228">
        <w:rPr>
          <w:rFonts w:ascii="Times New Roman" w:eastAsia="Times New Roman" w:hAnsi="Times New Roman" w:cs="Times New Roman"/>
          <w:color w:val="000000"/>
          <w:kern w:val="0"/>
          <w14:ligatures w14:val="none"/>
        </w:rPr>
        <w:t xml:space="preserve"> Scientific, Waltham, MA) on T-75 culture plates (Corning Life Sciences, Corning, NY) coated in collagen (Advanced </w:t>
      </w:r>
      <w:proofErr w:type="spellStart"/>
      <w:r w:rsidRPr="00521228">
        <w:rPr>
          <w:rFonts w:ascii="Times New Roman" w:eastAsia="Times New Roman" w:hAnsi="Times New Roman" w:cs="Times New Roman"/>
          <w:color w:val="000000"/>
          <w:kern w:val="0"/>
          <w14:ligatures w14:val="none"/>
        </w:rPr>
        <w:t>BioMatrix</w:t>
      </w:r>
      <w:proofErr w:type="spellEnd"/>
      <w:r w:rsidRPr="00521228">
        <w:rPr>
          <w:rFonts w:ascii="Times New Roman" w:eastAsia="Times New Roman" w:hAnsi="Times New Roman" w:cs="Times New Roman"/>
          <w:color w:val="000000"/>
          <w:kern w:val="0"/>
          <w14:ligatures w14:val="none"/>
        </w:rPr>
        <w:t xml:space="preserve">, Carlsbad, CA) and were incubated at 37°C with 95% humidity and 5% carbon dioxide. </w:t>
      </w:r>
    </w:p>
    <w:p w14:paraId="6353E508" w14:textId="77777777" w:rsidR="00521228" w:rsidRDefault="00521228" w:rsidP="006F53FF">
      <w:pPr>
        <w:ind w:firstLine="720"/>
        <w:rPr>
          <w:rFonts w:ascii="Times New Roman" w:eastAsia="Times New Roman" w:hAnsi="Times New Roman" w:cs="Times New Roman"/>
          <w:color w:val="000000"/>
          <w:kern w:val="0"/>
          <w14:ligatures w14:val="none"/>
        </w:rPr>
      </w:pPr>
      <w:r w:rsidRPr="00521228">
        <w:rPr>
          <w:rFonts w:ascii="Times New Roman" w:eastAsia="Times New Roman" w:hAnsi="Times New Roman" w:cs="Times New Roman"/>
          <w:i/>
          <w:iCs/>
          <w:color w:val="000000"/>
          <w:kern w:val="0"/>
          <w14:ligatures w14:val="none"/>
        </w:rPr>
        <w:t xml:space="preserve">Culture of human primary bronchial epithelial cells (HBECs). </w:t>
      </w:r>
      <w:r w:rsidRPr="00521228">
        <w:rPr>
          <w:rFonts w:ascii="Times New Roman" w:eastAsia="Times New Roman" w:hAnsi="Times New Roman" w:cs="Times New Roman"/>
          <w:color w:val="000000"/>
          <w:kern w:val="0"/>
          <w14:ligatures w14:val="none"/>
        </w:rPr>
        <w:t xml:space="preserve">Expansion, differentiation, and maintenance of from human donors have been previously described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{"citationID":"TutJ69fo","properties":{"formattedCitation":"(27, 32, 33)","plainCitation":"(27, 32, 33)","noteIndex":0},"citationItems":[{"id":184,"uris":["http://zotero.org/users/14678818/items/E6SE8YWV"],"itemData":{"id":184,"type":"article-journal","container-title":"Accepted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A."},{"family":"Jaspers","given":"Ilona"}],"issued":{"date-parts":[["2025"]]}}},{"id":362,"uris":["http://zotero.org/users/14678818/items/GUBMKUUZ"],"itemData":{"id":362,"type":"article-journal","container-title":"Methods in molecular medicine","DOI":"10.1385/1-59259-861-7:183","ISSN":"15431894","note":"PMID: 15492373","page":"183-206","title":"Well-differentiated human airway epithelial cell cultures.","volume":"107","author":[{"family":"Fulcher","given":"M. Leslie"},{"family":"Gabriel","given":"Sherif"},{"family":"Burns","given":"Kimberlie A."},{"family":"Yankaskas","given":"James R."},{"family":"Randell","given":"Scott H."}],"issued":{"date-parts":[["2005"]]}}},{"id":561,"uris":["http://zotero.org/users/14678818/items/G5IYC7NE"],"itemData":{"id":561,"type":"article-journal","abstract":"Aldehydes in cigarette smoke (CS) impair mitochondrial function and reduce ciliary beat frequency (CBF), leading to diminished mucociliary clearance (MCC). However, the effects of aldehyde e-cigarette flavorings on CBF are unknown. The purpose of this study was to investigate whether cinnamaldehyde, a flavoring agent commonly used in e-cigarettes, disrupts mitochondrial function and impairs CBF on well-differentiated human bronchial epithelial (hBE) cells. To this end, hBE cells were exposed to diluted cinnamon-flavored e-liquids and vaped aerosol and assessed for changes in CBF. hBE cells were subsequently exposed to various concentrations of cinnamaldehyde to establish a dose-response relationship for effects on CBF. Changes in mitochondrial oxidative phosphorylation and glycolysis were evaluated by Seahorse Extracellular Flux Analyzer, and adenine nucleotide levels were quantified by HPLC. Both cinnamaldehyde-containing e-liquid and vaped aerosol rapidly yet transiently suppressed CBF, and exposure to cinnamaldehyde alone recapitulated this effect. Cinnamaldehyde impaired mitochondrial respiration and glycolysis in a dosedependent manner, and intracellular ATP levels were significantly but temporarily reduced following exposure. Addition of nicotine had no effect on the cinnamaldehyde-induced suppression of CBF or mitochondrial function. These data indicate that cinnamaldehyde rapidly disrupts mitochondrial function, inhibits bioenergetic processes, and reduces ATP levels, which correlates with impaired CBF. Because normal ciliary motility and MCC are essential respiratory defenses, inhalation of cinnamaldehyde may increase the risk of respiratory infections in e-cigarette users.","container-title":"American Journal of Physiology - Lung Cellular and Molecular Physiology","DOI":"10.1152/ajplung.00304.2018","ISSN":"15221504","issue":"3","note":"PMID: 30604630\npublisher: American Physiological Society","page":"L470-L486","title":"Cinnamaldehyde in flavored e-cigarette liquids temporarily suppresses bronchial epithelial cell ciliary motility by dysregulation of mitochondrial function","volume":"316","author":[{"family":"Clapp","given":"Phillip W."},{"family":"Lavrich","given":"Katelyn S."},{"family":"Heusden","given":"Catharina A.","non-dropping-particle":"van"},{"family":"Lazarowski","given":"Eduardo R."},{"family":"Carson","given":"Johnny L."},{"family":"Jaspers","given":"Ilona"}],"issued":{"date-parts":[["2019",3,1]]}}}],"schema":"https://github.com/citation-style-language/schema/raw/master/csl-citation.json"}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(27, 32, 33)</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xml:space="preserve">. HBECs were obtained from the UNC Marsico Lung Institute Tissue Procurement and Cell Culture </w:t>
      </w:r>
      <w:proofErr w:type="gramStart"/>
      <w:r w:rsidRPr="00521228">
        <w:rPr>
          <w:rFonts w:ascii="Times New Roman" w:eastAsia="Times New Roman" w:hAnsi="Times New Roman" w:cs="Times New Roman"/>
          <w:color w:val="000000"/>
          <w:kern w:val="0"/>
          <w14:ligatures w14:val="none"/>
        </w:rPr>
        <w:t>Core</w:t>
      </w:r>
      <w:proofErr w:type="gramEnd"/>
      <w:r w:rsidRPr="00521228">
        <w:rPr>
          <w:rFonts w:ascii="Times New Roman" w:eastAsia="Times New Roman" w:hAnsi="Times New Roman" w:cs="Times New Roman"/>
          <w:color w:val="000000"/>
          <w:kern w:val="0"/>
          <w14:ligatures w14:val="none"/>
        </w:rPr>
        <w:t xml:space="preserve"> and donor information is available in Table E1. Culturing of HBECs was performed as described in detail previously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{"citationID":"71LtBxVN","properties":{"formattedCitation":"(26, 27)","plainCitation":"(26, 27)","noteIndex":0},"citationItems":[{"id":184,"uris":["http://zotero.org/users/14678818/items/E6SE8YWV"],"itemData":{"id":184,"type":"article-journal","container-title":"Accepted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A."},{"family":"Jaspers","given":"Ilona"}],"issued":{"date-parts":[["2025"]]}}},{"id":6,"uris":["http://zotero.org/users/14678818/items/JGVKLJ7P"],"itemData":{"id":6,"type":"article-journal","abstract":"Cannabidiol (CBD) vaping products have become widely available in the U.S. since their legalization in 2018. However, little is known about their respiratory health effects. Here we show that aerosolization of commercial CBD vaping products generates a reactive CBD quinone (CBDQ) which forms adducts with protein cysteine residues. Using click chemistry and a novel in vitro vaping product exposure system (VaPES), we further demonstrate that CBDQ forms adducts with human bronchial epithelial cell proteins including Keap1 and activates KEAP1-Nrf2 stress response pathway genes. These results suggest that vaping CBD alters protein function and induces cellular stress pathways in the lung. V aping products containing cannabidiol (CBD) (Figure 1A), a hemp-derived nonpsychoactive cannabinoid, have grown in popularity since they were legalized by the 2018 Farm Bill. 1 In a 2019 survey (n = 30,288), 26.1% of U.S. adults reported CBD use in the past 12 months and within that group 18.9% used CBD vaping oils. 2 Use of CBD vaping products can be attributed to a wide variety of claims about potential therapeutic effects including help with pain, inflammation, insomnia, anxiety, and depression. 2−4 Most CBD vaping products currently on the market can be categorized into either oil distillates (700−1200 mg/mL) or juices (15−50 mg/ mL). While oils are usually sold in prefilled cartridges for use in pen-type devices or in disposable vapes, juices can be added to any refillable vaping device including high-heat box mods. CBD vaping products are currently unregulated in the U.S., and measured product concentrations commonly vary ±20% from their labeled values. 5 Additionally, analysis of CBD vaping products has shown that they can contain synthetic cannabinoids, Δ 9-tetrahydrocannabinol (Δ 9-THC) exceeding the legal limit, heavy metals, large amounts of residual solvents, and flavoring chemicals. 5−7 There is an urgent need to understand the effects of vaping CBD, as 16% of patients within the e-cigarette, or vaping, product use-associated lung injury (EVALI) crisis used CBD vaping products. 8 The EVALI outbreak initially included at least 2807 cases and 68 deaths and cases continue to occur. 9,10 Despite their association with EVALI as well as the high cannabinoid concentrations and potentially harmful constituents in CBD vaping products, research on the respiratory health effects of vaping CBD has so far been limited. Within the few studies that have evaluated CBD in the context of inhalational exposures, it has been shown that aerosolized CBD induced cell death, pro-inflammatory responses, and reactive oxygen species generation in bronchial epithelial cell lines. 11,12 Proteomic analysis has also shown increases in markers of airway epithelial toxicity following CBD aerosol exposure. 13 However, the mechanism behind the adverse effects of vaped CBD on respiratory cell function is not clear. To investigate potential mechanisms of lung injury induced by aerosolized CBD, we explored whether CBD oxidizes to reactive species during vaping. We hypothesized that, due to the oxidation potential of CBD (1.2 V) and the high heat of vaping devices, CBD oxidizes to CBD quinone (CBDQ, also known as HU-331) (Figure 1A) when vaped, which forms adducts with thiol residues through Michael addition, altering protein function. CBDQ is a known oxidation product of CBD that can be formed by reaction with potassium hydroxide (the Beam test) and other oxidizing reagents. 14−16 Recently, CBDQ has also been detected in CBD vaping products after long-term storage. 17 However, the amount of CBDQ in commercial CBD products is not well characterized and the potential of vaping to promote oxidation of CBD to CBDQ is unknown.","container-title":"Chem. Res. Toxicol","DOI":"10.1021/acs.chemrestox.3c00038","issue":"4","license":"All rights reserved","note":"publisher: UTC","page":"565-569","title":"Vaping Induced Cannabidiol (CBD) Oxidation Product CBD Quinone Forms Protein Adducts with KEAP1 and Activates KEAP1-Nrf2 Genes","volume":"36","author":[{"family":"Love","given":"Charlotte A"},{"family":"Kim","given":"Hye-Young H"},{"family":"Tallman","given":"Keri A"},{"family":"Clapp","given":"Phillip W"},{"family":"Porter","given":"Ned A"},{"family":"Jaspers","given":"Ilona"}],"issued":{"date-parts":[["2023"]]}}}],"schema":"https://github.com/citation-style-language/schema/raw/master/csl-citation.json"}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(26, 27)</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xml:space="preserve">. Briefly, HBECs were expanded in </w:t>
      </w:r>
      <w:proofErr w:type="spellStart"/>
      <w:r w:rsidRPr="00521228">
        <w:rPr>
          <w:rFonts w:ascii="Times New Roman" w:eastAsia="Times New Roman" w:hAnsi="Times New Roman" w:cs="Times New Roman"/>
          <w:color w:val="000000"/>
          <w:kern w:val="0"/>
          <w14:ligatures w14:val="none"/>
        </w:rPr>
        <w:t>Pneumacult</w:t>
      </w:r>
      <w:proofErr w:type="spellEnd"/>
      <w:r w:rsidRPr="00521228">
        <w:rPr>
          <w:rFonts w:ascii="Times New Roman" w:eastAsia="Times New Roman" w:hAnsi="Times New Roman" w:cs="Times New Roman"/>
          <w:color w:val="000000"/>
          <w:kern w:val="0"/>
          <w14:ligatures w14:val="none"/>
        </w:rPr>
        <w:t xml:space="preserve">-Ex Plus on collagen-coated T-75 flasks, then seeded onto 12 mm </w:t>
      </w:r>
      <w:proofErr w:type="spellStart"/>
      <w:r w:rsidRPr="00521228">
        <w:rPr>
          <w:rFonts w:ascii="Times New Roman" w:eastAsia="Times New Roman" w:hAnsi="Times New Roman" w:cs="Times New Roman"/>
          <w:color w:val="000000"/>
          <w:kern w:val="0"/>
          <w14:ligatures w14:val="none"/>
        </w:rPr>
        <w:t>transwells</w:t>
      </w:r>
      <w:proofErr w:type="spellEnd"/>
      <w:r w:rsidRPr="00521228">
        <w:rPr>
          <w:rFonts w:ascii="Times New Roman" w:eastAsia="Times New Roman" w:hAnsi="Times New Roman" w:cs="Times New Roman"/>
          <w:color w:val="000000"/>
          <w:kern w:val="0"/>
          <w14:ligatures w14:val="none"/>
        </w:rPr>
        <w:t xml:space="preserve"> for differentiation at air–liquid interface in </w:t>
      </w:r>
      <w:proofErr w:type="spellStart"/>
      <w:r w:rsidRPr="00521228">
        <w:rPr>
          <w:rFonts w:ascii="Times New Roman" w:eastAsia="Times New Roman" w:hAnsi="Times New Roman" w:cs="Times New Roman"/>
          <w:color w:val="000000"/>
          <w:kern w:val="0"/>
          <w14:ligatures w14:val="none"/>
        </w:rPr>
        <w:t>Pneumacult</w:t>
      </w:r>
      <w:proofErr w:type="spellEnd"/>
      <w:r w:rsidRPr="00521228">
        <w:rPr>
          <w:rFonts w:ascii="Times New Roman" w:eastAsia="Times New Roman" w:hAnsi="Times New Roman" w:cs="Times New Roman"/>
          <w:color w:val="000000"/>
          <w:kern w:val="0"/>
          <w14:ligatures w14:val="none"/>
        </w:rPr>
        <w:t>-ALI medium. Cultures were maintained at 37 °C with 5% CO₂ and 95% humidity, washed weekly, and differentiated for at least 28 days until fully ciliated.</w:t>
      </w:r>
    </w:p>
    <w:p w14:paraId="265EE49D" w14:textId="77777777" w:rsidR="006F53FF" w:rsidRPr="00521228" w:rsidRDefault="006F53FF" w:rsidP="006F53FF">
      <w:pPr>
        <w:ind w:firstLine="720"/>
        <w:rPr>
          <w:rFonts w:ascii="Times New Roman" w:eastAsia="Times New Roman" w:hAnsi="Times New Roman" w:cs="Times New Roman"/>
          <w:kern w:val="0"/>
          <w14:ligatures w14:val="none"/>
        </w:rPr>
      </w:pPr>
    </w:p>
    <w:p w14:paraId="24865127" w14:textId="77777777" w:rsidR="00521228" w:rsidRPr="00521228" w:rsidRDefault="00521228" w:rsidP="006F53FF">
      <w:pPr>
        <w:rPr>
          <w:rFonts w:ascii="Times New Roman" w:eastAsia="Times New Roman" w:hAnsi="Times New Roman" w:cs="Times New Roman"/>
          <w:i/>
          <w:iCs/>
          <w:kern w:val="0"/>
          <w:u w:val="single"/>
          <w14:ligatures w14:val="none"/>
        </w:rPr>
      </w:pPr>
      <w:r w:rsidRPr="00521228">
        <w:rPr>
          <w:rFonts w:ascii="Times New Roman" w:eastAsia="Times New Roman" w:hAnsi="Times New Roman" w:cs="Times New Roman"/>
          <w:i/>
          <w:iCs/>
          <w:kern w:val="0"/>
          <w:u w:val="single"/>
          <w14:ligatures w14:val="none"/>
        </w:rPr>
        <w:t>In-vitro Exposures</w:t>
      </w:r>
    </w:p>
    <w:p w14:paraId="4FE41890" w14:textId="77777777" w:rsidR="00521228" w:rsidRPr="00521228" w:rsidRDefault="00521228" w:rsidP="006F53FF">
      <w:pPr>
        <w:suppressLineNumbers/>
        <w:rPr>
          <w:rFonts w:ascii="Times New Roman" w:eastAsia="Aptos" w:hAnsi="Times New Roman" w:cs="Times New Roman"/>
        </w:rPr>
      </w:pPr>
      <w:r w:rsidRPr="00521228">
        <w:rPr>
          <w:rFonts w:ascii="Times New Roman" w:eastAsia="Aptos" w:hAnsi="Times New Roman" w:cs="Times New Roman"/>
        </w:rPr>
        <w:tab/>
      </w:r>
      <w:r w:rsidRPr="00521228">
        <w:rPr>
          <w:rFonts w:ascii="Times New Roman" w:eastAsia="Aptos" w:hAnsi="Times New Roman" w:cs="Times New Roman"/>
          <w:i/>
          <w:iCs/>
        </w:rPr>
        <w:t xml:space="preserve">16HBE Cell Exposures. </w:t>
      </w:r>
      <w:r w:rsidRPr="00521228">
        <w:rPr>
          <w:rFonts w:ascii="Times New Roman" w:eastAsia="Aptos" w:hAnsi="Times New Roman" w:cs="Times New Roman"/>
        </w:rPr>
        <w:t xml:space="preserve">∆8-THC and ∆8-THCQ were purified and synthesized respectively for 16HBE exposures using methods previously published by our team </w:t>
      </w:r>
      <w:r w:rsidRPr="00521228">
        <w:rPr>
          <w:rFonts w:ascii="Times New Roman" w:eastAsia="Aptos" w:hAnsi="Times New Roman" w:cs="Times New Roman"/>
        </w:rPr>
        <w:fldChar w:fldCharType="begin"/>
      </w:r>
      <w:r w:rsidRPr="00521228">
        <w:rPr>
          <w:rFonts w:ascii="Times New Roman" w:eastAsia="Aptos" w:hAnsi="Times New Roman" w:cs="Times New Roman"/>
        </w:rPr>
        <w:instrText xml:space="preserve"> ADDIN ZOTERO_ITEM CSL_CITATION {"citationID":"qRIJNr12","properties":{"formattedCitation":"(26)","plainCitation":"(26)","noteIndex":0},"citationItems":[{"id":6,"uris":["http://zotero.org/users/14678818/items/JGVKLJ7P"],"itemData":{"id":6,"type":"article-journal","abstract":"Cannabidiol (CBD) vaping products have become widely available in the U.S. since their legalization in 2018. However, little is known about their respiratory health effects. Here we show that aerosolization of commercial CBD vaping products generates a reactive CBD quinone (CBDQ) which forms adducts with protein cysteine residues. Using click chemistry and a novel in vitro vaping product exposure system (VaPES), we further demonstrate that CBDQ forms adducts with human bronchial epithelial cell proteins including Keap1 and activates KEAP1-Nrf2 stress response pathway genes. These results suggest that vaping CBD alters protein function and induces cellular stress pathways in the lung. V aping products containing cannabidiol (CBD) (Figure 1A), a hemp-derived nonpsychoactive cannabinoid, have grown in popularity since they were legalized by the 2018 Farm Bill. 1 In a 2019 survey (n = 30,288), 26.1% of U.S. adults reported CBD use in the past 12 months and within that group 18.9% used CBD vaping oils. 2 Use of CBD vaping products can be attributed to a wide variety of claims about potential therapeutic effects including help with pain, inflammation, insomnia, anxiety, and depression. 2−4 Most CBD vaping products currently on the market can be categorized into either oil distillates (700−1200 mg/mL) or juices (15−50 mg/ mL). While oils are usually sold in prefilled cartridges for use in pen-type devices or in disposable vapes, juices can be added to any refillable vaping device including high-heat box mods. CBD vaping products are currently unregulated in the U.S., and measured product concentrations commonly vary ±20% from their labeled values. 5 Additionally, analysis of CBD vaping products has shown that they can contain synthetic cannabinoids, Δ 9-tetrahydrocannabinol (Δ 9-THC) exceeding the legal limit, heavy metals, large amounts of residual solvents, and flavoring chemicals. 5−7 There is an urgent need to understand the effects of vaping CBD, as 16% of patients within the e-cigarette, or vaping, product use-associated lung injury (EVALI) crisis used CBD vaping products. 8 The EVALI outbreak initially included at least 2807 cases and 68 deaths and cases continue to occur. 9,10 Despite their association with EVALI as well as the high cannabinoid concentrations and potentially harmful constituents in CBD vaping products, research on the respiratory health effects of vaping CBD has so far been limited. Within the few studies that have evaluated CBD in the context of inhalational exposures, it has been shown that aerosolized CBD induced cell death, pro-inflammatory responses, and reactive oxygen species generation in bronchial epithelial cell lines. 11,12 Proteomic analysis has also shown increases in markers of airway epithelial toxicity following CBD aerosol exposure. 13 However, the mechanism behind the adverse effects of vaped CBD on respiratory cell function is not clear. To investigate potential mechanisms of lung injury induced by aerosolized CBD, we explored whether CBD oxidizes to reactive species during vaping. We hypothesized that, due to the oxidation potential of CBD (1.2 V) and the high heat of vaping devices, CBD oxidizes to CBD quinone (CBDQ, also known as HU-331) (Figure 1A) when vaped, which forms adducts with thiol residues through Michael addition, altering protein function. CBDQ is a known oxidation product of CBD that can be formed by reaction with potassium hydroxide (the Beam test) and other oxidizing reagents. 14−16 Recently, CBDQ has also been detected in CBD vaping products after long-term storage. 17 However, the amount of CBDQ in commercial CBD products is not well characterized and the potential of vaping to promote oxidation of CBD to CBDQ is unknown.","container-title":"Chem. Res. Toxicol","DOI":"10.1021/acs.chemrestox.3c00038","issue":"4","license":"All rights reserved","note":"publisher: UTC","page":"565-569","title":"Vaping Induced Cannabidiol (CBD) Oxidation Product CBD Quinone Forms Protein Adducts with KEAP1 and Activates KEAP1-Nrf2 Genes","volume":"36","author":[{"family":"Love","given":"Charlotte A"},{"family":"Kim","given":"Hye-Young H"},{"family":"Tallman","given":"Keri A"},{"family":"Clapp","given":"Phillip W"},{"family":"Porter","given":"Ned A"},{"family":"Jaspers","given":"Ilona"}],"issued":{"date-parts":[["2023"]]}}}],"schema":"https://github.com/citation-style-language/schema/raw/master/csl-citation.json"} </w:instrText>
      </w:r>
      <w:r w:rsidRPr="00521228">
        <w:rPr>
          <w:rFonts w:ascii="Times New Roman" w:eastAsia="Aptos" w:hAnsi="Times New Roman" w:cs="Times New Roman"/>
        </w:rPr>
        <w:fldChar w:fldCharType="separate"/>
      </w:r>
      <w:r w:rsidRPr="00521228">
        <w:rPr>
          <w:rFonts w:ascii="Times New Roman" w:eastAsia="Aptos" w:hAnsi="Times New Roman" w:cs="Times New Roman"/>
          <w:noProof/>
        </w:rPr>
        <w:t>(26)</w:t>
      </w:r>
      <w:r w:rsidRPr="00521228">
        <w:rPr>
          <w:rFonts w:ascii="Times New Roman" w:eastAsia="Aptos" w:hAnsi="Times New Roman" w:cs="Times New Roman"/>
        </w:rPr>
        <w:fldChar w:fldCharType="end"/>
      </w:r>
      <w:r w:rsidRPr="00521228">
        <w:rPr>
          <w:rFonts w:ascii="Times New Roman" w:eastAsia="Aptos" w:hAnsi="Times New Roman" w:cs="Times New Roman"/>
        </w:rPr>
        <w:t xml:space="preserve">. Briefly, ∆8-THC distillate was purified using column chromatography with 10% </w:t>
      </w:r>
      <w:proofErr w:type="spellStart"/>
      <w:r w:rsidRPr="00521228">
        <w:rPr>
          <w:rFonts w:ascii="Times New Roman" w:eastAsia="Aptos" w:hAnsi="Times New Roman" w:cs="Times New Roman"/>
        </w:rPr>
        <w:t>EtOAc</w:t>
      </w:r>
      <w:proofErr w:type="spellEnd"/>
      <w:r w:rsidRPr="00521228">
        <w:rPr>
          <w:rFonts w:ascii="Times New Roman" w:eastAsia="Aptos" w:hAnsi="Times New Roman" w:cs="Times New Roman"/>
        </w:rPr>
        <w:t xml:space="preserve">/hexanes. A solution of Δ8-THC (0.12 g, 0.38 mmol) in CH3CN (5 mL) and H2O (1 mL) was treated with stabilized 2-iodoxybenzoic acid (SIBX, 0.24 g, 0.84 mmol), resulting in a color change to orange. After 1 hour, the reaction was quenched by dilution with </w:t>
      </w:r>
      <w:proofErr w:type="spellStart"/>
      <w:r w:rsidRPr="00521228">
        <w:rPr>
          <w:rFonts w:ascii="Times New Roman" w:eastAsia="Aptos" w:hAnsi="Times New Roman" w:cs="Times New Roman"/>
        </w:rPr>
        <w:t>EtOAc</w:t>
      </w:r>
      <w:proofErr w:type="spellEnd"/>
      <w:r w:rsidRPr="00521228">
        <w:rPr>
          <w:rFonts w:ascii="Times New Roman" w:eastAsia="Aptos" w:hAnsi="Times New Roman" w:cs="Times New Roman"/>
        </w:rPr>
        <w:t xml:space="preserve">, followed by sequential washes with </w:t>
      </w:r>
      <w:proofErr w:type="spellStart"/>
      <w:r w:rsidRPr="00521228">
        <w:rPr>
          <w:rFonts w:ascii="Times New Roman" w:eastAsia="Aptos" w:hAnsi="Times New Roman" w:cs="Times New Roman"/>
        </w:rPr>
        <w:t>NaHCO</w:t>
      </w:r>
      <w:proofErr w:type="spellEnd"/>
      <w:r w:rsidRPr="00521228">
        <w:rPr>
          <w:rFonts w:ascii="Times New Roman" w:eastAsia="Aptos" w:hAnsi="Times New Roman" w:cs="Times New Roman"/>
        </w:rPr>
        <w:t xml:space="preserve">₃ and brine, then dried over </w:t>
      </w:r>
      <w:proofErr w:type="spellStart"/>
      <w:r w:rsidRPr="00521228">
        <w:rPr>
          <w:rFonts w:ascii="Times New Roman" w:eastAsia="Aptos" w:hAnsi="Times New Roman" w:cs="Times New Roman"/>
        </w:rPr>
        <w:t>MgSO</w:t>
      </w:r>
      <w:proofErr w:type="spellEnd"/>
      <w:r w:rsidRPr="00521228">
        <w:rPr>
          <w:rFonts w:ascii="Times New Roman" w:eastAsia="Aptos" w:hAnsi="Times New Roman" w:cs="Times New Roman"/>
        </w:rPr>
        <w:t xml:space="preserve">₄. The final product, a red oil (81 mg, 65% yield), was purified again via column chromatography under the same conditions. For exposures, 16HBE cells (n = 3 passage numbers) were grown to 90% confluency in 6-well plates </w:t>
      </w:r>
      <w:r w:rsidRPr="00521228">
        <w:rPr>
          <w:rFonts w:ascii="Times New Roman" w:eastAsia="Aptos" w:hAnsi="Times New Roman" w:cs="Times New Roman"/>
          <w:color w:val="000000"/>
        </w:rPr>
        <w:t>(Corning Life Sciences)</w:t>
      </w:r>
      <w:r w:rsidRPr="00521228">
        <w:rPr>
          <w:rFonts w:ascii="Times New Roman" w:eastAsia="Aptos" w:hAnsi="Times New Roman" w:cs="Times New Roman"/>
        </w:rPr>
        <w:t xml:space="preserve"> (seeding density of </w:t>
      </w:r>
      <w:r w:rsidRPr="00521228">
        <w:rPr>
          <w:rFonts w:ascii="Times New Roman" w:eastAsia="Aptos" w:hAnsi="Times New Roman" w:cs="Times New Roman"/>
          <w:color w:val="000000"/>
        </w:rPr>
        <w:t>3 x 10</w:t>
      </w:r>
      <w:r w:rsidRPr="00521228">
        <w:rPr>
          <w:rFonts w:ascii="Times New Roman" w:eastAsia="Aptos" w:hAnsi="Times New Roman" w:cs="Times New Roman"/>
          <w:color w:val="000000"/>
          <w:vertAlign w:val="superscript"/>
        </w:rPr>
        <w:t>5</w:t>
      </w:r>
      <w:r w:rsidRPr="00521228">
        <w:rPr>
          <w:rFonts w:ascii="Times New Roman" w:eastAsia="Aptos" w:hAnsi="Times New Roman" w:cs="Times New Roman"/>
          <w:color w:val="000000"/>
        </w:rPr>
        <w:t xml:space="preserve"> cells/well). 16HBEs were then exposed to </w:t>
      </w:r>
      <w:r w:rsidRPr="00521228">
        <w:rPr>
          <w:rFonts w:ascii="Times New Roman" w:eastAsia="Aptos" w:hAnsi="Times New Roman" w:cs="Times New Roman"/>
        </w:rPr>
        <w:t>∆8-THC</w:t>
      </w:r>
      <w:r w:rsidRPr="00521228">
        <w:rPr>
          <w:rFonts w:ascii="Times New Roman" w:eastAsia="Aptos" w:hAnsi="Times New Roman" w:cs="Times New Roman"/>
          <w:color w:val="000000"/>
        </w:rPr>
        <w:t xml:space="preserve"> (8.5 µM), </w:t>
      </w:r>
      <w:r w:rsidRPr="00521228">
        <w:rPr>
          <w:rFonts w:ascii="Times New Roman" w:eastAsia="Aptos" w:hAnsi="Times New Roman" w:cs="Times New Roman"/>
        </w:rPr>
        <w:t>∆8-THCQ</w:t>
      </w:r>
      <w:r w:rsidRPr="00521228">
        <w:rPr>
          <w:rFonts w:ascii="Times New Roman" w:eastAsia="Aptos" w:hAnsi="Times New Roman" w:cs="Times New Roman"/>
          <w:color w:val="000000"/>
        </w:rPr>
        <w:t xml:space="preserve"> (8.5 µM), or DMSO vehicle control in 2 mL MEM for 12 or 24 hours. Directly following exposures, 16HBE cells were lysed in 600 µL </w:t>
      </w:r>
      <w:r w:rsidRPr="00521228">
        <w:rPr>
          <w:rFonts w:ascii="Times New Roman" w:eastAsia="Aptos" w:hAnsi="Times New Roman" w:cs="Times New Roman"/>
          <w:bCs/>
          <w:color w:val="000000"/>
        </w:rPr>
        <w:t>RNA Lysis Buffer with 2-Mercaptoethanol (10%) (Invitrogen, Waltham, MA) and stored at -80 °C.</w:t>
      </w:r>
    </w:p>
    <w:p w14:paraId="7C8F2C84" w14:textId="77777777" w:rsidR="00521228" w:rsidRDefault="00521228" w:rsidP="006F53FF">
      <w:pPr>
        <w:suppressLineNumbers/>
        <w:ind w:firstLine="720"/>
        <w:rPr>
          <w:rFonts w:ascii="Times New Roman" w:eastAsia="Aptos" w:hAnsi="Times New Roman" w:cs="Times New Roman"/>
          <w:color w:val="000000"/>
        </w:rPr>
      </w:pPr>
      <w:r w:rsidRPr="00521228">
        <w:rPr>
          <w:rFonts w:ascii="Times New Roman" w:eastAsia="Aptos" w:hAnsi="Times New Roman" w:cs="Times New Roman"/>
          <w:i/>
          <w:iCs/>
          <w:color w:val="000000"/>
        </w:rPr>
        <w:t xml:space="preserve">HBEC Exposures. </w:t>
      </w:r>
      <w:r w:rsidRPr="00521228">
        <w:rPr>
          <w:rFonts w:ascii="Times New Roman" w:eastAsia="Aptos" w:hAnsi="Times New Roman" w:cs="Times New Roman"/>
          <w:color w:val="000000"/>
        </w:rPr>
        <w:t>Fully differentiated primary HBECs (n = 4 donors, Table E1) were exposed to the same 6 commercially available ∆8-THC vaping products (Table 1) used for chemical analysis or a 40/60 propylene glycol/vegetable glycerin (PG/VG) vaping control using the UNC Vaping Product Exposure System (</w:t>
      </w:r>
      <w:proofErr w:type="spellStart"/>
      <w:r w:rsidRPr="00521228">
        <w:rPr>
          <w:rFonts w:ascii="Times New Roman" w:eastAsia="Aptos" w:hAnsi="Times New Roman" w:cs="Times New Roman"/>
          <w:color w:val="000000"/>
        </w:rPr>
        <w:t>VaPES</w:t>
      </w:r>
      <w:proofErr w:type="spellEnd"/>
      <w:r w:rsidRPr="00521228">
        <w:rPr>
          <w:rFonts w:ascii="Times New Roman" w:eastAsia="Aptos" w:hAnsi="Times New Roman" w:cs="Times New Roman"/>
          <w:color w:val="000000"/>
        </w:rPr>
        <w:t xml:space="preserve">)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{"citationID":"1D8d2UMh","properties":{"formattedCitation":"(34)","plainCitation":"(34)","noteIndex":0},"citationItems":[{"id":541,"uris":["http://zotero.org/users/14678818/items/GD83TIKD"],"itemData":{"id":541,"type":"article-journal","abstract":"OBJECTIVE: Due to recent increases in the use of vaping devices, there is a high demand for research addressing the respiratory health effects of vaping products. Given the constantly changing nature of the vaping market with new devices, flavors, metals, and other chemicals rapidly emerging, there is a need for inexpensive and highly adaptable vaping device exposure systems. Here, we describe the design and validation of a novel in vitro aerosol exposure system for toxicity testing of vaping devices.\nMATERIALS AND METHODS: We developed an inexpensive, open-source in vitro vaping device exposure system that produces even deposition, can be adapted for different vaping devices, and allows for experiments to be performed under physiological conditions. The system was then validated with deposition testing and a representative exposure with human bronchial epithelial cells (hBECs).\nRESULTS: The Vaping Product Exposure System (VaPES) produced sufficient and uniform deposition for dose-response studies and was precise enough to observe biological responses to vaping exposures. VaPES was adapted to work with both pod and cartridge-based vaping devices.\nCONCLUSION: We have designed and validated a novel vaping device exposure system that will eliminate the need to use high-cost commercial exposure systems, lowering the barrier to entry of physiologically relevant vaping studies.","container-title":"Inhalation Toxicology","DOI":"10.1080/08958378.2023.2289021","ISSN":"1091-7691","issue":"13-14","journalAbbreviation":"Inhal Toxicol","language":"eng","note":"PMID: 38054423\nPMCID: PMC10788097","page":"324-332","source":"PubMed","title":"Vaping product exposure system (VaPES): a novel in vitro aerosol deposition system","title-short":"Vaping product exposure system (VaPES)","volume":"35","author":[{"family":"Schichlein","given":"Kevin D."},{"family":"Love","given":"Charlotte A."},{"family":"Conolly","given":"Maxwell P."},{"family":"Kurz","given":"John L."},{"family":"Hickman","given":"Elise D."},{"family":"Clapp","given":"Phillip W."},{"family":"Jaspers","given":"Ilona"}],"issued":{"date-parts":[["2023",12]]}}}],"schema":"https://github.com/citation-style-language/schema/raw/master/csl-citation.json"}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(34)</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Details of the devices used with each product can also be found in Table E1. For the </w:t>
      </w:r>
      <w:proofErr w:type="spellStart"/>
      <w:r w:rsidRPr="00521228">
        <w:rPr>
          <w:rFonts w:ascii="Times New Roman" w:eastAsia="Aptos" w:hAnsi="Times New Roman" w:cs="Times New Roman"/>
          <w:color w:val="000000"/>
        </w:rPr>
        <w:t>Stiizy</w:t>
      </w:r>
      <w:proofErr w:type="spellEnd"/>
      <w:r w:rsidRPr="00521228">
        <w:rPr>
          <w:rFonts w:ascii="Times New Roman" w:eastAsia="Aptos" w:hAnsi="Times New Roman" w:cs="Times New Roman"/>
          <w:color w:val="000000"/>
        </w:rPr>
        <w:t xml:space="preserve"> disposable product, a new 3D-printed mouthpiece and silicone insert were made to accommodate the different shape of the mouthpiece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{"citationID":"qZn65wPV","properties":{"formattedCitation":"(34)","plainCitation":"(34)","noteIndex":0},"citationItems":[{"id":541,"uris":["http://zotero.org/users/14678818/items/GD83TIKD"],"itemData":{"id":541,"type":"article-journal","abstract":"OBJECTIVE: Due to recent increases in the use of vaping devices, there is a high demand for research addressing the respiratory health effects of vaping products. Given the constantly changing nature of the vaping market with new devices, flavors, metals, and other chemicals rapidly emerging, there is a need for inexpensive and highly adaptable vaping device exposure systems. Here, we describe the design and validation of a novel in vitro aerosol exposure system for toxicity testing of vaping devices.\nMATERIALS AND METHODS: We developed an inexpensive, open-source in vitro vaping device exposure system that produces even deposition, can be adapted for different vaping devices, and allows for experiments to be performed under physiological conditions. The system was then validated with deposition testing and a representative exposure with human bronchial epithelial cells (hBECs).\nRESULTS: The Vaping Product Exposure System (VaPES) produced sufficient and uniform deposition for dose-response studies and was precise enough to observe biological responses to vaping exposures. VaPES was adapted to work with both pod and cartridge-based vaping devices.\nCONCLUSION: We have designed and validated a novel vaping device exposure system that will eliminate the need to use high-cost commercial exposure systems, lowering the barrier to entry of physiologically relevant vaping studies.","container-title":"Inhalation Toxicology","DOI":"10.1080/08958378.2023.2289021","ISSN":"1091-7691","issue":"13-14","journalAbbreviation":"Inhal Toxicol","language":"eng","note":"PMID: 38054423\nPMCID: PMC10788097","page":"324-332","source":"PubMed","title":"Vaping product exposure system (VaPES): a novel in vitro aerosol deposition system","title-short":"Vaping product exposure system (VaPES)","volume":"35","author":[{"family":"Schichlein","given":"Kevin D."},{"family":"Love","given":"Charlotte A."},{"family":"Conolly","given":"Maxwell P."},{"family":"Kurz","given":"John L."},{"family":"Hickman","given":"Elise D."},{"family":"Clapp","given":"Phillip W."},{"family":"Jaspers","given":"Ilona"}],"issued":{"date-parts":[["2023",12]]}}}],"schema":"https://github.com/citation-style-language/schema/raw/master/csl-citation.json"}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(34)</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We have previously shown deposition with </w:t>
      </w:r>
      <w:proofErr w:type="spellStart"/>
      <w:r w:rsidRPr="00521228">
        <w:rPr>
          <w:rFonts w:ascii="Times New Roman" w:eastAsia="Aptos" w:hAnsi="Times New Roman" w:cs="Times New Roman"/>
          <w:color w:val="000000"/>
        </w:rPr>
        <w:t>VaPES</w:t>
      </w:r>
      <w:proofErr w:type="spellEnd"/>
      <w:r w:rsidRPr="00521228">
        <w:rPr>
          <w:rFonts w:ascii="Times New Roman" w:eastAsia="Aptos" w:hAnsi="Times New Roman" w:cs="Times New Roman"/>
          <w:color w:val="000000"/>
        </w:rPr>
        <w:t xml:space="preserve"> </w:t>
      </w:r>
      <w:r w:rsidRPr="00521228">
        <w:rPr>
          <w:rFonts w:ascii="Times New Roman" w:eastAsia="Aptos" w:hAnsi="Times New Roman" w:cs="Times New Roman"/>
          <w:bCs/>
          <w:color w:val="000000"/>
        </w:rPr>
        <w:t>to be 49.5 ± 2.75 µg/cm</w:t>
      </w:r>
      <w:r w:rsidRPr="00521228">
        <w:rPr>
          <w:rFonts w:ascii="Times New Roman" w:eastAsia="Aptos" w:hAnsi="Times New Roman" w:cs="Times New Roman"/>
          <w:bCs/>
          <w:color w:val="000000"/>
          <w:vertAlign w:val="superscript"/>
        </w:rPr>
        <w:t>2</w:t>
      </w:r>
      <w:r w:rsidRPr="00521228">
        <w:rPr>
          <w:rFonts w:ascii="Times New Roman" w:eastAsia="Aptos" w:hAnsi="Times New Roman" w:cs="Times New Roman"/>
          <w:bCs/>
          <w:color w:val="000000"/>
        </w:rPr>
        <w:t xml:space="preserve"> per puff on a 12 mm </w:t>
      </w:r>
      <w:proofErr w:type="spellStart"/>
      <w:r w:rsidRPr="00521228">
        <w:rPr>
          <w:rFonts w:ascii="Times New Roman" w:eastAsia="Aptos" w:hAnsi="Times New Roman" w:cs="Times New Roman"/>
          <w:bCs/>
          <w:color w:val="000000"/>
        </w:rPr>
        <w:t>transwell</w:t>
      </w:r>
      <w:proofErr w:type="spellEnd"/>
      <w:r w:rsidRPr="00521228">
        <w:rPr>
          <w:rFonts w:ascii="Times New Roman" w:eastAsia="Aptos" w:hAnsi="Times New Roman" w:cs="Times New Roman"/>
          <w:bCs/>
          <w:color w:val="000000"/>
        </w:rPr>
        <w:t xml:space="preserve"> </w:t>
      </w:r>
      <w:r w:rsidRPr="00521228">
        <w:rPr>
          <w:rFonts w:ascii="Times New Roman" w:eastAsia="Aptos" w:hAnsi="Times New Roman" w:cs="Times New Roman"/>
          <w:bCs/>
          <w:color w:val="000000"/>
        </w:rPr>
        <w:fldChar w:fldCharType="begin"/>
      </w:r>
      <w:r w:rsidRPr="00521228">
        <w:rPr>
          <w:rFonts w:ascii="Times New Roman" w:eastAsia="Aptos" w:hAnsi="Times New Roman" w:cs="Times New Roman"/>
          <w:bCs/>
          <w:color w:val="000000"/>
        </w:rPr>
        <w:instrText xml:space="preserve"> ADDIN ZOTERO_ITEM CSL_CITATION {"citationID":"xSbdMnud","properties":{"formattedCitation":"(34)","plainCitation":"(34)","noteIndex":0},"citationItems":[{"id":541,"uris":["http://zotero.org/users/14678818/items/GD83TIKD"],"itemData":{"id":541,"type":"article-journal","abstract":"OBJECTIVE: Due to recent increases in the use of vaping devices, there is a high demand for research addressing the respiratory health effects of vaping products. Given the constantly changing nature of the vaping market with new devices, flavors, metals, and other chemicals rapidly emerging, there is a need for inexpensive and highly adaptable vaping device exposure systems. Here, we describe the design and validation of a novel in vitro aerosol exposure system for toxicity testing of vaping devices.\nMATERIALS AND METHODS: We developed an inexpensive, open-source in vitro vaping device exposure system that produces even deposition, can be adapted for different vaping devices, and allows for experiments to be performed under physiological conditions. The system was then validated with deposition testing and a representative exposure with human bronchial epithelial cells (hBECs).\nRESULTS: The Vaping Product Exposure System (VaPES) produced sufficient and uniform deposition for dose-response studies and was precise enough to observe biological responses to vaping exposures. VaPES was adapted to work with both pod and cartridge-based vaping devices.\nCONCLUSION: We have designed and validated a novel vaping device exposure system that will eliminate the need to use high-cost commercial exposure systems, lowering the barrier to entry of physiologically relevant vaping studies.","container-title":"Inhalation Toxicology","DOI":"10.1080/08958378.2023.2289021","ISSN":"1091-7691","issue":"13-14","journalAbbreviation":"Inhal Toxicol","language":"eng","note":"PMID: 38054423\nPMCID: PMC10788097","page":"324-332","source":"PubMed","title":"Vaping product exposure system (VaPES): a novel in vitro aerosol deposition system","title-short":"Vaping product exposure system (VaPES)","volume":"35","author":[{"family":"Schichlein","given":"Kevin D."},{"family":"Love","given":"Charlotte A."},{"family":"Conolly","given":"Maxwell P."},{"family":"Kurz","given":"John L."},{"family":"Hickman","given":"Elise D."},{"family":"Clapp","given":"Phillip W."},{"family":"Jaspers","given":"Ilona"}],"issued":{"date-parts":[["2023",12]]}}}],"schema":"https://github.com/citation-style-language/schema/raw/master/csl-citation.json"} </w:instrText>
      </w:r>
      <w:r w:rsidRPr="00521228">
        <w:rPr>
          <w:rFonts w:ascii="Times New Roman" w:eastAsia="Aptos" w:hAnsi="Times New Roman" w:cs="Times New Roman"/>
          <w:bCs/>
          <w:color w:val="000000"/>
        </w:rPr>
        <w:fldChar w:fldCharType="separate"/>
      </w:r>
      <w:r w:rsidRPr="00521228">
        <w:rPr>
          <w:rFonts w:ascii="Times New Roman" w:eastAsia="Aptos" w:hAnsi="Times New Roman" w:cs="Times New Roman"/>
          <w:bCs/>
          <w:noProof/>
          <w:color w:val="000000"/>
        </w:rPr>
        <w:t>(34)</w:t>
      </w:r>
      <w:r w:rsidRPr="00521228">
        <w:rPr>
          <w:rFonts w:ascii="Times New Roman" w:eastAsia="Aptos" w:hAnsi="Times New Roman" w:cs="Times New Roman"/>
          <w:bCs/>
          <w:color w:val="000000"/>
        </w:rPr>
        <w:fldChar w:fldCharType="end"/>
      </w:r>
      <w:r w:rsidRPr="00521228">
        <w:rPr>
          <w:rFonts w:ascii="Times New Roman" w:eastAsia="Aptos" w:hAnsi="Times New Roman" w:cs="Times New Roman"/>
          <w:bCs/>
          <w:color w:val="000000"/>
        </w:rPr>
        <w:t xml:space="preserve">. </w:t>
      </w:r>
      <w:r w:rsidRPr="00521228">
        <w:rPr>
          <w:rFonts w:ascii="Times New Roman" w:eastAsia="Aptos" w:hAnsi="Times New Roman" w:cs="Times New Roman"/>
          <w:color w:val="000000"/>
        </w:rPr>
        <w:t>Two replicate wells per donor were exposed to each vaping product. HBECs were exposed to a total of 10 3-second puffs (</w:t>
      </w:r>
      <w:r w:rsidRPr="00521228">
        <w:rPr>
          <w:rFonts w:ascii="Times New Roman" w:eastAsia="Aptos" w:hAnsi="Times New Roman" w:cs="Times New Roman"/>
          <w:bCs/>
          <w:color w:val="000000"/>
        </w:rPr>
        <w:t xml:space="preserve">2 L/min puffs with 10-minute rests to allow for complete sedimentation of the aerosol). </w:t>
      </w:r>
      <w:r w:rsidRPr="00521228">
        <w:rPr>
          <w:rFonts w:ascii="Times New Roman" w:eastAsia="Aptos" w:hAnsi="Times New Roman" w:cs="Times New Roman"/>
          <w:color w:val="000000"/>
        </w:rPr>
        <w:t>Live cell imaging was performed before exposure and after 5 and 10 puffs (see methods on live cell imaging and cilia analysis below). After 10 puffs, the basolateral medium was removed, and cells were lysed in 300 µL RNA Lysis Buffer with 2-Mercaptoethanol (10%) (Invitrogen, Waltham, MA) and stored at -80 °C.</w:t>
      </w:r>
    </w:p>
    <w:p w14:paraId="680C0EB0" w14:textId="77777777" w:rsidR="006F53FF" w:rsidRDefault="006F53FF" w:rsidP="006F53FF">
      <w:pPr>
        <w:suppressLineNumbers/>
        <w:ind w:firstLine="720"/>
        <w:rPr>
          <w:rFonts w:ascii="Times New Roman" w:eastAsia="Aptos" w:hAnsi="Times New Roman" w:cs="Times New Roman"/>
          <w:color w:val="000000"/>
        </w:rPr>
      </w:pPr>
    </w:p>
    <w:p w14:paraId="1CAC1409" w14:textId="77777777" w:rsidR="006F53FF" w:rsidRPr="00521228" w:rsidRDefault="006F53FF" w:rsidP="006F53FF">
      <w:pPr>
        <w:suppressLineNumbers/>
        <w:ind w:firstLine="720"/>
        <w:rPr>
          <w:rFonts w:ascii="Times New Roman" w:eastAsia="Aptos" w:hAnsi="Times New Roman" w:cs="Times New Roman"/>
          <w:color w:val="000000"/>
        </w:rPr>
      </w:pPr>
    </w:p>
    <w:p w14:paraId="1BABCCDA" w14:textId="77777777" w:rsidR="00521228" w:rsidRPr="00521228" w:rsidRDefault="00521228" w:rsidP="006F53FF">
      <w:pPr>
        <w:suppressLineNumbers/>
        <w:jc w:val="both"/>
        <w:rPr>
          <w:rFonts w:ascii="Times New Roman" w:eastAsia="Aptos" w:hAnsi="Times New Roman" w:cs="Times New Roman"/>
          <w:i/>
          <w:iCs/>
          <w:u w:val="single"/>
        </w:rPr>
      </w:pPr>
      <w:r w:rsidRPr="00521228">
        <w:rPr>
          <w:rFonts w:ascii="Times New Roman" w:eastAsia="Aptos" w:hAnsi="Times New Roman" w:cs="Times New Roman"/>
          <w:i/>
          <w:iCs/>
          <w:u w:val="single"/>
        </w:rPr>
        <w:lastRenderedPageBreak/>
        <w:t>RNA-Sequencing Analysis</w:t>
      </w:r>
    </w:p>
    <w:p w14:paraId="28DE7547" w14:textId="0F60A957" w:rsidR="00521228" w:rsidRPr="001E422D" w:rsidRDefault="00521228" w:rsidP="006F53FF">
      <w:pPr>
        <w:suppressLineNumbers/>
        <w:rPr>
          <w:rFonts w:ascii="Times New Roman" w:eastAsia="Aptos" w:hAnsi="Times New Roman" w:cs="Times New Roman"/>
          <w:bCs/>
          <w:color w:val="000000"/>
        </w:rPr>
      </w:pPr>
      <w:r w:rsidRPr="00521228">
        <w:rPr>
          <w:rFonts w:ascii="Times New Roman" w:eastAsia="Aptos" w:hAnsi="Times New Roman" w:cs="Times New Roman"/>
        </w:rPr>
        <w:tab/>
      </w:r>
      <w:r w:rsidRPr="00521228">
        <w:rPr>
          <w:rFonts w:ascii="Times New Roman" w:eastAsia="Aptos" w:hAnsi="Times New Roman" w:cs="Times New Roman"/>
          <w:i/>
          <w:iCs/>
        </w:rPr>
        <w:t xml:space="preserve">RNA-Sequencing. </w:t>
      </w:r>
      <w:r w:rsidRPr="00521228">
        <w:rPr>
          <w:rFonts w:ascii="Times New Roman" w:eastAsia="Aptos" w:hAnsi="Times New Roman" w:cs="Times New Roman"/>
        </w:rPr>
        <w:t xml:space="preserve">RNA was isolated from 16HBE cells and HBEC lysates using a </w:t>
      </w:r>
      <w:proofErr w:type="spellStart"/>
      <w:r w:rsidRPr="00521228">
        <w:rPr>
          <w:rFonts w:ascii="Times New Roman" w:eastAsia="Aptos" w:hAnsi="Times New Roman" w:cs="Times New Roman"/>
          <w:bCs/>
          <w:color w:val="000000"/>
        </w:rPr>
        <w:t>PureLink</w:t>
      </w:r>
      <w:proofErr w:type="spellEnd"/>
      <w:r w:rsidRPr="00521228">
        <w:rPr>
          <w:rFonts w:ascii="Times New Roman" w:eastAsia="Aptos" w:hAnsi="Times New Roman" w:cs="Times New Roman"/>
          <w:bCs/>
          <w:color w:val="000000"/>
        </w:rPr>
        <w:t xml:space="preserve"> RNA Mini Kit (Invitrogen) and all manufacturer’s instructions were followed. For HBECs exposed to vaped ∆8-THC, two replicate wells were used per donor and product for RNA-sequencing analysis. </w:t>
      </w:r>
      <w:r w:rsidR="005B234D" w:rsidRPr="005B234D">
        <w:rPr>
          <w:rFonts w:ascii="Times New Roman" w:eastAsia="Aptos" w:hAnsi="Times New Roman" w:cs="Times New Roman"/>
          <w:bCs/>
          <w:color w:val="000000"/>
        </w:rPr>
        <w:t xml:space="preserve">Power analysis using the </w:t>
      </w:r>
      <w:proofErr w:type="spellStart"/>
      <w:r w:rsidR="005B234D" w:rsidRPr="005B234D">
        <w:rPr>
          <w:rFonts w:ascii="Times New Roman" w:eastAsia="Aptos" w:hAnsi="Times New Roman" w:cs="Times New Roman"/>
          <w:bCs/>
          <w:color w:val="000000"/>
        </w:rPr>
        <w:t>RNASeqPower</w:t>
      </w:r>
      <w:proofErr w:type="spellEnd"/>
      <w:r w:rsidR="005B234D" w:rsidRPr="005B234D">
        <w:rPr>
          <w:rFonts w:ascii="Times New Roman" w:eastAsia="Aptos" w:hAnsi="Times New Roman" w:cs="Times New Roman"/>
          <w:bCs/>
          <w:color w:val="000000"/>
        </w:rPr>
        <w:t xml:space="preserve"> package in R, based on conservative dispersion estimates from </w:t>
      </w:r>
      <w:r w:rsidR="000B6584">
        <w:rPr>
          <w:rFonts w:ascii="Times New Roman" w:eastAsia="Aptos" w:hAnsi="Times New Roman" w:cs="Times New Roman"/>
          <w:bCs/>
          <w:color w:val="000000"/>
        </w:rPr>
        <w:t xml:space="preserve">similar </w:t>
      </w:r>
      <w:r w:rsidR="005B234D" w:rsidRPr="005B234D">
        <w:rPr>
          <w:rFonts w:ascii="Times New Roman" w:eastAsia="Aptos" w:hAnsi="Times New Roman" w:cs="Times New Roman"/>
          <w:bCs/>
          <w:color w:val="000000"/>
        </w:rPr>
        <w:t xml:space="preserve">previous </w:t>
      </w:r>
      <w:proofErr w:type="spellStart"/>
      <w:r w:rsidR="005B234D" w:rsidRPr="005B234D">
        <w:rPr>
          <w:rFonts w:ascii="Times New Roman" w:eastAsia="Aptos" w:hAnsi="Times New Roman" w:cs="Times New Roman"/>
          <w:bCs/>
          <w:color w:val="000000"/>
        </w:rPr>
        <w:t>RNAseq</w:t>
      </w:r>
      <w:proofErr w:type="spellEnd"/>
      <w:r w:rsidR="005B234D" w:rsidRPr="005B234D">
        <w:rPr>
          <w:rFonts w:ascii="Times New Roman" w:eastAsia="Aptos" w:hAnsi="Times New Roman" w:cs="Times New Roman"/>
          <w:bCs/>
          <w:color w:val="000000"/>
        </w:rPr>
        <w:t xml:space="preserve"> dataset</w:t>
      </w:r>
      <w:r w:rsidR="001220BD">
        <w:rPr>
          <w:rFonts w:ascii="Times New Roman" w:eastAsia="Aptos" w:hAnsi="Times New Roman" w:cs="Times New Roman"/>
          <w:bCs/>
          <w:color w:val="000000"/>
        </w:rPr>
        <w:t>s</w:t>
      </w:r>
      <w:r w:rsidR="005B234D" w:rsidRPr="005B234D">
        <w:rPr>
          <w:rFonts w:ascii="Times New Roman" w:eastAsia="Aptos" w:hAnsi="Times New Roman" w:cs="Times New Roman"/>
          <w:bCs/>
          <w:color w:val="000000"/>
        </w:rPr>
        <w:t xml:space="preserve"> of </w:t>
      </w:r>
      <w:r w:rsidR="001220BD">
        <w:rPr>
          <w:rFonts w:ascii="Times New Roman" w:eastAsia="Aptos" w:hAnsi="Times New Roman" w:cs="Times New Roman"/>
          <w:bCs/>
          <w:color w:val="000000"/>
        </w:rPr>
        <w:t xml:space="preserve">16HBEs and </w:t>
      </w:r>
      <w:r w:rsidR="005B234D" w:rsidRPr="005B234D">
        <w:rPr>
          <w:rFonts w:ascii="Times New Roman" w:eastAsia="Aptos" w:hAnsi="Times New Roman" w:cs="Times New Roman"/>
          <w:bCs/>
          <w:color w:val="000000"/>
        </w:rPr>
        <w:t xml:space="preserve">HBECs (27) (BCV ≈ </w:t>
      </w:r>
      <w:r w:rsidR="00212C6D" w:rsidRPr="00212C6D">
        <w:rPr>
          <w:rFonts w:ascii="Times New Roman" w:eastAsia="Aptos" w:hAnsi="Times New Roman" w:cs="Times New Roman"/>
          <w:bCs/>
          <w:color w:val="000000"/>
        </w:rPr>
        <w:t>0.103</w:t>
      </w:r>
      <w:r w:rsidR="00212C6D">
        <w:rPr>
          <w:rFonts w:ascii="Times New Roman" w:eastAsia="Aptos" w:hAnsi="Times New Roman" w:cs="Times New Roman"/>
          <w:bCs/>
          <w:color w:val="000000"/>
        </w:rPr>
        <w:t xml:space="preserve"> and </w:t>
      </w:r>
      <w:r w:rsidR="005B234D" w:rsidRPr="005B234D">
        <w:rPr>
          <w:rFonts w:ascii="Times New Roman" w:eastAsia="Aptos" w:hAnsi="Times New Roman" w:cs="Times New Roman"/>
          <w:bCs/>
          <w:color w:val="000000"/>
        </w:rPr>
        <w:t>0.165</w:t>
      </w:r>
      <w:r w:rsidR="001A672E">
        <w:rPr>
          <w:rFonts w:ascii="Times New Roman" w:eastAsia="Aptos" w:hAnsi="Times New Roman" w:cs="Times New Roman"/>
          <w:bCs/>
          <w:color w:val="000000"/>
        </w:rPr>
        <w:t xml:space="preserve"> respectively</w:t>
      </w:r>
      <w:r w:rsidR="005B234D" w:rsidRPr="005B234D">
        <w:rPr>
          <w:rFonts w:ascii="Times New Roman" w:eastAsia="Aptos" w:hAnsi="Times New Roman" w:cs="Times New Roman"/>
          <w:bCs/>
          <w:color w:val="000000"/>
        </w:rPr>
        <w:t xml:space="preserve">, median read depth </w:t>
      </w:r>
      <w:r w:rsidR="001A672E" w:rsidRPr="001A672E">
        <w:rPr>
          <w:rFonts w:ascii="Times New Roman" w:eastAsia="Aptos" w:hAnsi="Times New Roman" w:cs="Times New Roman"/>
          <w:bCs/>
          <w:color w:val="000000"/>
        </w:rPr>
        <w:t>484</w:t>
      </w:r>
      <w:r w:rsidR="001A672E">
        <w:rPr>
          <w:rFonts w:ascii="Times New Roman" w:eastAsia="Aptos" w:hAnsi="Times New Roman" w:cs="Times New Roman"/>
          <w:bCs/>
          <w:color w:val="000000"/>
        </w:rPr>
        <w:t xml:space="preserve"> and </w:t>
      </w:r>
      <w:r w:rsidR="005B234D" w:rsidRPr="005B234D">
        <w:rPr>
          <w:rFonts w:ascii="Times New Roman" w:eastAsia="Aptos" w:hAnsi="Times New Roman" w:cs="Times New Roman"/>
          <w:bCs/>
          <w:color w:val="000000"/>
        </w:rPr>
        <w:t>303 counts/gene</w:t>
      </w:r>
      <w:r w:rsidR="001A672E">
        <w:rPr>
          <w:rFonts w:ascii="Times New Roman" w:eastAsia="Aptos" w:hAnsi="Times New Roman" w:cs="Times New Roman"/>
          <w:bCs/>
          <w:color w:val="000000"/>
        </w:rPr>
        <w:t xml:space="preserve"> respectively</w:t>
      </w:r>
      <w:r w:rsidR="005B234D" w:rsidRPr="005B234D">
        <w:rPr>
          <w:rFonts w:ascii="Times New Roman" w:eastAsia="Aptos" w:hAnsi="Times New Roman" w:cs="Times New Roman"/>
          <w:bCs/>
          <w:color w:val="000000"/>
        </w:rPr>
        <w:t>), indicates that n = 3</w:t>
      </w:r>
      <w:r w:rsidR="001E422D">
        <w:rPr>
          <w:rFonts w:ascii="Times New Roman" w:eastAsia="Aptos" w:hAnsi="Times New Roman" w:cs="Times New Roman"/>
          <w:bCs/>
          <w:color w:val="000000"/>
        </w:rPr>
        <w:t>/4</w:t>
      </w:r>
      <w:r w:rsidR="005B234D" w:rsidRPr="005B234D">
        <w:rPr>
          <w:rFonts w:ascii="Times New Roman" w:eastAsia="Aptos" w:hAnsi="Times New Roman" w:cs="Times New Roman"/>
          <w:bCs/>
          <w:color w:val="000000"/>
        </w:rPr>
        <w:t xml:space="preserve"> biological replicates provides &gt;95% power to detect a Log2FC ≥ 1 (fold-change ≥ 2) at an FDR of 0.05.</w:t>
      </w:r>
      <w:r w:rsidRPr="00521228">
        <w:rPr>
          <w:rFonts w:ascii="Times New Roman" w:eastAsia="Aptos" w:hAnsi="Times New Roman" w:cs="Times New Roman"/>
          <w:bCs/>
          <w:color w:val="000000"/>
        </w:rPr>
        <w:t xml:space="preserve">Following preliminary quality assessment of RNA with a </w:t>
      </w:r>
      <w:proofErr w:type="spellStart"/>
      <w:r w:rsidRPr="00521228">
        <w:rPr>
          <w:rFonts w:ascii="Times New Roman" w:eastAsia="Aptos" w:hAnsi="Times New Roman" w:cs="Times New Roman"/>
          <w:bCs/>
          <w:color w:val="000000"/>
        </w:rPr>
        <w:t>CLARIOstar</w:t>
      </w:r>
      <w:proofErr w:type="spellEnd"/>
      <w:r w:rsidRPr="00521228">
        <w:rPr>
          <w:rFonts w:ascii="Times New Roman" w:eastAsia="Aptos" w:hAnsi="Times New Roman" w:cs="Times New Roman"/>
          <w:bCs/>
          <w:color w:val="000000"/>
        </w:rPr>
        <w:t xml:space="preserve"> and </w:t>
      </w:r>
      <w:proofErr w:type="spellStart"/>
      <w:r w:rsidRPr="00521228">
        <w:rPr>
          <w:rFonts w:ascii="Times New Roman" w:eastAsia="Aptos" w:hAnsi="Times New Roman" w:cs="Times New Roman"/>
          <w:bCs/>
          <w:color w:val="000000"/>
        </w:rPr>
        <w:t>LVis</w:t>
      </w:r>
      <w:proofErr w:type="spellEnd"/>
      <w:r w:rsidRPr="00521228">
        <w:rPr>
          <w:rFonts w:ascii="Times New Roman" w:eastAsia="Aptos" w:hAnsi="Times New Roman" w:cs="Times New Roman"/>
          <w:bCs/>
          <w:color w:val="000000"/>
        </w:rPr>
        <w:t xml:space="preserve"> plate (BMG LABTECH, Cary, NC), RNA was sent to GENEWIZ (</w:t>
      </w:r>
      <w:proofErr w:type="spellStart"/>
      <w:r w:rsidRPr="00521228">
        <w:rPr>
          <w:rFonts w:ascii="Times New Roman" w:eastAsia="Aptos" w:hAnsi="Times New Roman" w:cs="Times New Roman"/>
          <w:bCs/>
          <w:color w:val="000000"/>
        </w:rPr>
        <w:t>Azenta</w:t>
      </w:r>
      <w:proofErr w:type="spellEnd"/>
      <w:r w:rsidRPr="00521228">
        <w:rPr>
          <w:rFonts w:ascii="Times New Roman" w:eastAsia="Aptos" w:hAnsi="Times New Roman" w:cs="Times New Roman"/>
          <w:bCs/>
          <w:color w:val="000000"/>
        </w:rPr>
        <w:t xml:space="preserve"> Life Sciences, South Plainfield, NJ) where quality was further assessed with RNA </w:t>
      </w:r>
      <w:proofErr w:type="spellStart"/>
      <w:r w:rsidRPr="00521228">
        <w:rPr>
          <w:rFonts w:ascii="Times New Roman" w:eastAsia="Aptos" w:hAnsi="Times New Roman" w:cs="Times New Roman"/>
          <w:bCs/>
          <w:color w:val="000000"/>
        </w:rPr>
        <w:t>ScreenTape</w:t>
      </w:r>
      <w:proofErr w:type="spellEnd"/>
      <w:r w:rsidRPr="00521228">
        <w:rPr>
          <w:rFonts w:ascii="Times New Roman" w:eastAsia="Aptos" w:hAnsi="Times New Roman" w:cs="Times New Roman"/>
          <w:bCs/>
          <w:color w:val="000000"/>
        </w:rPr>
        <w:t xml:space="preserve"> Analysis and a </w:t>
      </w:r>
      <w:proofErr w:type="spellStart"/>
      <w:r w:rsidRPr="00521228">
        <w:rPr>
          <w:rFonts w:ascii="Times New Roman" w:eastAsia="Aptos" w:hAnsi="Times New Roman" w:cs="Times New Roman"/>
          <w:bCs/>
          <w:color w:val="000000"/>
        </w:rPr>
        <w:t>TapeStation</w:t>
      </w:r>
      <w:proofErr w:type="spellEnd"/>
      <w:r w:rsidRPr="00521228">
        <w:rPr>
          <w:rFonts w:ascii="Times New Roman" w:eastAsia="Aptos" w:hAnsi="Times New Roman" w:cs="Times New Roman"/>
          <w:bCs/>
          <w:color w:val="000000"/>
        </w:rPr>
        <w:t xml:space="preserve"> (Agilent, Santa Clara, CA). 16HBE cell samples were sequenced with an Illumina (San Diego, CA) Hi-Seq (2x150bp), and HBEC samples were sequenced on an Illumina </w:t>
      </w:r>
      <w:proofErr w:type="spellStart"/>
      <w:r w:rsidRPr="00521228">
        <w:rPr>
          <w:rFonts w:ascii="Times New Roman" w:eastAsia="Aptos" w:hAnsi="Times New Roman" w:cs="Times New Roman"/>
          <w:bCs/>
          <w:color w:val="000000"/>
        </w:rPr>
        <w:t>Novaseq</w:t>
      </w:r>
      <w:proofErr w:type="spellEnd"/>
      <w:r w:rsidRPr="00521228">
        <w:rPr>
          <w:rFonts w:ascii="Times New Roman" w:eastAsia="Aptos" w:hAnsi="Times New Roman" w:cs="Times New Roman"/>
          <w:bCs/>
          <w:color w:val="000000"/>
        </w:rPr>
        <w:t xml:space="preserve"> X Plus (2x150bp). Sequence reads were trimmed and </w:t>
      </w:r>
      <w:r w:rsidRPr="00521228">
        <w:rPr>
          <w:rFonts w:ascii="Times New Roman" w:eastAsia="Aptos" w:hAnsi="Times New Roman" w:cs="Times New Roman"/>
          <w:color w:val="000000"/>
        </w:rPr>
        <w:t xml:space="preserve">potential adapter sequences and nucleotides with poor quality were removed with </w:t>
      </w:r>
      <w:proofErr w:type="spellStart"/>
      <w:r w:rsidRPr="00521228">
        <w:rPr>
          <w:rFonts w:ascii="Times New Roman" w:eastAsia="Aptos" w:hAnsi="Times New Roman" w:cs="Times New Roman"/>
          <w:color w:val="000000"/>
        </w:rPr>
        <w:t>Trimmomatic</w:t>
      </w:r>
      <w:proofErr w:type="spellEnd"/>
      <w:r w:rsidRPr="00521228">
        <w:rPr>
          <w:rFonts w:ascii="Times New Roman" w:eastAsia="Aptos" w:hAnsi="Times New Roman" w:cs="Times New Roman"/>
          <w:color w:val="000000"/>
        </w:rPr>
        <w:t xml:space="preserve"> (v0.36). Reads were mapped to the Homo sapiens GRCh38 with ERCC genes reference genome (ENSEMBL)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{"citationID":"uXyfDDqV","properties":{"formattedCitation":"(35)","plainCitation":"(35)","noteIndex":0},"citationItems":[{"id":526,"uris":["http://zotero.org/users/14678818/items/9Q973YUI"],"itemData":{"id":526,"type":"article-journal","abstract":"Ensembl (https://www.ensembl.org) has produced high-quality genomic resources for vertebrates and model organisms for more than twenty years. During that time, our resources, services and tools have continually evolved in line with both the publicly available genome data and the downstream research and applications that utilise the Ensembl platform. In recent years we have witnessed a dramatic shift in the genomic landscape. There has been a large increase in the number of high-quality reference genomes through global biodiversity initiatives. In parallel, there have been major advances towards pangenome representations of higher species, where many alternative genome assemblies representing different breeds, cultivars, strains and haplotypes are now available. In order to support these efforts and accelerate downstream research, it is our goal at Ensembl to create high-quality annotations, tools and services for species across the tree of life. Here, we report our resources for popular reference genomes, the dramatic growth of our annotations (including haplotypes from the first human pangenome graphs), updates to the Ensembl Variant Effect Predictor (VEP), interactive protein structure predictions from AlphaFold DB, and the beta release of our new website.","container-title":"Nucleic Acids Research","DOI":"10.1093/nar/gkac958","ISSN":"0305-1048","issue":"D1","journalAbbreviation":"Nucleic Acids Research","page":"D933-D941","source":"Silverchair","title":"Ensembl 2023","volume":"51","author":[{"family":"Martin","given":"Fergal J"},{"family":"Amode","given":"M Ridwan"},{"family":"Aneja","given":"Alisha"},{"family":"Austine-Orimoloye","given":"Olanrewaju"},{"family":"Azov","given":"Andrey G"},{"family":"Barnes","given":"If"},{"family":"Becker","given":"Arne"},{"family":"Bennett","given":"Ruth"},{"family":"Berry","given":"Andrew"},{"family":"Bhai","given":"Jyothish"},{"family":"Bhurji","given":"Simarpreet Kaur"},{"family":"Bignell","given":"Alexandra"},{"family":"Boddu","given":"Sanjay"},{"family":"Branco Lins","given":"Paulo R"},{"family":"Brooks","given":"Lucy"},{"family":"Ramaraju","given":"Shashank Budhanuru"},{"family":"Charkhchi","given":"Mehrnaz"},{"family":"Cockburn","given":"Alexander"},{"family":"Da Rin Fiorretto","given":"Luca"},{"family":"Davidson","given":"Claire"},{"family":"Dodiya","given":"Kamalkumar"},{"family":"Donaldson","given":"Sarah"},{"family":"El Houdaigui","given":"Bilal"},{"family":"El Naboulsi","given":"Tamara"},{"family":"Fatima","given":"Reham"},{"family":"Giron","given":"Carlos Garcia"},{"family":"Genez","given":"Thiago"},{"family":"Ghattaoraya","given":"Gurpreet S"},{"family":"Martinez","given":"Jose Gonzalez"},{"family":"Guijarro","given":"Cristi"},{"family":"Hardy","given":"Matthew"},{"family":"Hollis","given":"Zoe"},{"family":"Hourlier","given":"Thibaut"},{"family":"Hunt","given":"Toby"},{"family":"Kay","given":"Mike"},{"family":"Kaykala","given":"Vinay"},{"family":"Le","given":"Tuan"},{"family":"Lemos","given":"Diana"},{"family":"Marques-Coelho","given":"Diego"},{"family":"Marugán","given":"José Carlos"},{"family":"Merino","given":"Gabriela Alejandra"},{"family":"Mirabueno","given":"Louisse Paola"},{"family":"Mushtaq","given":"Aleena"},{"family":"Hossain","given":"Syed Nakib"},{"family":"Ogeh","given":"Denye N"},{"family":"Sakthivel","given":"Manoj Pandian"},{"family":"Parker","given":"Anne"},{"family":"Perry","given":"Malcolm"},{"family":"Piližota","given":"Ivana"},{"family":"Prosovetskaia","given":"Irina"},{"family":"Pérez-Silva","given":"José G"},{"family":"Salam","given":"Ahamed Imran Abdul"},{"family":"Saraiva-Agostinho","given":"Nuno"},{"family":"Schuilenburg","given":"Helen"},{"family":"Sheppard","given":"Dan"},{"family":"Sinha","given":"Swati"},{"family":"Sipos","given":"Botond"},{"family":"Stark","given":"William"},{"family":"Steed","given":"Emily"},{"family":"Sukumaran","given":"Ranjit"},{"family":"Sumathipala","given":"Dulika"},{"family":"Suner","given":"Marie-Marthe"},{"family":"Surapaneni","given":"Likhitha"},{"family":"Sutinen","given":"Kyösti"},{"family":"Szpak","given":"Michal"},{"family":"Tricomi","given":"Francesca Floriana"},{"family":"Urbina-Gómez","given":"David"},{"family":"Veidenberg","given":"Andres"},{"family":"Walsh","given":"Thomas A"},{"family":"Walts","given":"Brandon"},{"family":"Wass","given":"Elizabeth"},{"family":"Willhoft","given":"Natalie"},{"family":"Allen","given":"Jamie"},{"family":"Alvarez-Jarreta","given":"Jorge"},{"family":"Chakiachvili","given":"Marc"},{"family":"Flint","given":"Bethany"},{"family":"Giorgetti","given":"Stefano"},{"family":"Haggerty","given":"Leanne"},{"family":"Ilsley","given":"Garth R"},{"family":"Loveland","given":"Jane E"},{"family":"Moore","given":"Benjamin"},{"family":"Mudge","given":"Jonathan M"},{"family":"Tate","given":"John"},{"family":"Thybert","given":"David"},{"family":"Trevanion","given":"Stephen J"},{"family":"Winterbottom","given":"Andrea"},{"family":"Frankish","given":"Adam"},{"family":"Hunt","given":"Sarah E"},{"family":"Ruffier","given":"Magali"},{"family":"Cunningham","given":"Fiona"},{"family":"Dyer","given":"Sarah"},{"family":"Finn","given":"Robert D"},{"family":"Howe","given":"Kevin L"},{"family":"Harrison","given":"Peter W"},{"family":"Yates","given":"Andrew D"},{"family":"Flicek","given":"Paul"}],"issued":{"date-parts":[["2023",1,6]]}}}],"schema":"https://github.com/citation-style-language/schema/raw/master/csl-citation.json"}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(35)</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with the STAR aligner (v2.5.2b)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{"citationID":"SuuqLuJs","properties":{"formattedCitation":"(36)","plainCitation":"(36)","noteIndex":0},"citationItems":[{"id":525,"uris":["http://zotero.org/users/14678818/items/NCGW98TE"],"itemData":{"id":525,"type":"article-journal","abstract":"Motivation: Accurate alignment of high-throughput RNA-seq data is a challenging and yet unsolved problem because of the non-contiguous transcript structure, relatively short read lengths and constantly increasing throughput of the sequencing technologies. Currently available RNA-seq aligners suffer from high mapping error rates, low mapping speed, read length limitation and mapping biases., Results: To align our large (&gt;80 billon reads) ENCODE Transcriptome RNA-seq dataset, we developed the Spliced Transcripts Alignment to a Reference (STAR) software based on a previously undescribed RNA-seq alignment algorithm that uses sequential maximum mappable seed search in uncompressed suffix arrays followed by seed clustering and stitching procedure. STAR outperforms other aligners by a factor of &gt;50 in mapping speed, aligning to the human genome 550 million 2 × 76 bp paired-end reads per hour on a modest 12-core server, while at the same time improving alignment sensitivity and precision. In addition to unbiased de novo detection of canonical junctions, STAR can discover non-canonical splices and chimeric (fusion) transcripts, and is also capable of mapping full-length RNA sequences. Using Roche 454 sequencing of reverse transcription polymerase chain reaction amplicons, we experimentally validated 1960 novel intergenic splice junctions with an 80–90% success rate, corroborating the high precision of the STAR mapping strategy., Availability and implementation: STAR is implemented as a standalone C++ code. STAR is free open source software distributed under GPLv3 license and can be downloaded from http://code.google.com/p/rna-star/., Contact:\ndobin@cshl.edu.","container-title":"Bioinformatics","DOI":"10.1093/bioinformatics/bts635","ISSN":"1367-4803","issue":"1","journalAbbreviation":"Bioinformatics","note":"PMID: 23104886\nPMCID: PMC3530905","page":"15-21","source":"PubMed Central","title":"STAR: ultrafast universal RNA-seq aligner","title-short":"STAR","volume":"29","author":[{"family":"Dobin","given":"Alexander"},{"family":"Davis","given":"Carrie A."},{"family":"Schlesinger","given":"Felix"},{"family":"Drenkow","given":"Jorg"},{"family":"Zaleski","given":"Chris"},{"family":"Jha","given":"Sonali"},{"family":"Batut","given":"Philippe"},{"family":"Chaisson","given":"Mark"},{"family":"Gingeras","given":"Thomas R."}],"issued":{"date-parts":[["2013",1]]}}}],"schema":"https://github.com/citation-style-language/schema/raw/master/csl-citation.json"}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(36)</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(16HBEs had 1,763,001,319 total reads and 35.56 mean quality score, HBECs had 1,266,194,279 total reads and 38.54 quality score). The Subread package (v1.5.2)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{"citationID":"cMOjDy9U","properties":{"formattedCitation":"(37)","plainCitation":"(37)","noteIndex":0},"citationItems":[{"id":524,"uris":["http://zotero.org/users/14678818/items/EUL9K6PS"],"itemData":{"id":524,"type":"article-journal","abstract":"We present Rsubread, a Bioconductor software package that provides high-performance alignment and read counting functions for RNA-seq reads. Rsubread is based on the successful Subread suite with the added ease-of-use of the R programming environment, creating a matrix of read counts directly as an R object ready for downstream analysis. It integrates read mapping and quantification in a single package and has no software dependencies other than R itself. We demonstrate Rsubread's ability to detect exon-exon junctions de novo and to quantify expression at the level of either genes, exons or exon junctions. The resulting read counts can be input directly into a wide range of downstream statistical analyses using other Bioconductor packages. Using SEQC data and simulations, we compare Rsubread to TopHat2, STAR and HTSeq as well as to counting functions in the Bioconductor infrastructure packages. We consider the performance of these tools on the combined quantification task starting from raw sequence reads through to summary counts, and in particular evaluate the performance of different combinations of alignment and counting algorithms. We show that Rsubread is faster and uses less memory than competitor tools and produces read count summaries that more accurately correlate with true values.","container-title":"Nucleic Acids Research","DOI":"10.1093/nar/gkz114","ISSN":"1362-4962","issue":"8","journalAbbreviation":"Nucleic Acids Res","language":"eng","note":"PMID: 30783653\nPMCID: PMC6486549","page":"e47","source":"PubMed","title":"The R package Rsubread is easier, faster, cheaper and better for alignment and quantification of RNA sequencing reads","volume":"47","author":[{"family":"Liao","given":"Yang"},{"family":"Smyth","given":"Gordon K."},{"family":"Shi","given":"Wei"}],"issued":{"date-parts":[["2019",5,7]]}}}],"schema":"https://github.com/citation-style-language/schema/raw/master/csl-citation.json"}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(37)</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w:t>
      </w:r>
      <w:r w:rsidRPr="00521228">
        <w:rPr>
          <w:rFonts w:ascii="Times New Roman" w:eastAsia="Aptos" w:hAnsi="Times New Roman" w:cs="Times New Roman"/>
          <w:color w:val="000000"/>
          <w:kern w:val="0"/>
        </w:rPr>
        <w:t xml:space="preserve">was then used to calculate unique gene hit counts (only unique reads falling within exon regions were counted). </w:t>
      </w:r>
    </w:p>
    <w:p w14:paraId="7945F377" w14:textId="77777777" w:rsidR="00521228" w:rsidRPr="00521228" w:rsidRDefault="00521228" w:rsidP="006F53FF">
      <w:pPr>
        <w:suppressLineNumbers/>
        <w:ind w:firstLine="720"/>
        <w:rPr>
          <w:rFonts w:ascii="Times New Roman" w:eastAsia="Aptos" w:hAnsi="Times New Roman" w:cs="Times New Roman"/>
        </w:rPr>
      </w:pPr>
      <w:r w:rsidRPr="00521228">
        <w:rPr>
          <w:rFonts w:ascii="Times New Roman" w:eastAsia="Aptos" w:hAnsi="Times New Roman" w:cs="Times New Roman"/>
          <w:i/>
          <w:iCs/>
          <w:color w:val="000000"/>
        </w:rPr>
        <w:t xml:space="preserve">Differential Expression Analysis. </w:t>
      </w:r>
      <w:r w:rsidRPr="00521228">
        <w:rPr>
          <w:rFonts w:ascii="Times New Roman" w:eastAsia="Aptos" w:hAnsi="Times New Roman" w:cs="Times New Roman"/>
          <w:color w:val="000000"/>
        </w:rPr>
        <w:t xml:space="preserve">For the RNA-sequencing dataset of 16HBE cells exposed to ∆8-THC and ∆8-THCQ, the DESeq2 package (v1.46.0) was used for differential expression analysis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{"citationID":"vzwcHYZo","properties":{"formattedCitation":"(38)","plainCitation":"(38)","noteIndex":0},"citationItems":[{"id":5,"uris":["http://zotero.org/users/14678818/items/8QLG94J5"],"itemData":{"id":5,"type":"article-journal","abstract":"In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webcite.","container-title":"Genome Biology","DOI":"10.1186/s13059-014-0550-8","ISSN":"1474-760X","issue":"12","journalAbbreviation":"Genome Biol","language":"eng","note":"PMID: 25516281\nPMCID: PMC4302049","page":"550","source":"PubMed","title":"Moderated estimation of fold change and dispersion for RNA-seq data with DESeq2","volume":"15","author":[{"family":"Love","given":"Michael I."},{"family":"Huber","given":"Wolfgang"},{"family":"Anders","given":"Simon"}],"issued":{"date-parts":[["2014"]]}}}],"schema":"https://github.com/citation-style-language/schema/raw/master/csl-citation.json"}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(38)</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This allowed for direct comparison with a previous dataset of 16HBEs exposed to CBD and CBDQ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{"citationID":"odePPyNL","properties":{"formattedCitation":"(27)","plainCitation":"(27)","noteIndex":0},"citationItems":[{"id":184,"uris":["http://zotero.org/users/14678818/items/E6SE8YWV"],"itemData":{"id":184,"type":"article-journal","container-title":"Accepted for publication in: American Journal of Respiratory Cell and Molecular Biology","title":"Vaping-induced Oxidation of CBD Causes Adduction of TOP2A and Interferes with Cellular Proliferation","author":[{"family":"Love","given":"Charlotte A."},{"family":"Kim","given":"Hy-Young H."},{"family":"Tallman","given":"Keri A."},{"family":"Clapp","given":"Phillip W."},{"family":"Schichlein","given":"Kevin D."},{"family":"Porter","given":"Ned A."},{"family":"Jaspers","given":"Ilona"}],"issued":{"date-parts":[["2025"]]}}}],"schema":"https://github.com/citation-style-language/schema/raw/master/csl-citation.json"}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(27)</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Genes were filtered to keep only those with counts of at least 10 in three or more samples. Data were then visualized by principal component analysis (PCA) with DESeq2 (v1.42.1). Within each time point (12 or 24 hours), all groups were processed together, and the contrast function was applied to derive relevant comparisons. </w:t>
      </w:r>
      <w:r w:rsidRPr="00521228">
        <w:rPr>
          <w:rFonts w:ascii="Times New Roman" w:eastAsia="Aptos" w:hAnsi="Times New Roman" w:cs="Times New Roman"/>
        </w:rPr>
        <w:t xml:space="preserve">Adjusted p-values were calculated using the Wald test, following the standard approach in the DESeq2 package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{"citationID":"X09bmC9J","properties":{"formattedCitation":"(38)","plainCitation":"(38)","noteIndex":0},"citationItems":[{"id":5,"uris":["http://zotero.org/users/14678818/items/8QLG94J5"],"itemData":{"id":5,"type":"article-journal","abstract":"In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webcite.","container-title":"Genome Biology","DOI":"10.1186/s13059-014-0550-8","ISSN":"1474-760X","issue":"12","journalAbbreviation":"Genome Biol","language":"eng","note":"PMID: 25516281\nPMCID: PMC4302049","page":"550","source":"PubMed","title":"Moderated estimation of fold change and dispersion for RNA-seq data with DESeq2","volume":"15","author":[{"family":"Love","given":"Michael I."},{"family":"Huber","given":"Wolfgang"},{"family":"Anders","given":"Simon"}],"issued":{"date-parts":[["2014"]]}}}],"schema":"https://github.com/citation-style-language/schema/raw/master/csl-citation.json"}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color w:val="000000"/>
          <w:kern w:val="0"/>
        </w:rPr>
        <w:t>(38)</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Differential expression analysis of RNA-sequencing data from HBECs exposed to vaped ∆8-THC was conducted using </w:t>
      </w:r>
      <w:proofErr w:type="spellStart"/>
      <w:r w:rsidRPr="00521228">
        <w:rPr>
          <w:rFonts w:ascii="Times New Roman" w:eastAsia="Aptos" w:hAnsi="Times New Roman" w:cs="Times New Roman"/>
          <w:color w:val="000000"/>
        </w:rPr>
        <w:t>limma-voom</w:t>
      </w:r>
      <w:proofErr w:type="spellEnd"/>
      <w:r w:rsidRPr="00521228">
        <w:rPr>
          <w:rFonts w:ascii="Times New Roman" w:eastAsia="Aptos" w:hAnsi="Times New Roman" w:cs="Times New Roman"/>
          <w:color w:val="000000"/>
        </w:rPr>
        <w:t xml:space="preserve"> (v3.62.2)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{"citationID":"lG0DJzWV","properties":{"formattedCitation":"(39)","plainCitation":"(39)","noteIndex":0},"citationItems":[{"id":489,"uris":["http://zotero.org/users/14678818/items/NZ7CFCF2"],"itemData":{"id":489,"type":"article-journal","abstract":"New normal linear modeling strategies are presented for analyzing read counts from RNA-seq experiments. The voom method estimates the mean-variance relationship of the log-counts, generates a precision weight for each observation and enters these into the limma empirical Bayes analysis pipeline. This opens access for RNA-seq analysts to a large body of methodology developed for microarrays. Simulation studies show that voom performs as well or better than count-based RNA-seq methods even when the data are generated according to the assumptions of the earlier methods. Two case studies illustrate the use of linear modeling and gene set testing methods.","container-title":"Genome Biology","DOI":"10.1186/gb-2014-15-2-r29","ISSN":"1474-760X","issue":"2","journalAbbreviation":"Genome Biology","page":"R29","source":"BioMed Central","title":"voom: precision weights unlock linear model analysis tools for RNA-seq read counts","title-short":"voom","volume":"15","author":[{"family":"Law","given":"Charity W."},{"family":"Chen","given":"Yunshun"},{"family":"Shi","given":"Wei"},{"family":"Smyth","given":"Gordon K."}],"issued":{"date-parts":[["2014",2,3]]}}}],"schema":"https://github.com/citation-style-language/schema/raw/master/csl-citation.json"}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(39)</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to allow for adjustment for inter-individual donor effects in HBECs and dose-response analysis.</w:t>
      </w:r>
      <w:r w:rsidRPr="00521228">
        <w:rPr>
          <w:rFonts w:ascii="Times New Roman" w:eastAsia="Aptos" w:hAnsi="Times New Roman" w:cs="Times New Roman"/>
        </w:rPr>
        <w:t xml:space="preserve"> Genes with a maximum CPM &lt; 4 across all samples were removed. For all analyses in </w:t>
      </w:r>
      <w:proofErr w:type="spellStart"/>
      <w:r w:rsidRPr="00521228">
        <w:rPr>
          <w:rFonts w:ascii="Times New Roman" w:eastAsia="Aptos" w:hAnsi="Times New Roman" w:cs="Times New Roman"/>
        </w:rPr>
        <w:t>limma-voom</w:t>
      </w:r>
      <w:proofErr w:type="spellEnd"/>
      <w:r w:rsidRPr="00521228">
        <w:rPr>
          <w:rFonts w:ascii="Times New Roman" w:eastAsia="Aptos" w:hAnsi="Times New Roman" w:cs="Times New Roman"/>
        </w:rPr>
        <w:t xml:space="preserve">, the </w:t>
      </w:r>
      <w:proofErr w:type="spellStart"/>
      <w:r w:rsidRPr="00521228">
        <w:rPr>
          <w:rFonts w:ascii="Times New Roman" w:eastAsia="Aptos" w:hAnsi="Times New Roman" w:cs="Times New Roman"/>
          <w:color w:val="000000"/>
        </w:rPr>
        <w:t>duplicateCorrelation</w:t>
      </w:r>
      <w:proofErr w:type="spellEnd"/>
      <w:r w:rsidRPr="00521228">
        <w:rPr>
          <w:rFonts w:ascii="Times New Roman" w:eastAsia="Aptos" w:hAnsi="Times New Roman" w:cs="Times New Roman"/>
          <w:color w:val="000000"/>
        </w:rPr>
        <w:t xml:space="preserve"> function was used to account for technical replicates by estimating within-sample correlation, ensuring the linear model adjusts for non-independence and captures true biological variation. A model matrix was constructed to assess ∆8-THC product effects while adjusting for donor variability as a fixed effect. Following model construction, the </w:t>
      </w:r>
      <w:proofErr w:type="spellStart"/>
      <w:r w:rsidRPr="00521228">
        <w:rPr>
          <w:rFonts w:ascii="Times New Roman" w:eastAsia="Aptos" w:hAnsi="Times New Roman" w:cs="Times New Roman"/>
          <w:color w:val="000000"/>
        </w:rPr>
        <w:t>voom</w:t>
      </w:r>
      <w:proofErr w:type="spellEnd"/>
      <w:r w:rsidRPr="00521228">
        <w:rPr>
          <w:rFonts w:ascii="Times New Roman" w:eastAsia="Aptos" w:hAnsi="Times New Roman" w:cs="Times New Roman"/>
          <w:color w:val="000000"/>
        </w:rPr>
        <w:t xml:space="preserve"> transformation was applied to estimate the mean-variance relationship of log-transformed counts, generating precision weights for each observation. A linear model was then fitted to the weighted expression data, followed by empirical Bayes moderation to calculate moderated t-statistics and differential expression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{"citationID":"JlDHxFSf","properties":{"formattedCitation":"(39)","plainCitation":"(39)","noteIndex":0},"citationItems":[{"id":489,"uris":["http://zotero.org/users/14678818/items/NZ7CFCF2"],"itemData":{"id":489,"type":"article-journal","abstract":"New normal linear modeling strategies are presented for analyzing read counts from RNA-seq experiments. The voom method estimates the mean-variance relationship of the log-counts, generates a precision weight for each observation and enters these into the limma empirical Bayes analysis pipeline. This opens access for RNA-seq analysts to a large body of methodology developed for microarrays. Simulation studies show that voom performs as well or better than count-based RNA-seq methods even when the data are generated according to the assumptions of the earlier methods. Two case studies illustrate the use of linear modeling and gene set testing methods.","container-title":"Genome Biology","DOI":"10.1186/gb-2014-15-2-r29","ISSN":"1474-760X","issue":"2","journalAbbreviation":"Genome Biology","page":"R29","source":"BioMed Central","title":"voom: precision weights unlock linear model analysis tools for RNA-seq read counts","title-short":"voom","volume":"15","author":[{"family":"Law","given":"Charity W."},{"family":"Chen","given":"Yunshun"},{"family":"Shi","given":"Wei"},{"family":"Smyth","given":"Gordon K."}],"issued":{"date-parts":[["2014",2,3]]}}}],"schema":"https://github.com/citation-style-language/schema/raw/master/csl-citation.json"}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(39)</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To visualize sample relationships and assess potential donor effects, we performed multidimensional scaling (MDS) on the normalized expression data and used the </w:t>
      </w:r>
      <w:proofErr w:type="spellStart"/>
      <w:r w:rsidRPr="00521228">
        <w:rPr>
          <w:rFonts w:ascii="Times New Roman" w:eastAsia="Aptos" w:hAnsi="Times New Roman" w:cs="Times New Roman"/>
          <w:color w:val="000000"/>
        </w:rPr>
        <w:t>removeBatchEffect</w:t>
      </w:r>
      <w:proofErr w:type="spellEnd"/>
      <w:r w:rsidRPr="00521228">
        <w:rPr>
          <w:rFonts w:ascii="Times New Roman" w:eastAsia="Aptos" w:hAnsi="Times New Roman" w:cs="Times New Roman"/>
          <w:color w:val="000000"/>
        </w:rPr>
        <w:t xml:space="preserve"> function from </w:t>
      </w:r>
      <w:proofErr w:type="spellStart"/>
      <w:r w:rsidRPr="00521228">
        <w:rPr>
          <w:rFonts w:ascii="Times New Roman" w:eastAsia="Aptos" w:hAnsi="Times New Roman" w:cs="Times New Roman"/>
          <w:color w:val="000000"/>
        </w:rPr>
        <w:t>limma</w:t>
      </w:r>
      <w:proofErr w:type="spellEnd"/>
      <w:r w:rsidRPr="00521228">
        <w:rPr>
          <w:rFonts w:ascii="Times New Roman" w:eastAsia="Aptos" w:hAnsi="Times New Roman" w:cs="Times New Roman"/>
          <w:color w:val="000000"/>
        </w:rPr>
        <w:t xml:space="preserve">. Based on these results, donor was included as a fixed effect in the model matrix in all downstream analyses. MDS analysis also revealed distinct sample groupings, with distillates and disposables, juices, and the PG/VG control clustering separately. We therefore also performed analysis on these groupings and constructed a design matrix to model the effects of product type with donor as a fixed effect. Results from DESeq2 </w:t>
      </w:r>
      <w:r w:rsidRPr="00521228">
        <w:rPr>
          <w:rFonts w:ascii="Times New Roman" w:eastAsia="Aptos" w:hAnsi="Times New Roman" w:cs="Times New Roman"/>
          <w:color w:val="000000"/>
        </w:rPr>
        <w:lastRenderedPageBreak/>
        <w:t xml:space="preserve">and </w:t>
      </w:r>
      <w:proofErr w:type="spellStart"/>
      <w:r w:rsidRPr="00521228">
        <w:rPr>
          <w:rFonts w:ascii="Times New Roman" w:eastAsia="Aptos" w:hAnsi="Times New Roman" w:cs="Times New Roman"/>
          <w:color w:val="000000"/>
        </w:rPr>
        <w:t>limma-voom</w:t>
      </w:r>
      <w:proofErr w:type="spellEnd"/>
      <w:r w:rsidRPr="00521228">
        <w:rPr>
          <w:rFonts w:ascii="Times New Roman" w:eastAsia="Aptos" w:hAnsi="Times New Roman" w:cs="Times New Roman"/>
          <w:color w:val="000000"/>
        </w:rPr>
        <w:t xml:space="preserve"> were visualized using ggplot2 (3.5.1)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{"citationID":"8BeHnGaM","properties":{"formattedCitation":"(40)","plainCitation":"(40)","noteIndex":0},"citationItems":[{"id":523,"uris":["http://zotero.org/users/14678818/items/XYVQRRW6"],"itemData":{"id":523,"type":"book","title":"ggplot2: Elegant Graphics for Data Analysis","author":[{"family":"Wickham","given":"Hadley"}],"issued":{"date-parts":[["2016"]]}}}],"schema":"https://github.com/citation-style-language/schema/raw/master/csl-citation.json"}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(40)</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for volcano plots, </w:t>
      </w:r>
      <w:proofErr w:type="spellStart"/>
      <w:r w:rsidRPr="00521228">
        <w:rPr>
          <w:rFonts w:ascii="Times New Roman" w:eastAsia="Aptos" w:hAnsi="Times New Roman" w:cs="Times New Roman"/>
          <w:color w:val="000000"/>
        </w:rPr>
        <w:t>ComplexHeatmap</w:t>
      </w:r>
      <w:proofErr w:type="spellEnd"/>
      <w:r w:rsidRPr="00521228">
        <w:rPr>
          <w:rFonts w:ascii="Times New Roman" w:eastAsia="Aptos" w:hAnsi="Times New Roman" w:cs="Times New Roman"/>
          <w:color w:val="000000"/>
        </w:rPr>
        <w:t xml:space="preserve"> (v2.22.0)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{"citationID":"h2Aalduj","properties":{"formattedCitation":"(41)","plainCitation":"(41)","noteIndex":0},"citationItems":[{"id":522,"uris":["http://zotero.org/users/14678818/items/NT2YVUP9"],"itemData":{"id":522,"type":"article-journal","abstract":"Summary: Parallel heatmaps with carefully designed annotation graphics are powerful for efficient visualization of patterns and relationships among high dimensional genomic data. Here we present the ComplexHeatmap package that provides rich functionalities for customizing heatmaps, arranging multiple parallel heatmaps and including user-defined annotation graphics. We demonstrate the power of ComplexHeatmap to easily reveal patterns and correlations among multiple sources of information with four real-world datasets.Availability and Implementation: The ComplexHeatmap package and documentation are freely available from the Bioconductor project: http://www.bioconductor.org/packages/devel/bioc/html/ComplexHeatmap.html.Contact:  m.schlesner@dkfz.deSupplementary information:  Supplementary data are available at Bioinformatics online.","container-title":"Bioinformatics","DOI":"10.1093/bioinformatics/btw313","ISSN":"1367-4803","issue":"18","journalAbbreviation":"Bioinformatics","page":"2847-2849","source":"Silverchair","title":"Complex heatmaps reveal patterns and correlations in multidimensional genomic data","volume":"32","author":[{"family":"Gu","given":"Zuguang"},{"family":"Eils","given":"Roland"},{"family":"Schlesner","given":"Matthias"}],"issued":{"date-parts":[["2016",9,15]]}}}],"schema":"https://github.com/citation-style-language/schema/raw/master/csl-citation.json"}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(41)</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for heatmaps, and </w:t>
      </w:r>
      <w:proofErr w:type="spellStart"/>
      <w:r w:rsidRPr="00521228">
        <w:rPr>
          <w:rFonts w:ascii="Times New Roman" w:eastAsia="Aptos" w:hAnsi="Times New Roman" w:cs="Times New Roman"/>
          <w:color w:val="000000"/>
        </w:rPr>
        <w:t>eulerr</w:t>
      </w:r>
      <w:proofErr w:type="spellEnd"/>
      <w:r w:rsidRPr="00521228">
        <w:rPr>
          <w:rFonts w:ascii="Times New Roman" w:eastAsia="Aptos" w:hAnsi="Times New Roman" w:cs="Times New Roman"/>
          <w:color w:val="000000"/>
        </w:rPr>
        <w:t xml:space="preserve"> (v7.0.2)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{"citationID":"jvfXyaH3","properties":{"formattedCitation":"(42)","plainCitation":"(42)","noteIndex":0},"citationItems":[{"id":517,"uris":["http://zotero.org/users/14678818/items/YSZ9FAYH"],"itemData":{"id":517,"type":"article-journal","abstract":"Euler diagrams are common and user-friendly visualizations for set relationships. Most Euler diagrams use circles, but circles do not always yield accurate diagrams. A promising alternative is ellipses, which, in theory, enable accurate diagrams for a wider range of input. Elliptical diagrams, however, have not yet been implemented for more than three sets or three-set diagrams where there are disjoint or subset relationships. The aim of this paper is to present eulerr: a software package for elliptical Euler diagrams for, in theory, any number of sets. It ﬁts Euler diagrams using numerical optimization and exact-area algorithms through a two-step procedure, ﬁrst generating an initial layout using pairwise relationships and then ﬁnalizing this layout using all set relationships.","language":"en","source":"Zotero","title":"A Case Study in Fitting Area-Proportional Euler Diagrams with Ellipses using eulerr","author":[{"family":"Larsson","given":"Johan"},{"family":"Gustafsson","given":"Peter"}]}}],"schema":"https://github.com/citation-style-language/schema/raw/master/csl-citation.json"}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(42)</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for Euler plots. Finally, </w:t>
      </w:r>
      <w:proofErr w:type="spellStart"/>
      <w:r w:rsidRPr="00521228">
        <w:rPr>
          <w:rFonts w:ascii="Times New Roman" w:eastAsia="Aptos" w:hAnsi="Times New Roman" w:cs="Times New Roman"/>
          <w:color w:val="000000"/>
        </w:rPr>
        <w:t>limma-voom</w:t>
      </w:r>
      <w:proofErr w:type="spellEnd"/>
      <w:r w:rsidRPr="00521228">
        <w:rPr>
          <w:rFonts w:ascii="Times New Roman" w:eastAsia="Aptos" w:hAnsi="Times New Roman" w:cs="Times New Roman"/>
          <w:color w:val="000000"/>
        </w:rPr>
        <w:t xml:space="preserve"> was used to perform dose-response analysis of RNA-sequencing data using previously measured concentrations of ∆8-THC and ∆8-THCQ in the vaped condensates of each product. </w:t>
      </w:r>
      <w:r w:rsidRPr="00521228">
        <w:rPr>
          <w:rFonts w:ascii="Times New Roman" w:eastAsia="Aptos" w:hAnsi="Times New Roman" w:cs="Times New Roman"/>
        </w:rPr>
        <w:t xml:space="preserve">Dose-responsive genes were identified using empirical Bayes moderation, with ∆8-THC or ∆8-THCQ concentration modeled as a continuous variable and donor as a covariate to control for inter-individual variability. Linear models were fitted to normalized expression values to visualize dose-dependent trends. </w:t>
      </w:r>
      <w:r w:rsidRPr="00521228">
        <w:rPr>
          <w:rFonts w:ascii="Times New Roman" w:eastAsia="Aptos" w:hAnsi="Times New Roman" w:cs="Times New Roman"/>
          <w:color w:val="000000"/>
        </w:rPr>
        <w:t xml:space="preserve">Throughout all analyses, differentially expressed genes were defined as having an adjusted p-value &lt; 0.05 and log2 fold change ≥ +/- 1 (representing an absolute fold change of +/- 2). </w:t>
      </w:r>
    </w:p>
    <w:p w14:paraId="0B9A11CC" w14:textId="77777777" w:rsidR="00521228" w:rsidRDefault="00521228" w:rsidP="006F53FF">
      <w:pPr>
        <w:suppressLineNumbers/>
        <w:ind w:firstLine="720"/>
        <w:rPr>
          <w:rFonts w:ascii="Times New Roman" w:eastAsia="Aptos" w:hAnsi="Times New Roman" w:cs="Times New Roman"/>
          <w:color w:val="000000"/>
        </w:rPr>
      </w:pPr>
      <w:r w:rsidRPr="00521228">
        <w:rPr>
          <w:rFonts w:ascii="Times New Roman" w:eastAsia="Aptos" w:hAnsi="Times New Roman" w:cs="Times New Roman"/>
          <w:i/>
          <w:iCs/>
          <w:color w:val="000000"/>
        </w:rPr>
        <w:t>Pathway and Gene Set Enrichment Analysis.</w:t>
      </w:r>
      <w:r w:rsidRPr="00521228">
        <w:rPr>
          <w:rFonts w:ascii="Times New Roman" w:eastAsia="Aptos" w:hAnsi="Times New Roman" w:cs="Times New Roman"/>
          <w:color w:val="000000"/>
        </w:rPr>
        <w:t xml:space="preserve"> Ingenuity Pathway Analysis (IPA; QIAGEN, Hilden, Germany; v24.0.2)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{"citationID":"G5PfwTM0","properties":{"formattedCitation":"(43)","plainCitation":"(43)","noteIndex":0},"citationItems":[{"id":4,"uris":["http://zotero.org/users/14678818/items/PQC5SRXD"],"itemData":{"id":4,"type":"article-journal","abstract":"Motivation: Prior biological knowledge greatly facilitates the meaningful interpretation of gene-expression data. Causal networks constructed from individual relationships curated from the literature are particularly suited for this task, since they create mechanistic hypotheses that explain the expression changes observed in datasets.Results: We present and discuss a suite of algorithms and tools for inferring and scoring regulator networks upstream of gene-expression data based on a large-scale causal network derived from the Ingenuity Knowledge Base. We extend the method to predict downstream effects on biological functions and diseases and demonstrate the validity of our approach by applying it to example datasets.Availability: The causal analytics tools ‘Upstream Regulator Analysis', ‘Mechanistic Networks', ‘Causal Network Analysis' and ‘Downstream Effects Analysis' are implemented and available within Ingenuity Pathway Analysis (IPA, http://www.ingenuity.com).Supplementary information:  Supplementary material is available at Bioinformatics online.","container-title":"Bioinformatics","DOI":"10.1093/bioinformatics/btt703","ISSN":"1367-4803","issue":"4","journalAbbreviation":"Bioinformatics","page":"523-530","source":"Silverchair","title":"Causal analysis approaches in Ingenuity Pathway Analysis","volume":"30","author":[{"family":"Krämer","given":"Andreas"},{"family":"Green","given":"Jeff"},{"family":"Pollard","given":"Jack","suffix":"Jr"},{"family":"Tugendreich","given":"Stuart"}],"issued":{"date-parts":[["2014",2,15]]}}}],"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(43)</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and Gene Set Enrichment Analysis (GSEA; Broad Institute, Cambridge, MA; v4.3.3)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{"citationID":"EvNaImtc","properties":{"formattedCitation":"(44)","plainCitation":"(44)","noteIndex":0},"citationItems":[{"id":521,"uris":["http://zotero.org/users/14678818/items/KPYDGY62"],"itemData":{"id":521,"type":"article-journal","abstract":"Although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sets.","container-title":"Proceedings of the National Academy of Sciences","DOI":"10.1073/pnas.0506580102","issue":"43","note":"publisher: Proceedings of the National Academy of Sciences","page":"15545-15550","source":"pnas.org (Atypon)","title":"Gene set enrichment analysis: A knowledge-based approach for interpreting genome-wide expression profiles","title-short":"Gene set enrichment analysis","volume":"102","author":[{"family":"Subramanian","given":"Aravind"},{"family":"Tamayo","given":"Pablo"},{"family":"Mootha","given":"Vamsi K."},{"family":"Mukherjee","given":"Sayan"},{"family":"Ebert","given":"Benjamin L."},{"family":"Gillette","given":"Michael A."},{"family":"Paulovich","given":"Amanda"},{"family":"Pomeroy","given":"Scott L."},{"family":"Golub","given":"Todd R."},{"family":"Lander","given":"Eric S."},{"family":"Mesirov","given":"Jill P."}],"issued":{"date-parts":[["2005",10,25]]}}}],"schema":"https://github.com/citation-style-language/schema/raw/master/csl-citation.json"}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(44)</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were used for pathway and gene set enrichment analysis of RNA-sequencing data, respectively. IPA Tox analysis using expression log ratio was performed on differentially expressed genes (adjusted p-value &lt; 0.05 and log2 fold change ≥ 1). Normalized counts were used as input for GSEA, and the analysis was performed using gene sets from the Molecular Signatures Database (</w:t>
      </w:r>
      <w:proofErr w:type="spellStart"/>
      <w:r w:rsidRPr="00521228">
        <w:rPr>
          <w:rFonts w:ascii="Times New Roman" w:eastAsia="Aptos" w:hAnsi="Times New Roman" w:cs="Times New Roman"/>
          <w:color w:val="000000"/>
        </w:rPr>
        <w:t>MSigDB</w:t>
      </w:r>
      <w:proofErr w:type="spellEnd"/>
      <w:r w:rsidRPr="00521228">
        <w:rPr>
          <w:rFonts w:ascii="Times New Roman" w:eastAsia="Aptos" w:hAnsi="Times New Roman" w:cs="Times New Roman"/>
          <w:color w:val="000000"/>
        </w:rPr>
        <w:t xml:space="preserve">) Hallmarks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{"citationID":"YTYGs2hk","properties":{"formattedCitation":"(45)","plainCitation":"(45)","noteIndex":0},"citationItems":[{"id":519,"uris":["http://zotero.org/users/14678818/items/AKPZVSXT"],"itemData":{"id":519,"type":"article-journal","abstract":"The Molecular Signatures Database (MSigDB) is one of the most widely used and comprehensive databases of gene sets for performing gene set enrichment analysis. Since its creation, MSigDB has grown beyond its roots in metabolic disease and cancer to include &gt;10,000 gene sets. These better represent a wider range of biological processes and diseases, but the utility of the database is reduced by increased redundancy across, and heterogeneity within, gene sets. To address this challenge, here we use a combination of automated approaches and expert curation to develop a collection of “hallmark” gene sets as part of MSigDB. Each hallmark in this collection consists of a “refined” gene set, derived from multiple “founder” sets, that conveys a specific biological state or process and displays coherent expression. The hallmarks effectively summarize most of the relevant information of the original founder sets and, by reducing both variation and redundancy, provide more refined and concise inputs for gene set enrichment analysis.,","container-title":"Cell systems","DOI":"10.1016/j.cels.2015.12.004","ISSN":"2405-4712","issue":"6","journalAbbreviation":"Cell Syst","note":"PMID: 26771021\nPMCID: PMC4707969","page":"417-425","source":"PubMed Central","title":"The Molecular Signatures Database (MSigDB) hallmark gene set collection","volume":"1","author":[{"family":"Liberzon","given":"Arthur"},{"family":"Birger","given":"Chet"},{"family":"Thorvaldsdóttir","given":"Helga"},{"family":"Ghandi","given":"Mahmoud"},{"family":"Mesirov","given":"Jill P."},{"family":"Tamayo","given":"Pablo"}],"issued":{"date-parts":[["2015",12,23]]}}}],"schema":"https://github.com/citation-style-language/schema/raw/master/csl-citation.json"}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(45)</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Gene Ontology (GO)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{"citationID":"IeNKYWne","properties":{"formattedCitation":"(46, 47)","plainCitation":"(46, 47)","noteIndex":0},"citationItems":[{"id":488,"uris":["http://zotero.org/users/14678818/items/BS8YZXAB"],"itemData":{"id":488,"type":"article-journal","abstract":"Genomic sequencing has made it clear that a large fraction of the genes specifying the core biological functions are shared by all eukaryotes. Knowledge of the biological role of such shared proteins in one organism can often be transferred to other organisms. The goal of the Gene Ontology Consortium is to produce a dynamic, controlled vocabulary that can be applied to all eukaryotes even as knowledge of gene and protein roles in cells is accumulating and changing. To this end, three independent ontologies accessible on the World-Wide Web (http://www.geneontology.org) are being constructed: biological process, molecular function and cellular component.","container-title":"Nature Genetics","DOI":"10.1038/75556","ISSN":"1546-1718","issue":"1","journalAbbreviation":"Nat Genet","language":"en","license":"2000 Nature America Inc.","note":"publisher: Nature Publishing Group","page":"25-29","source":"www.nature.com","title":"Gene Ontology: tool for the unification of biology","title-short":"Gene Ontology","volume":"25","author":[{"family":"Ashburner","given":"Michael"},{"family":"Ball","given":"Catherine A."},{"family":"Blake","given":"Judith A."},{"family":"Botstein","given":"David"},{"family":"Butler","given":"Heather"},{"family":"Cherry","given":"J. Michael"},{"family":"Davis","given":"Allan P."},{"family":"Dolinski","given":"Kara"},{"family":"Dwight","given":"Selina S."},{"family":"Eppig","given":"Janan T."},{"family":"Harris","given":"Midori A."},{"family":"Hill","given":"David P."},{"family":"Issel-Tarver","given":"Laurie"},{"family":"Kasarskis","given":"Andrew"},{"family":"Lewis","given":"Suzanna"},{"family":"Matese","given":"John C."},{"family":"Richardson","given":"Joel E."},{"family":"Ringwald","given":"Martin"},{"family":"Rubin","given":"Gerald M."},{"family":"Sherlock","given":"Gavin"}],"issued":{"date-parts":[["2000",5]]}}},{"id":487,"uris":["http://zotero.org/users/14678818/items/TLYWMFQJ"],"itemData":{"id":487,"type":"article-journal","abstract":"The Gene Ontology (GO) knowledgebase (http://geneontology.org) is a comprehensive resource concerning the functions of genes and gene products (proteins and noncoding RNAs). GO annotations cover genes from organisms across the tree of life as well as viruses, though most gene function knowledge currently derives from experiments carried out in a relatively small number of model organisms. Here, we provide an updated overview of the GO knowledgebase, as well as the efforts of the broad, international consortium of scientists that develops, maintains, and updates the GO knowledgebase. The GO knowledgebase consists of three components: (1) the GO—a computational knowledge structure describing the functional characteristics of genes; (2) GO annotations—evidence-supported statements asserting that a specific gene product has a particular functional characteristic; and (3) GO Causal Activity Models (GO-CAMs)—mechanistic models of molecular “pathways” (GO biological processes) created by linking multiple GO annotations using defined relations. Each of these components is continually expanded, revised, and updated in response to newly published discoveries and receives extensive QA checks, reviews, and user feedback. For each of these components, we provide a description of the current contents, recent developments to keep the knowledgebase up to date with new discoveries, and guidance on how users can best make use of the data that we provide. We conclude with future directions for the project.","container-title":"Genetics","DOI":"10.1093/genetics/iyad031","ISSN":"1943-2631","issue":"1","journalAbbreviation":"Genetics","page":"iyad031","source":"Silverchair","title":"The Gene Ontology knowledgebase in 2023","volume":"224","author":[{"literal":"The Gene Ontology Consortium"},{"family":"Aleksander","given":"Suzi A"},{"family":"Balhoff","given":"James"},{"family":"Carbon","given":"Seth"},{"family":"Cherry","given":"J Michael"},{"family":"Drabkin","given":"Harold J"},{"family":"Ebert","given":"Dustin"},{"family":"Feuermann","given":"Marc"},{"family":"Gaudet","given":"Pascale"},{"family":"Harris","given":"Nomi L"},{"family":"Hill","given":"David P"},{"family":"Lee","given":"Raymond"},{"family":"Mi","given":"Huaiyu"},{"family":"Moxon","given":"Sierra"},{"family":"Mungall","given":"Christopher J"},{"family":"Muruganugan","given":"Anushya"},{"family":"Mushayahama","given":"Tremayne"},{"family":"Sternberg","given":"Paul W"},{"family":"Thomas","given":"Paul D"},{"family":"Van Auken","given":"Kimberly"},{"family":"Ramsey","given":"Jolene"},{"family":"Siegele","given":"Deborah A"},{"family":"Chisholm","given":"Rex L"},{"family":"Fey","given":"Petra"},{"family":"Aspromonte","given":"Maria Cristina"},{"family":"Nugnes","given":"Maria Victoria"},{"family":"Quaglia","given":"Federica"},{"family":"Tosatto","given":"Silvio"},{"family":"Giglio","given":"Michelle"},{"family":"Nadendla","given":"Suvarna"},{"family":"Antonazzo","given":"Giulia"},{"family":"Attrill","given":"Helen"},{"family":"Santos","given":"Gil","non-dropping-particle":"dos"},{"family":"Marygold","given":"Steven"},{"family":"Strelets","given":"Victor"},{"family":"Tabone","given":"Christopher J"},{"family":"Thurmond","given":"Jim"},{"family":"Zhou","given":"Pinglei"},{"family":"Ahmed","given":"Saadullah H"},{"family":"Asanitthong","given":"Praoparn"},{"family":"Luna Buitrago","given":"Diana"},{"family":"Erdol","given":"Meltem N"},{"family":"Gage","given":"Matthew C"},{"family":"Ali Kadhum","given":"Mohamed"},{"family":"Li","given":"Kan Yan Chloe"},{"family":"Long","given":"Miao"},{"family":"Michalak","given":"Aleksandra"},{"family":"Pesala","given":"Angeline"},{"family":"Pritazahra","given":"Armalya"},{"family":"Saverimuttu","given":"Shirin C C"},{"family":"Su","given":"Renzhi"},{"family":"Thurlow","given":"Kate E"},{"family":"Lovering","given":"Ruth C"},{"family":"Logie","given":"Colin"},{"family":"Oliferenko","given":"Snezhana"},{"family":"Blake","given":"Judith"},{"family":"Christie","given":"Karen"},{"family":"Corbani","given":"Lori"},{"family":"Dolan","given":"Mary E"},{"family":"Drabkin","given":"Harold J"},{"family":"Hill","given":"David P"},{"family":"Ni","given":"Li"},{"family":"Sitnikov","given":"Dmitry"},{"family":"Smith","given":"Cynthia"},{"family":"Cuzick","given":"Alayne"},{"family":"Seager","given":"James"},{"family":"Cooper","given":"Laurel"},{"family":"Elser","given":"Justin"},{"family":"Jaiswal","given":"Pankaj"},{"family":"Gupta","given":"Parul"},{"family":"Jaiswal","given":"Pankaj"},{"family":"Naithani","given":"Sushma"},{"family":"Lera-Ramirez","given":"Manuel"},{"family":"Rutherford","given":"Kim"},{"family":"Wood","given":"Valerie"},{"family":"De Pons","given":"Jeffrey L"},{"family":"Dwinell","given":"Melinda R"},{"family":"Hayman","given":"G Thomas"},{"family":"Kaldunski","given":"Mary L"},{"family":"Kwitek","given":"Anne E"},{"family":"Laulederkind","given":"Stanley J F"},{"family":"Tutaj","given":"Marek A"},{"family":"Vedi","given":"Mahima"},{"family":"Wang","given":"Shur-Jen"},{"family":"D’Eustachio","given":"Peter"},{"family":"Aimo","given":"Lucila"},{"family":"Axelsen","given":"Kristian"},{"family":"Bridge","given":"Alan"},{"family":"Hyka-Nouspikel","given":"Nevila"},{"family":"Morgat","given":"Anne"},{"family":"Aleksander","given":"Suzi A"},{"family":"Cherry","given":"J Michael"},{"family":"Engel","given":"Stacia R"},{"family":"Karra","given":"Kalpana"},{"family":"Miyasato","given":"Stuart R"},{"family":"Nash","given":"Robert S"},{"family":"Skrzypek","given":"Marek S"},{"family":"Weng","given":"Shuai"},{"family":"Wong","given":"Edith D"},{"family":"Bakker","given":"Erika"},{"family":"Berardini","given":"Tanya Z"},{"family":"Reiser","given":"Leonore"},{"family":"Auchincloss","given":"Andrea"},{"family":"Axelsen","given":"Kristian"},{"family":"Argoud-Puy","given":"Ghislaine"},{"family":"Blatter","given":"Marie-Claude"},{"family":"Boutet","given":"Emmanuel"},{"family":"Breuza","given":"Lionel"},{"family":"Bridge","given":"Alan"},{"family":"Casals-Casas","given":"Cristina"},{"family":"Coudert","given":"Elisabeth"},{"family":"Estreicher","given":"Anne"},{"family":"Livia Famiglietti","given":"Maria"},{"family":"Feuermann","given":"Marc"},{"family":"Gos","given":"Arnaud"},{"family":"Gruaz-Gumowski","given":"Nadine"},{"family":"Hulo","given":"Chantal"},{"family":"Hyka-Nouspikel","given":"Nevila"},{"family":"Jungo","given":"Florence"},{"family":"Le Mercier","given":"Philippe"},{"family":"Lieberherr","given":"Damien"},{"family":"Masson","given":"Patrick"},{"family":"Morgat","given":"Anne"},{"family":"Pedruzzi","given":"Ivo"},{"family":"Pourcel","given":"Lucille"},{"family":"Poux","given":"Sylvain"},{"family":"Rivoire","given":"Catherine"},{"family":"Sundaram","given":"Shyamala"},{"family":"Bateman","given":"Alex"},{"family":"Bowler-Barnett","given":"Emily"},{"family":"Bye-A-Jee","given":"Hema"},{"family":"Denny","given":"Paul"},{"family":"Ignatchenko","given":"Alexandr"},{"family":"Ishtiaq","given":"Rizwan"},{"family":"Lock","given":"Antonia"},{"family":"Lussi","given":"Yvonne"},{"family":"Magrane","given":"Michele"},{"family":"Martin","given":"Maria J"},{"family":"Orchard","given":"Sandra"},{"family":"Raposo","given":"Pedro"},{"family":"Speretta","given":"Elena"},{"family":"Tyagi","given":"Nidhi"},{"family":"Warner","given":"Kate"},{"family":"Zaru","given":"Rossana"},{"family":"Diehl","given":"Alexander D"},{"family":"Lee","given":"Raymond"},{"family":"Chan","given":"Juancarlos"},{"family":"Diamantakis","given":"Stavros"},{"family":"Raciti","given":"Daniela"},{"family":"Zarowiecki","given":"Magdalena"},{"family":"Fisher","given":"Malcolm"},{"family":"James-Zorn","given":"Christina"},{"family":"Ponferrada","given":"Virgilio"},{"family":"Zorn","given":"Aaron"},{"family":"Ramachandran","given":"Sridhar"},{"family":"Ruzicka","given":"Leyla"},{"family":"Westerfield","given":"Monte"}],"issued":{"date-parts":[["2023",5,2]]}}}],"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(46, 47)</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xml:space="preserve">, and </w:t>
      </w:r>
      <w:proofErr w:type="spellStart"/>
      <w:r w:rsidRPr="00521228">
        <w:rPr>
          <w:rFonts w:ascii="Times New Roman" w:eastAsia="Aptos" w:hAnsi="Times New Roman" w:cs="Times New Roman"/>
          <w:color w:val="000000"/>
        </w:rPr>
        <w:t>WikiPathways</w:t>
      </w:r>
      <w:proofErr w:type="spellEnd"/>
      <w:r w:rsidRPr="00521228">
        <w:rPr>
          <w:rFonts w:ascii="Times New Roman" w:eastAsia="Aptos" w:hAnsi="Times New Roman" w:cs="Times New Roman"/>
          <w:color w:val="000000"/>
        </w:rPr>
        <w:t xml:space="preserve"> </w:t>
      </w:r>
      <w:r w:rsidRPr="00521228">
        <w:rPr>
          <w:rFonts w:ascii="Times New Roman" w:eastAsia="Aptos" w:hAnsi="Times New Roman" w:cs="Times New Roman"/>
          <w:color w:val="000000"/>
        </w:rPr>
        <w:fldChar w:fldCharType="begin"/>
      </w:r>
      <w:r w:rsidRPr="00521228">
        <w:rPr>
          <w:rFonts w:ascii="Times New Roman" w:eastAsia="Aptos" w:hAnsi="Times New Roman" w:cs="Times New Roman"/>
          <w:color w:val="000000"/>
        </w:rPr>
        <w:instrText xml:space="preserve"> ADDIN ZOTERO_ITEM CSL_CITATION {"citationID":"moMY3Cpx","properties":{"formattedCitation":"(48)","plainCitation":"(48)","noteIndex":0},"citationItems":[{"id":518,"uris":["http://zotero.org/users/14678818/items/M7ALKW2S"],"itemData":{"id":518,"type":"article-journal","abstract":"WikiPathways (wikipathways.org) is an open-source biological pathway database. Collaboration and open science are pivotal to the success of WikiPathways. Here we highlight the continuing efforts supporting WikiPathways, content growth and collaboration among pathway researchers. As an evolving database, there is a growing need for WikiPathways to address and overcome technical challenges. In this direction, WikiPathways has undergone major restructuring, enabling a renewed approach for sharing and curating pathway knowledge, thus providing stability for the future of community pathway curation. The website has been redesigned to improve and enhance user experience. This next generation of WikiPathways continues to support existing features while improving maintainability of the database and facilitating community input by providing new functionality and leveraging automation.","container-title":"Nucleic Acids Research","DOI":"10.1093/nar/gkad960","ISSN":"0305-1048","issue":"D1","journalAbbreviation":"Nucleic Acids Research","page":"D679-D689","source":"Silverchair","title":"WikiPathways 2024: next generation pathway database","title-short":"WikiPathways 2024","volume":"52","author":[{"family":"Agrawal","given":"Ayushi"},{"family":"Balcı","given":"Hasan"},{"family":"Hanspers","given":"Kristina"},{"family":"Coort","given":"Susan L"},{"family":"Martens","given":"Marvin"},{"family":"Slenter","given":"Denise N"},{"family":"Ehrhart","given":"Friederike"},{"family":"Digles","given":"Daniela"},{"family":"Waagmeester","given":"Andra"},{"family":"Wassink","given":"Isabel"},{"family":"Abbassi-Daloii","given":"Tooba"},{"family":"Lopes","given":"Elisson N"},{"family":"Iyer","given":"Aishwarya"},{"family":"Acosta","given":"Javier Millán"},{"family":"Willighagen","given":"Lars G"},{"family":"Nishida","given":"Kozo"},{"family":"Riutta","given":"Anders"},{"family":"Basaric","given":"Helena"},{"family":"Evelo","given":"Chris T"},{"family":"Willighagen","given":"Egon L"},{"family":"Kutmon","given":"Martina"},{"family":"Pico","given":"Alexander R"}],"issued":{"date-parts":[["2024",1,5]]}}}],"schema":"https://github.com/citation-style-language/schema/raw/master/csl-citation.json"} </w:instrText>
      </w:r>
      <w:r w:rsidRPr="00521228">
        <w:rPr>
          <w:rFonts w:ascii="Times New Roman" w:eastAsia="Aptos" w:hAnsi="Times New Roman" w:cs="Times New Roman"/>
          <w:color w:val="000000"/>
        </w:rPr>
        <w:fldChar w:fldCharType="separate"/>
      </w:r>
      <w:r w:rsidRPr="00521228">
        <w:rPr>
          <w:rFonts w:ascii="Times New Roman" w:eastAsia="Aptos" w:hAnsi="Times New Roman" w:cs="Times New Roman"/>
          <w:noProof/>
          <w:color w:val="000000"/>
        </w:rPr>
        <w:t>(48)</w:t>
      </w:r>
      <w:r w:rsidRPr="00521228">
        <w:rPr>
          <w:rFonts w:ascii="Times New Roman" w:eastAsia="Aptos" w:hAnsi="Times New Roman" w:cs="Times New Roman"/>
          <w:color w:val="000000"/>
        </w:rPr>
        <w:fldChar w:fldCharType="end"/>
      </w:r>
      <w:r w:rsidRPr="00521228">
        <w:rPr>
          <w:rFonts w:ascii="Times New Roman" w:eastAsia="Aptos" w:hAnsi="Times New Roman" w:cs="Times New Roman"/>
          <w:color w:val="000000"/>
        </w:rPr>
        <w:t>. All GSEA analysis parameters were standard except for permutation type (</w:t>
      </w:r>
      <w:proofErr w:type="spellStart"/>
      <w:r w:rsidRPr="00521228">
        <w:rPr>
          <w:rFonts w:ascii="Times New Roman" w:eastAsia="Aptos" w:hAnsi="Times New Roman" w:cs="Times New Roman"/>
          <w:color w:val="000000"/>
        </w:rPr>
        <w:t>gene_set</w:t>
      </w:r>
      <w:proofErr w:type="spellEnd"/>
      <w:r w:rsidRPr="00521228">
        <w:rPr>
          <w:rFonts w:ascii="Times New Roman" w:eastAsia="Aptos" w:hAnsi="Times New Roman" w:cs="Times New Roman"/>
          <w:color w:val="000000"/>
        </w:rPr>
        <w:t xml:space="preserve">), which is recommended for sample sizes &lt; 7. Gene sets with FDR &lt; 5% were considered significantly enriched. </w:t>
      </w:r>
    </w:p>
    <w:p w14:paraId="7E9824CE" w14:textId="77777777" w:rsidR="006F53FF" w:rsidRPr="00521228" w:rsidRDefault="006F53FF" w:rsidP="006F53FF">
      <w:pPr>
        <w:suppressLineNumbers/>
        <w:ind w:firstLine="720"/>
        <w:rPr>
          <w:rFonts w:ascii="Times New Roman" w:eastAsia="Aptos" w:hAnsi="Times New Roman" w:cs="Times New Roman"/>
          <w:color w:val="000000"/>
        </w:rPr>
      </w:pPr>
    </w:p>
    <w:p w14:paraId="30A97270" w14:textId="77777777" w:rsidR="00521228" w:rsidRPr="00521228" w:rsidRDefault="00521228" w:rsidP="006F53FF">
      <w:pPr>
        <w:rPr>
          <w:rFonts w:ascii="Times New Roman" w:eastAsia="Times New Roman" w:hAnsi="Times New Roman" w:cs="Times New Roman"/>
          <w:color w:val="000000"/>
          <w:kern w:val="0"/>
          <w:u w:val="single"/>
          <w14:ligatures w14:val="none"/>
        </w:rPr>
      </w:pPr>
      <w:r w:rsidRPr="00521228">
        <w:rPr>
          <w:rFonts w:ascii="Times New Roman" w:eastAsia="Times New Roman" w:hAnsi="Times New Roman" w:cs="Times New Roman"/>
          <w:color w:val="000000"/>
          <w:kern w:val="0"/>
          <w:u w:val="single"/>
          <w14:ligatures w14:val="none"/>
        </w:rPr>
        <w:t>Weighted chemical correlation network analysis (WCCNA)</w:t>
      </w:r>
    </w:p>
    <w:p w14:paraId="6F97F66C" w14:textId="77777777" w:rsidR="00521228" w:rsidRPr="00521228" w:rsidRDefault="00521228" w:rsidP="006F53FF">
      <w:pPr>
        <w:ind w:firstLine="720"/>
        <w:rPr>
          <w:rFonts w:ascii="Times New Roman" w:eastAsia="Times New Roman" w:hAnsi="Times New Roman" w:cs="Times New Roman"/>
          <w:color w:val="000000"/>
          <w:kern w:val="0"/>
          <w14:ligatures w14:val="none"/>
        </w:rPr>
      </w:pPr>
      <w:r w:rsidRPr="00521228">
        <w:rPr>
          <w:rFonts w:ascii="Times New Roman" w:eastAsia="Times New Roman" w:hAnsi="Times New Roman" w:cs="Times New Roman"/>
          <w:color w:val="000000"/>
          <w:kern w:val="0"/>
          <w14:ligatures w14:val="none"/>
        </w:rPr>
        <w:t xml:space="preserve">To relate patterns of ∆8-THC product chemistry to HBEC transcriptomic responses, we performed weighted chemical co-expression network analysis (WCCNA)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{"citationID":"YXjg8IOZ","properties":{"formattedCitation":"(49, 50)","plainCitation":"(49, 50)","noteIndex":0},"citationItems":[{"id":144,"uris":["http://zotero.org/users/14678818/items/3DJGTS8V"],"itemData":{"id":144,"type":"article-journal","abstract":"Exposure to wildfire smoke continues to be a growing threat to public health, yet the chemical components in wildfire smoke that primarily drive toxicity and associated disease are largely unknown. This study utilized a suite of computational approaches to identify groups of chemicals induced by variable biomass burn conditions that were associated with biological responses in the mouse lung, including pulmonary immune response and injury markers. Smoke condensate samples were collected and characterized, resulting in chemical distribution information for 86 constituents across ten different exposures. Mixtures-relevant statistical methods included (i) a chemical clustering and data-reduction method, weighted chemical co-expression network analysis (WCCNA), (ii) a quantile g-computation approach to address the joint effect of multiple chemicals in different groupings, and (iii) a correlation analysis to compare mixtures modeling results against individual chemical relationships. Seven chemical groups were identified using WCCNA based on co-occurrence showing both positive and negative relationships with biological responses. A group containing methoxyphenols (e.g., coniferyl aldehyde, eugenol, guaiacol, and vanillin) displayed highly significant, negative relationships with several biological responses, including cytokines and lung injury markers. This group was further shown through quantile g-computation methods to associate with reduced biological responses. Specifically, mixtures modeling based on all chemicals excluding those in the methoxyphenol group demonstrated more significant, positive relationships with several biological responses; whereas mixtures modeling based on just those in the methoxyphenol group demonstrated significant negative relationships with several biological responses, suggesting potential protective effects. Mixtures-based analyses also identified other groups consisting of inorganic elements and ionic constituents showing positive relationships with several biological responses, including markers of inflammation. Many of the effects identified through mixtures modeling in this analysis were not captured through individual chemical analyses. Together, this study demonstrates the utility of mixtures-based approaches to identify potential drivers and inhibitors of toxicity relevant to wildfire exposures.","container-title":"Science of The Total Environment","DOI":"10.1016/j.scitotenv.2021.145759","ISSN":"0048-9697","journalAbbreviation":"Science of The Total Environment","page":"145759","source":"ScienceDirect","title":"Mixtures modeling identifies chemical inducers versus repressors of toxicity associated with wildfire smoke","volume":"775","author":[{"family":"Rager","given":"Julia E."},{"family":"Clark","given":"Jeliyah"},{"family":"Eaves","given":"Lauren A."},{"family":"Avula","given":"Vennela"},{"family":"Niehoff","given":"Nicole M."},{"family":"Kim","given":"Yong Ho"},{"family":"Jaspers","given":"Ilona"},{"family":"Gilmour","given":"M. Ian"}],"issued":{"date-parts":[["2021",6,25]]}}},{"id":145,"uris":["http://zotero.org/users/14678818/items/A2DJXY37"],"itemData":{"id":145,"type":"article-journal","abstract":"A weighted chemical coexpression network analysis (WCCNA) was utilized to identify chemicals co-modulated to variable burning of anthropogenic materials and to link chemicals to biological responses (lung toxicity and mutagenicity). Polyaromatic hydrocarbons (PAHs) were co-modulated with increased concentrations in flaming smoke particulate matter (PM) from the burning of plastic-containing materials and showed significant association with increased neutrophil influx, cytokine levels, and mutagenicity. Inorganic elements were co-modulated with increased concentrations in flaming plywood and cardboard smoke PM and showed significant association with increased protein and albumin levels. This study shows the potential for using a computational network analysis to identify and prioritize hazardous chemical components within complex environmental mixtures and provides guidance on key chemical tracers required for intervention research to protect public health from the exposure.","container-title":"Chemical Research in Toxicology","DOI":"10.1021/acs.chemrestox.2c00270","ISSN":"0893-228X","issue":"12","journalAbbreviation":"Chem. Res. Toxicol.","note":"publisher: American Chemical Society","page":"2210-2213","source":"ACS Publications","title":"Computational Approach to Link Chemicals in Anthropogenic Smoke Particulate Matter with Toxicity","volume":"35","author":[{"family":"Kim","given":"Yong Ho"},{"family":"Rager","given":"Julia E."},{"family":"Jaspers","given":"Ilona"},{"family":"Gilmour","given":"M. Ian"}],"issued":{"date-parts":[["2022",12,19]]}}}],"schema":"https://github.com/citation-style-language/schema/raw/master/csl-citation.json"}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(49, 50)</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xml:space="preserve"> adapted from the weighted gene co-expression network analysis (WGCNA) framework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{"citationID":"PkwMQmSA","properties":{"formattedCitation":"(51)","plainCitation":"(51)","noteIndex":0},"citationItems":[{"id":2990,"uris":["http://zotero.org/users/14678818/items/YAW5CZJV"],"itemData":{"id":2990,"type":"article-journal","abstract":"Correlation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tutorial.","container-title":"BMC Bioinformatics","DOI":"10.1186/1471-2105-9-559","ISSN":"1471-2105","issue":"1","journalAbbreviation":"BMC Bioinformatics","page":"559","source":"BioMed Central","title":"WGCNA: an R package for weighted correlation network analysis","title-short":"WGCNA","volume":"9","author":[{"family":"Langfelder","given":"Peter"},{"family":"Horvath","given":"Steve"}],"issued":{"date-parts":[["2008",12,29]]}}}],"schema":"https://github.com/citation-style-language/schema/raw/master/csl-citation.json"}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(51)</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xml:space="preserve">. The chemistry and RNA-sequencing datasets were matched, as the same commercial ∆8-THC products were used for chemical analysis and HBEC aerosol exposures. GC–MS and LC–MS peak areas were first imported, chemicals with zero signal across all samples were removed, and remaining compounds were z-score normalized across samples. Product level chemistry profiles were then expanded to donor × product combinations so that each of the 24 samples (products A–G) had a matched vector of chemical abundances. For HBEC RNA-seq data, raw counts were collapsed across technical replicates and filtered by median expression (≥25 counts). Using DESeq2 (v1.48.2), we next compared each ∆8-THC product (A–G) to the PG/VG control (H) and retained genes with adjusted p-value &lt; 0.05 and absolute fold-change ≥ 1.5 in at least three product-versus-control comparisons, yielding 2,073 genes. Variance-stabilizing transformation (VST) was applied to this filtered gene set to generate normalized expression values for correlation analyses. </w:t>
      </w:r>
    </w:p>
    <w:p w14:paraId="33D56EDE" w14:textId="77777777" w:rsidR="00521228" w:rsidRDefault="00521228" w:rsidP="006F53FF">
      <w:pPr>
        <w:ind w:firstLine="720"/>
        <w:rPr>
          <w:rFonts w:ascii="Times New Roman" w:eastAsia="Times New Roman" w:hAnsi="Times New Roman" w:cs="Times New Roman"/>
          <w:color w:val="000000"/>
          <w:kern w:val="0"/>
          <w14:ligatures w14:val="none"/>
        </w:rPr>
      </w:pPr>
      <w:r w:rsidRPr="00521228">
        <w:rPr>
          <w:rFonts w:ascii="Times New Roman" w:eastAsia="Times New Roman" w:hAnsi="Times New Roman" w:cs="Times New Roman"/>
          <w:color w:val="000000"/>
          <w:kern w:val="0"/>
          <w14:ligatures w14:val="none"/>
        </w:rPr>
        <w:t xml:space="preserve">Chemical networks were constructed using </w:t>
      </w:r>
      <w:bookmarkStart w:id="0" w:name="_Hlk218851811"/>
      <w:r w:rsidRPr="00521228">
        <w:rPr>
          <w:rFonts w:ascii="Times New Roman" w:eastAsia="Times New Roman" w:hAnsi="Times New Roman" w:cs="Times New Roman"/>
          <w:color w:val="000000"/>
          <w:kern w:val="0"/>
          <w14:ligatures w14:val="none"/>
        </w:rPr>
        <w:t>WGCNA</w:t>
      </w:r>
      <w:bookmarkEnd w:id="0"/>
      <w:r w:rsidRPr="00521228">
        <w:rPr>
          <w:rFonts w:ascii="Times New Roman" w:eastAsia="Times New Roman" w:hAnsi="Times New Roman" w:cs="Times New Roman"/>
          <w:color w:val="000000"/>
          <w:kern w:val="0"/>
          <w14:ligatures w14:val="none"/>
        </w:rPr>
        <w:t xml:space="preserve"> in R (v1.73). A soft-thresholding power (β = 9) was chosen based on scale-free topology and mean connectivity diagnostics </w:t>
      </w:r>
      <w:r w:rsidRPr="00521228">
        <w:rPr>
          <w:rFonts w:ascii="Times New Roman" w:eastAsia="Times New Roman" w:hAnsi="Times New Roman" w:cs="Times New Roman"/>
          <w:color w:val="000000"/>
          <w:kern w:val="0"/>
          <w14:ligatures w14:val="none"/>
        </w:rPr>
        <w:fldChar w:fldCharType="begin"/>
      </w:r>
      <w:r w:rsidRPr="00521228">
        <w:rPr>
          <w:rFonts w:ascii="Times New Roman" w:eastAsia="Times New Roman" w:hAnsi="Times New Roman" w:cs="Times New Roman"/>
          <w:color w:val="000000"/>
          <w:kern w:val="0"/>
          <w14:ligatures w14:val="none"/>
        </w:rPr>
        <w:instrText xml:space="preserve"> ADDIN ZOTERO_ITEM CSL_CITATION {"citationID":"TBonD3Vv","properties":{"formattedCitation":"(52)","plainCitation":"(52)","noteIndex":0},"citationItems":[{"id":3164,"uris":["http://zotero.org/users/14678818/items/YVEYQAU3"],"itemData":{"id":3164,"type":"article-journal","abstract":"BACKGROUND: 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tutorial.\nRESULTS: The WGCNA R software package is a comprehensive collection of R functions for performing various aspects of weighted correlation network analysis. The package includes functions for network construction, module detection, gene selection, calculations of topological properties, data simulation, visualization, and interfacing with external software. Along with the R package we also present R software tutorials. While the methods development was motivated by gene expression data, the underlying data mining approach can be applied to a variety of different settings.\nCONCLUSION: The WGCNA package provides R functions for weighted correlation network analysis, e.g. co-expression network analysis of gene expression data. The R package along with its source code and additional material are freely available at http://www.genetics.ucla.edu/labs/horvath/CoexpressionNetwork/Rpackages/WGCNA.","container-title":"BMC bioinformatics","DOI":"10.1186/1471-2105-9-559","ISSN":"1471-2105","journalAbbreviation":"BMC Bioinformatics","language":"eng","note":"PMID: 19114008\nPMCID: PMC2631488","page":"559","source":"PubMed","title":"WGCNA: an R package for weighted correlation network analysis","title-short":"WGCNA","volume":"9","author":[{"family":"Langfelder","given":"Peter"},{"family":"Horvath","given":"Steve"}],"issued":{"date-parts":[["2008",12,29]]}}}],"schema":"https://github.com/citation-style-language/schema/raw/master/csl-citation.json"} </w:instrText>
      </w:r>
      <w:r w:rsidRPr="00521228">
        <w:rPr>
          <w:rFonts w:ascii="Times New Roman" w:eastAsia="Times New Roman" w:hAnsi="Times New Roman" w:cs="Times New Roman"/>
          <w:color w:val="000000"/>
          <w:kern w:val="0"/>
          <w14:ligatures w14:val="none"/>
        </w:rPr>
        <w:fldChar w:fldCharType="separate"/>
      </w:r>
      <w:r w:rsidRPr="00521228">
        <w:rPr>
          <w:rFonts w:ascii="Times New Roman" w:eastAsia="Times New Roman" w:hAnsi="Times New Roman" w:cs="Times New Roman"/>
          <w:noProof/>
          <w:color w:val="000000"/>
          <w:kern w:val="0"/>
          <w14:ligatures w14:val="none"/>
        </w:rPr>
        <w:t>(52)</w:t>
      </w:r>
      <w:r w:rsidRPr="00521228">
        <w:rPr>
          <w:rFonts w:ascii="Times New Roman" w:eastAsia="Times New Roman" w:hAnsi="Times New Roman" w:cs="Times New Roman"/>
          <w:color w:val="000000"/>
          <w:kern w:val="0"/>
          <w14:ligatures w14:val="none"/>
        </w:rPr>
        <w:fldChar w:fldCharType="end"/>
      </w:r>
      <w:r w:rsidRPr="00521228">
        <w:rPr>
          <w:rFonts w:ascii="Times New Roman" w:eastAsia="Times New Roman" w:hAnsi="Times New Roman" w:cs="Times New Roman"/>
          <w:color w:val="000000"/>
          <w:kern w:val="0"/>
          <w14:ligatures w14:val="none"/>
        </w:rPr>
        <w:t xml:space="preserve">. An unsigned adjacency matrix was calculated from Pearson correlations and converted to a topological overlap matrix (TOM). Hierarchical clustering of chemicals followed by dynamic tree cutting (minimum module size = 3; merge cut height = 0.1) identified modules of chemicals with abundance distributions that co-occurred (i.e., were co-modulated) across vaping samples. Module eigengenes were computed as the first principal component of each module, capturing </w:t>
      </w:r>
      <w:proofErr w:type="gramStart"/>
      <w:r w:rsidRPr="00521228">
        <w:rPr>
          <w:rFonts w:ascii="Times New Roman" w:eastAsia="Times New Roman" w:hAnsi="Times New Roman" w:cs="Times New Roman"/>
          <w:color w:val="000000"/>
          <w:kern w:val="0"/>
          <w14:ligatures w14:val="none"/>
        </w:rPr>
        <w:t>the majority of</w:t>
      </w:r>
      <w:proofErr w:type="gramEnd"/>
      <w:r w:rsidRPr="00521228">
        <w:rPr>
          <w:rFonts w:ascii="Times New Roman" w:eastAsia="Times New Roman" w:hAnsi="Times New Roman" w:cs="Times New Roman"/>
          <w:color w:val="000000"/>
          <w:kern w:val="0"/>
          <w14:ligatures w14:val="none"/>
        </w:rPr>
        <w:t xml:space="preserve"> the variance in a data reduced format to carry forward in downstream statistics. Module eigengenes were then correlated with VST-normalized gene expression values using </w:t>
      </w:r>
      <w:r w:rsidRPr="00521228">
        <w:rPr>
          <w:rFonts w:ascii="Times New Roman" w:eastAsia="Times New Roman" w:hAnsi="Times New Roman" w:cs="Times New Roman"/>
          <w:color w:val="000000"/>
          <w:kern w:val="0"/>
          <w14:ligatures w14:val="none"/>
        </w:rPr>
        <w:lastRenderedPageBreak/>
        <w:t>Pearson correlations and corresponding Student asymptotic p-values. For visualization, genes were ranked within each module by |</w:t>
      </w:r>
      <w:proofErr w:type="spellStart"/>
      <w:r w:rsidRPr="00521228">
        <w:rPr>
          <w:rFonts w:ascii="Times New Roman" w:eastAsia="Times New Roman" w:hAnsi="Times New Roman" w:cs="Times New Roman"/>
          <w:color w:val="000000"/>
          <w:kern w:val="0"/>
          <w14:ligatures w14:val="none"/>
        </w:rPr>
        <w:t>kME</w:t>
      </w:r>
      <w:proofErr w:type="spellEnd"/>
      <w:r w:rsidRPr="00521228">
        <w:rPr>
          <w:rFonts w:ascii="Times New Roman" w:eastAsia="Times New Roman" w:hAnsi="Times New Roman" w:cs="Times New Roman"/>
          <w:color w:val="000000"/>
          <w:kern w:val="0"/>
          <w14:ligatures w14:val="none"/>
        </w:rPr>
        <w:t xml:space="preserve">| (correlation with the module eigengene), and the top five or ten genes were selected for representative plotting. Heatmaps were produced with </w:t>
      </w:r>
      <w:proofErr w:type="spellStart"/>
      <w:r w:rsidRPr="00521228">
        <w:rPr>
          <w:rFonts w:ascii="Times New Roman" w:eastAsia="Times New Roman" w:hAnsi="Times New Roman" w:cs="Times New Roman"/>
          <w:color w:val="000000"/>
          <w:kern w:val="0"/>
          <w14:ligatures w14:val="none"/>
        </w:rPr>
        <w:t>ComplexHeatmap</w:t>
      </w:r>
      <w:proofErr w:type="spellEnd"/>
      <w:r w:rsidRPr="00521228">
        <w:rPr>
          <w:rFonts w:ascii="Times New Roman" w:eastAsia="Times New Roman" w:hAnsi="Times New Roman" w:cs="Times New Roman"/>
          <w:color w:val="000000"/>
          <w:kern w:val="0"/>
          <w14:ligatures w14:val="none"/>
        </w:rPr>
        <w:t xml:space="preserve"> (v2.24.1) and </w:t>
      </w:r>
      <w:proofErr w:type="spellStart"/>
      <w:r w:rsidRPr="00521228">
        <w:rPr>
          <w:rFonts w:ascii="Times New Roman" w:eastAsia="Times New Roman" w:hAnsi="Times New Roman" w:cs="Times New Roman"/>
          <w:color w:val="000000"/>
          <w:kern w:val="0"/>
          <w14:ligatures w14:val="none"/>
        </w:rPr>
        <w:t>circlize</w:t>
      </w:r>
      <w:proofErr w:type="spellEnd"/>
      <w:r w:rsidRPr="00521228">
        <w:rPr>
          <w:rFonts w:ascii="Times New Roman" w:eastAsia="Times New Roman" w:hAnsi="Times New Roman" w:cs="Times New Roman"/>
          <w:color w:val="000000"/>
          <w:kern w:val="0"/>
          <w14:ligatures w14:val="none"/>
        </w:rPr>
        <w:t xml:space="preserve"> (v0.4.16); line plots and composite figures were made in ggplot2 (v4.0.0) and patchwork (v1.3.2).</w:t>
      </w:r>
    </w:p>
    <w:p w14:paraId="38D3DB13" w14:textId="77777777" w:rsidR="006F53FF" w:rsidRPr="00521228" w:rsidRDefault="006F53FF" w:rsidP="006F53FF">
      <w:pPr>
        <w:ind w:firstLine="720"/>
        <w:rPr>
          <w:rFonts w:ascii="Times New Roman" w:eastAsia="Times New Roman" w:hAnsi="Times New Roman" w:cs="Times New Roman"/>
          <w:color w:val="000000"/>
          <w:kern w:val="0"/>
          <w14:ligatures w14:val="none"/>
        </w:rPr>
      </w:pPr>
    </w:p>
    <w:p w14:paraId="1E0B0834" w14:textId="77777777" w:rsidR="00521228" w:rsidRPr="00521228" w:rsidRDefault="00521228" w:rsidP="006F53FF">
      <w:pPr>
        <w:suppressLineNumbers/>
        <w:rPr>
          <w:rFonts w:ascii="Times New Roman" w:eastAsia="Aptos" w:hAnsi="Times New Roman" w:cs="Times New Roman"/>
          <w:i/>
          <w:iCs/>
          <w:u w:val="single"/>
        </w:rPr>
      </w:pPr>
      <w:r w:rsidRPr="00521228">
        <w:rPr>
          <w:rFonts w:ascii="Times New Roman" w:eastAsia="Aptos" w:hAnsi="Times New Roman" w:cs="Times New Roman"/>
          <w:i/>
          <w:iCs/>
          <w:u w:val="single"/>
        </w:rPr>
        <w:t xml:space="preserve">Live Cell Imaging and Cilia Analysis </w:t>
      </w:r>
    </w:p>
    <w:p w14:paraId="2846664B" w14:textId="77777777" w:rsidR="00521228" w:rsidRDefault="00521228" w:rsidP="006F53FF">
      <w:pPr>
        <w:suppressLineNumbers/>
        <w:ind w:firstLine="720"/>
        <w:rPr>
          <w:rFonts w:ascii="Times New Roman" w:eastAsia="Aptos" w:hAnsi="Times New Roman" w:cs="Times New Roman"/>
        </w:rPr>
      </w:pPr>
      <w:r w:rsidRPr="00521228">
        <w:rPr>
          <w:rFonts w:ascii="Times New Roman" w:eastAsia="Aptos" w:hAnsi="Times New Roman" w:cs="Times New Roman"/>
        </w:rPr>
        <w:t xml:space="preserve">As detailed previously, primary HBECs (n = 4 donors, 2 replicate wells/donor and treatment, Table E1) were exposed to 10 3-sec puffs (2 L/min) of 6 different commercially available ∆8-THC products or a 40/60 propylene glycol/vegetable glycerin control. Live cell ciliary analysis measurements were performed before exposure, after 5 puffs, and at the end of the 10-puff exposure. Measurements were performed using a custom air-liquid interface (ALI) chamber mounted on a Nikon Eclipse C1si inverted microscope equipped with a 10 x 0.45 NA CFI Plan Apo λ objective lens (Nikon, Melville, NY). Cell plates containing HBECs on </w:t>
      </w:r>
      <w:proofErr w:type="spellStart"/>
      <w:r w:rsidRPr="00521228">
        <w:rPr>
          <w:rFonts w:ascii="Times New Roman" w:eastAsia="Aptos" w:hAnsi="Times New Roman" w:cs="Times New Roman"/>
        </w:rPr>
        <w:t>transwell</w:t>
      </w:r>
      <w:proofErr w:type="spellEnd"/>
      <w:r w:rsidRPr="00521228">
        <w:rPr>
          <w:rFonts w:ascii="Times New Roman" w:eastAsia="Aptos" w:hAnsi="Times New Roman" w:cs="Times New Roman"/>
        </w:rPr>
        <w:t xml:space="preserve"> inserts were placed in the custom ALI chamber mounted on the confocal microscope stage top which was equipped to maintain cells at 37 °C with 5% CO2 and ≥ 95% relative humidity. Images were captured with a high-speed digital Andor Zyla </w:t>
      </w:r>
      <w:proofErr w:type="spellStart"/>
      <w:r w:rsidRPr="00521228">
        <w:rPr>
          <w:rFonts w:ascii="Times New Roman" w:eastAsia="Aptos" w:hAnsi="Times New Roman" w:cs="Times New Roman"/>
        </w:rPr>
        <w:t>cMOS</w:t>
      </w:r>
      <w:proofErr w:type="spellEnd"/>
      <w:r w:rsidRPr="00521228">
        <w:rPr>
          <w:rFonts w:ascii="Times New Roman" w:eastAsia="Aptos" w:hAnsi="Times New Roman" w:cs="Times New Roman"/>
        </w:rPr>
        <w:t xml:space="preserve"> (Andor Technology, Belfast, Northern Ireland) camera set for 2 x 2 binning with an exposure time of 10 </w:t>
      </w:r>
      <w:proofErr w:type="spellStart"/>
      <w:r w:rsidRPr="00521228">
        <w:rPr>
          <w:rFonts w:ascii="Times New Roman" w:eastAsia="Aptos" w:hAnsi="Times New Roman" w:cs="Times New Roman"/>
        </w:rPr>
        <w:t>ms</w:t>
      </w:r>
      <w:proofErr w:type="spellEnd"/>
      <w:r w:rsidRPr="00521228">
        <w:rPr>
          <w:rFonts w:ascii="Times New Roman" w:eastAsia="Aptos" w:hAnsi="Times New Roman" w:cs="Times New Roman"/>
        </w:rPr>
        <w:t xml:space="preserve"> captured at a frame rate of 100 FPS (300 total frames). For each donor, exposure, and timepoint, ciliary analysis measurements were evaluated for 4 different 512 x 512 areas over 2 replicate </w:t>
      </w:r>
      <w:proofErr w:type="spellStart"/>
      <w:r w:rsidRPr="00521228">
        <w:rPr>
          <w:rFonts w:ascii="Times New Roman" w:eastAsia="Aptos" w:hAnsi="Times New Roman" w:cs="Times New Roman"/>
        </w:rPr>
        <w:t>transwell</w:t>
      </w:r>
      <w:proofErr w:type="spellEnd"/>
      <w:r w:rsidRPr="00521228">
        <w:rPr>
          <w:rFonts w:ascii="Times New Roman" w:eastAsia="Aptos" w:hAnsi="Times New Roman" w:cs="Times New Roman"/>
        </w:rPr>
        <w:t xml:space="preserve"> cultures. Images were analyzed with Cilia-X software (</w:t>
      </w:r>
      <w:proofErr w:type="spellStart"/>
      <w:r w:rsidRPr="00521228">
        <w:rPr>
          <w:rFonts w:ascii="Times New Roman" w:eastAsia="Aptos" w:hAnsi="Times New Roman" w:cs="Times New Roman"/>
        </w:rPr>
        <w:t>Epithelix</w:t>
      </w:r>
      <w:proofErr w:type="spellEnd"/>
      <w:r w:rsidRPr="00521228">
        <w:rPr>
          <w:rFonts w:ascii="Times New Roman" w:eastAsia="Aptos" w:hAnsi="Times New Roman" w:cs="Times New Roman"/>
        </w:rPr>
        <w:t>, Plan-les-</w:t>
      </w:r>
      <w:proofErr w:type="spellStart"/>
      <w:r w:rsidRPr="00521228">
        <w:rPr>
          <w:rFonts w:ascii="Times New Roman" w:eastAsia="Aptos" w:hAnsi="Times New Roman" w:cs="Times New Roman"/>
        </w:rPr>
        <w:t>Ouates</w:t>
      </w:r>
      <w:proofErr w:type="spellEnd"/>
      <w:r w:rsidRPr="00521228">
        <w:rPr>
          <w:rFonts w:ascii="Times New Roman" w:eastAsia="Aptos" w:hAnsi="Times New Roman" w:cs="Times New Roman"/>
        </w:rPr>
        <w:t xml:space="preserve">, Switzerland) using a frequency range of 2-15 Hz and a whole-field analysis power threshold of 2 million to obtain cilia beat frequency (CBF) and percent active area. Data from replicate areas and wells from the same donor and treatment were averaged for further analysis. </w:t>
      </w:r>
    </w:p>
    <w:p w14:paraId="11B8F174" w14:textId="77777777" w:rsidR="006F53FF" w:rsidRPr="00521228" w:rsidRDefault="006F53FF" w:rsidP="006F53FF">
      <w:pPr>
        <w:suppressLineNumbers/>
        <w:ind w:firstLine="720"/>
        <w:rPr>
          <w:rFonts w:ascii="Times New Roman" w:eastAsia="Aptos" w:hAnsi="Times New Roman" w:cs="Times New Roman"/>
        </w:rPr>
      </w:pPr>
    </w:p>
    <w:p w14:paraId="2FCF15F3" w14:textId="77777777" w:rsidR="00521228" w:rsidRPr="00521228" w:rsidRDefault="00521228" w:rsidP="006F53FF">
      <w:pPr>
        <w:suppressLineNumbers/>
        <w:rPr>
          <w:rFonts w:ascii="Times New Roman" w:eastAsia="Aptos" w:hAnsi="Times New Roman" w:cs="Times New Roman"/>
          <w:i/>
          <w:iCs/>
          <w:u w:val="single"/>
        </w:rPr>
      </w:pPr>
      <w:r w:rsidRPr="00521228">
        <w:rPr>
          <w:rFonts w:ascii="Times New Roman" w:eastAsia="Aptos" w:hAnsi="Times New Roman" w:cs="Times New Roman"/>
          <w:i/>
          <w:iCs/>
          <w:u w:val="single"/>
        </w:rPr>
        <w:t>Statistical Analysis of Chemical Quantitation and Ciliary Function</w:t>
      </w:r>
    </w:p>
    <w:p w14:paraId="3689E8CA" w14:textId="77777777" w:rsidR="00521228" w:rsidRDefault="00521228" w:rsidP="006F53FF">
      <w:pPr>
        <w:suppressLineNumbers/>
        <w:rPr>
          <w:rFonts w:ascii="Times New Roman" w:eastAsia="Aptos" w:hAnsi="Times New Roman" w:cs="Times New Roman"/>
          <w:color w:val="000000"/>
        </w:rPr>
      </w:pPr>
      <w:r w:rsidRPr="00521228">
        <w:rPr>
          <w:rFonts w:ascii="Times New Roman" w:eastAsia="Aptos" w:hAnsi="Times New Roman" w:cs="Times New Roman"/>
        </w:rPr>
        <w:tab/>
        <w:t xml:space="preserve">All data were analyzed in R (v4.4.3) using the package </w:t>
      </w:r>
      <w:proofErr w:type="spellStart"/>
      <w:r w:rsidRPr="00521228">
        <w:rPr>
          <w:rFonts w:ascii="Times New Roman" w:eastAsia="Aptos" w:hAnsi="Times New Roman" w:cs="Times New Roman"/>
        </w:rPr>
        <w:t>rstatix</w:t>
      </w:r>
      <w:proofErr w:type="spellEnd"/>
      <w:r w:rsidRPr="00521228">
        <w:rPr>
          <w:rFonts w:ascii="Times New Roman" w:eastAsia="Aptos" w:hAnsi="Times New Roman" w:cs="Times New Roman"/>
        </w:rPr>
        <w:t xml:space="preserve"> (v0.7.2). Changes in the mean concentration of ∆8-THCQ before and after vaping for distillate and disposable products were evaluated with a paired t-test</w:t>
      </w:r>
      <w:r w:rsidRPr="00521228">
        <w:rPr>
          <w:rFonts w:ascii="Times New Roman" w:eastAsia="Aptos" w:hAnsi="Times New Roman" w:cs="Times New Roman"/>
          <w:color w:val="000000"/>
        </w:rPr>
        <w:t xml:space="preserve">. For analysis of cilia beat frequency and cilia percent active area, data were evaluated for normalcy with a Shapiro-Wilk test and subsequently analyzed by one-way ANOVA followed by Tukey’s post hoc test. </w:t>
      </w:r>
    </w:p>
    <w:p w14:paraId="3104658B" w14:textId="77777777" w:rsidR="006F53FF" w:rsidRDefault="006F53FF" w:rsidP="006F53FF">
      <w:pPr>
        <w:suppressLineNumbers/>
        <w:rPr>
          <w:rFonts w:ascii="Times New Roman" w:eastAsia="Aptos" w:hAnsi="Times New Roman" w:cs="Times New Roman"/>
          <w:color w:val="000000"/>
        </w:rPr>
      </w:pPr>
    </w:p>
    <w:p w14:paraId="269EE785" w14:textId="1B3FAB7A" w:rsidR="00645FE0" w:rsidRDefault="00645FE0" w:rsidP="006F53FF">
      <w:pPr>
        <w:suppressLineNumbers/>
        <w:rPr>
          <w:rFonts w:ascii="Times New Roman" w:eastAsia="Aptos" w:hAnsi="Times New Roman" w:cs="Times New Roman"/>
          <w:i/>
          <w:iCs/>
          <w:u w:val="single"/>
        </w:rPr>
      </w:pPr>
      <w:r>
        <w:rPr>
          <w:rFonts w:ascii="Times New Roman" w:eastAsia="Aptos" w:hAnsi="Times New Roman" w:cs="Times New Roman"/>
          <w:i/>
          <w:iCs/>
          <w:u w:val="single"/>
        </w:rPr>
        <w:t>Data Availability</w:t>
      </w:r>
    </w:p>
    <w:p w14:paraId="3623E99B" w14:textId="637E1F7D" w:rsidR="004A3913" w:rsidRPr="005D1707" w:rsidRDefault="001B0701" w:rsidP="006F53FF">
      <w:pPr>
        <w:suppressLineNumbers/>
        <w:ind w:firstLine="720"/>
        <w:rPr>
          <w:rFonts w:ascii="Times New Roman" w:eastAsia="Aptos" w:hAnsi="Times New Roman" w:cs="Times New Roman"/>
        </w:rPr>
      </w:pPr>
      <w:r w:rsidRPr="005D1707">
        <w:rPr>
          <w:rFonts w:ascii="Times New Roman" w:eastAsia="Aptos" w:hAnsi="Times New Roman" w:cs="Times New Roman"/>
        </w:rPr>
        <w:t xml:space="preserve">Raw GC-MS chemical analysis data as well as raw read counts and differential expression analysis of RNA-Seq are available at </w:t>
      </w:r>
      <w:hyperlink r:id="rId8" w:history="1">
        <w:r w:rsidR="005D1707" w:rsidRPr="005D1707">
          <w:rPr>
            <w:rStyle w:val="Hyperlink"/>
            <w:rFonts w:ascii="Times New Roman" w:hAnsi="Times New Roman" w:cs="Times New Roman"/>
          </w:rPr>
          <w:t>https://dataverse.unc.edu/dataset.xhtml?persistentId=doi:10.15139/S3/GUWP3K&amp;version=DRAFT</w:t>
        </w:r>
      </w:hyperlink>
      <w:r w:rsidR="005D1707" w:rsidRPr="005D1707">
        <w:rPr>
          <w:rFonts w:ascii="Times New Roman" w:hAnsi="Times New Roman" w:cs="Times New Roman"/>
        </w:rPr>
        <w:t xml:space="preserve">. </w:t>
      </w:r>
      <w:r w:rsidRPr="005D1707">
        <w:rPr>
          <w:rFonts w:ascii="Times New Roman" w:eastAsia="Aptos" w:hAnsi="Times New Roman" w:cs="Times New Roman"/>
        </w:rPr>
        <w:t xml:space="preserve">Code for RNA-Seq analysis is available at </w:t>
      </w:r>
      <w:hyperlink r:id="rId9" w:history="1">
        <w:r w:rsidR="00B735EE">
          <w:rPr>
            <w:rStyle w:val="Hyperlink"/>
            <w:rFonts w:ascii="Times New Roman" w:hAnsi="Times New Roman" w:cs="Times New Roman"/>
          </w:rPr>
          <w:t>https://github.com/UNC-CEMALB/Transcriptomic-and-Functional-Responses-of-Human-Airway-Cells-to-Vaped-8-THC-and-its-Oxidation...</w:t>
        </w:r>
      </w:hyperlink>
      <w:r w:rsidR="00B735EE">
        <w:rPr>
          <w:rFonts w:ascii="Times New Roman" w:hAnsi="Times New Roman" w:cs="Times New Roman"/>
        </w:rPr>
        <w:t xml:space="preserve"> </w:t>
      </w:r>
    </w:p>
    <w:p w14:paraId="05215B38" w14:textId="77777777" w:rsidR="004A3913" w:rsidRDefault="004A3913" w:rsidP="006F53FF">
      <w:pPr>
        <w:suppressLineNumbers/>
        <w:ind w:firstLine="720"/>
        <w:rPr>
          <w:rFonts w:ascii="Aptos" w:eastAsia="Aptos" w:hAnsi="Aptos" w:cs="Times New Roman"/>
        </w:rPr>
      </w:pPr>
    </w:p>
    <w:p w14:paraId="217C427F" w14:textId="77777777" w:rsidR="004A3913" w:rsidRDefault="004A3913" w:rsidP="006F53FF">
      <w:pPr>
        <w:suppressLineNumbers/>
        <w:ind w:firstLine="720"/>
        <w:rPr>
          <w:rFonts w:ascii="Times New Roman" w:eastAsia="Aptos" w:hAnsi="Times New Roman" w:cs="Times New Roman"/>
        </w:rPr>
      </w:pPr>
    </w:p>
    <w:p w14:paraId="3C37B5C2" w14:textId="77777777" w:rsidR="004A3913" w:rsidRDefault="004A3913" w:rsidP="006F53FF">
      <w:pPr>
        <w:suppressLineNumbers/>
        <w:ind w:firstLine="720"/>
        <w:rPr>
          <w:rFonts w:ascii="Times New Roman" w:eastAsia="Aptos" w:hAnsi="Times New Roman" w:cs="Times New Roman"/>
        </w:rPr>
      </w:pPr>
    </w:p>
    <w:p w14:paraId="264C6781" w14:textId="77777777" w:rsidR="004A3913" w:rsidRDefault="004A3913" w:rsidP="006F53FF">
      <w:pPr>
        <w:suppressLineNumbers/>
        <w:ind w:firstLine="720"/>
        <w:rPr>
          <w:rFonts w:ascii="Times New Roman" w:eastAsia="Aptos" w:hAnsi="Times New Roman" w:cs="Times New Roman"/>
        </w:rPr>
      </w:pPr>
    </w:p>
    <w:p w14:paraId="0CE2E087" w14:textId="77777777" w:rsidR="004A3913" w:rsidRDefault="004A3913" w:rsidP="006F53FF">
      <w:pPr>
        <w:suppressLineNumbers/>
        <w:ind w:firstLine="720"/>
        <w:rPr>
          <w:rFonts w:ascii="Times New Roman" w:eastAsia="Aptos" w:hAnsi="Times New Roman" w:cs="Times New Roman"/>
        </w:rPr>
      </w:pPr>
    </w:p>
    <w:p w14:paraId="16A53939" w14:textId="77777777" w:rsidR="004A3913" w:rsidRDefault="004A3913" w:rsidP="006F53FF">
      <w:pPr>
        <w:suppressLineNumbers/>
        <w:ind w:firstLine="720"/>
        <w:rPr>
          <w:rFonts w:ascii="Times New Roman" w:eastAsia="Aptos" w:hAnsi="Times New Roman" w:cs="Times New Roman"/>
        </w:rPr>
      </w:pPr>
    </w:p>
    <w:p w14:paraId="66B0B6FF" w14:textId="77777777" w:rsidR="004A3913" w:rsidRDefault="004A3913" w:rsidP="006F53FF">
      <w:pPr>
        <w:suppressLineNumbers/>
        <w:ind w:firstLine="720"/>
        <w:rPr>
          <w:rFonts w:ascii="Times New Roman" w:eastAsia="Aptos" w:hAnsi="Times New Roman" w:cs="Times New Roman"/>
        </w:rPr>
      </w:pPr>
    </w:p>
    <w:p w14:paraId="76E019AC" w14:textId="77777777" w:rsidR="004A3913" w:rsidRDefault="004A3913" w:rsidP="006F53FF">
      <w:pPr>
        <w:suppressLineNumbers/>
        <w:ind w:firstLine="720"/>
        <w:rPr>
          <w:rFonts w:ascii="Times New Roman" w:eastAsia="Aptos" w:hAnsi="Times New Roman" w:cs="Times New Roman"/>
        </w:rPr>
      </w:pPr>
    </w:p>
    <w:p w14:paraId="284C0939" w14:textId="77777777" w:rsidR="004A3913" w:rsidRDefault="004A3913" w:rsidP="006F53FF">
      <w:pPr>
        <w:suppressLineNumbers/>
        <w:ind w:firstLine="720"/>
        <w:rPr>
          <w:rFonts w:ascii="Times New Roman" w:eastAsia="Aptos" w:hAnsi="Times New Roman" w:cs="Times New Roman"/>
        </w:rPr>
      </w:pPr>
    </w:p>
    <w:p w14:paraId="17D5C28C" w14:textId="77777777" w:rsidR="004A3913" w:rsidRDefault="004A3913" w:rsidP="006F53FF">
      <w:pPr>
        <w:suppressLineNumbers/>
        <w:ind w:firstLine="720"/>
        <w:rPr>
          <w:rFonts w:ascii="Times New Roman" w:eastAsia="Aptos" w:hAnsi="Times New Roman" w:cs="Times New Roman"/>
        </w:rPr>
      </w:pPr>
    </w:p>
    <w:p w14:paraId="3F412E7D" w14:textId="3BA21CC2" w:rsidR="004A3913" w:rsidRPr="00521228" w:rsidRDefault="004A3913" w:rsidP="00747BAF">
      <w:pPr>
        <w:suppressLineNumbers/>
        <w:rPr>
          <w:rFonts w:ascii="Times New Roman" w:eastAsia="Aptos" w:hAnsi="Times New Roman" w:cs="Times New Roman"/>
        </w:rPr>
      </w:pPr>
      <w:r w:rsidRPr="00EC7529">
        <w:rPr>
          <w:rFonts w:ascii="Times New Roman" w:eastAsia="Aptos" w:hAnsi="Times New Roman" w:cs="Times New Roman"/>
          <w:b/>
          <w:bCs/>
        </w:rPr>
        <w:t>Figure E1</w:t>
      </w:r>
      <w:r w:rsidR="00747BAF" w:rsidRPr="00EC7529">
        <w:rPr>
          <w:rFonts w:ascii="Times New Roman" w:eastAsia="Aptos" w:hAnsi="Times New Roman" w:cs="Times New Roman"/>
          <w:b/>
          <w:bCs/>
        </w:rPr>
        <w:t>.</w:t>
      </w:r>
      <w:r w:rsidR="00747BAF">
        <w:rPr>
          <w:rFonts w:ascii="Times New Roman" w:eastAsia="Aptos" w:hAnsi="Times New Roman" w:cs="Times New Roman"/>
        </w:rPr>
        <w:t xml:space="preserve"> </w:t>
      </w:r>
      <w:r w:rsidR="002A1006" w:rsidRPr="002A1006">
        <w:rPr>
          <w:rFonts w:ascii="Times New Roman" w:eastAsia="Aptos" w:hAnsi="Times New Roman" w:cs="Times New Roman"/>
        </w:rPr>
        <w:t>Principal component analysis</w:t>
      </w:r>
      <w:r w:rsidR="00EC7529">
        <w:rPr>
          <w:rFonts w:ascii="Times New Roman" w:eastAsia="Aptos" w:hAnsi="Times New Roman" w:cs="Times New Roman"/>
        </w:rPr>
        <w:t xml:space="preserve"> </w:t>
      </w:r>
      <w:r w:rsidR="00EC7529" w:rsidRPr="00EC7529">
        <w:rPr>
          <w:rFonts w:ascii="Times New Roman" w:eastAsia="Aptos" w:hAnsi="Times New Roman" w:cs="Times New Roman"/>
        </w:rPr>
        <w:t xml:space="preserve">16HBE cells (n = 3 passage numbers) exposed to ∆8-THC (8.5 µM), ∆8-THCQ (8.5 µM), or vehicle control (8.5 µM equivalent) for </w:t>
      </w:r>
      <w:r w:rsidR="00EC7529">
        <w:rPr>
          <w:rFonts w:ascii="Times New Roman" w:eastAsia="Aptos" w:hAnsi="Times New Roman" w:cs="Times New Roman"/>
        </w:rPr>
        <w:t xml:space="preserve">(A) </w:t>
      </w:r>
      <w:r w:rsidR="00EC7529" w:rsidRPr="00EC7529">
        <w:rPr>
          <w:rFonts w:ascii="Times New Roman" w:eastAsia="Aptos" w:hAnsi="Times New Roman" w:cs="Times New Roman"/>
        </w:rPr>
        <w:t xml:space="preserve">12 or </w:t>
      </w:r>
      <w:r w:rsidR="00EC7529">
        <w:rPr>
          <w:rFonts w:ascii="Times New Roman" w:eastAsia="Aptos" w:hAnsi="Times New Roman" w:cs="Times New Roman"/>
        </w:rPr>
        <w:t xml:space="preserve">(B) </w:t>
      </w:r>
      <w:r w:rsidR="00EC7529" w:rsidRPr="00EC7529">
        <w:rPr>
          <w:rFonts w:ascii="Times New Roman" w:eastAsia="Aptos" w:hAnsi="Times New Roman" w:cs="Times New Roman"/>
        </w:rPr>
        <w:t>24 hours.</w:t>
      </w:r>
    </w:p>
    <w:p w14:paraId="12D23DF0" w14:textId="78C9B677" w:rsidR="00645FE0" w:rsidRDefault="000D3EA5" w:rsidP="00521228">
      <w:pPr>
        <w:suppressLineNumbers/>
        <w:spacing w:after="160" w:line="480" w:lineRule="auto"/>
        <w:rPr>
          <w:rFonts w:ascii="Times New Roman" w:eastAsia="Aptos" w:hAnsi="Times New Roman" w:cs="Times New Roman"/>
        </w:rPr>
      </w:pPr>
      <w:r>
        <w:rPr>
          <w:rFonts w:ascii="Times New Roman" w:eastAsia="Aptos" w:hAnsi="Times New Roman" w:cs="Times New Roman"/>
          <w:noProof/>
        </w:rPr>
        <w:drawing>
          <wp:inline distT="0" distB="0" distL="0" distR="0" wp14:anchorId="6D69ECE9" wp14:editId="791CDCC6">
            <wp:extent cx="5943600" cy="1769110"/>
            <wp:effectExtent l="0" t="0" r="0" b="0"/>
            <wp:docPr id="1571775371" name="Picture 2"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75371" name="Picture 2" descr="A comparison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69110"/>
                    </a:xfrm>
                    <a:prstGeom prst="rect">
                      <a:avLst/>
                    </a:prstGeom>
                  </pic:spPr>
                </pic:pic>
              </a:graphicData>
            </a:graphic>
          </wp:inline>
        </w:drawing>
      </w:r>
    </w:p>
    <w:p w14:paraId="1402931F" w14:textId="6021728C" w:rsidR="00EC7529" w:rsidRPr="00521228" w:rsidRDefault="00EC7529" w:rsidP="00C54B26">
      <w:pPr>
        <w:suppressLineNumbers/>
        <w:spacing w:after="160"/>
        <w:rPr>
          <w:rFonts w:ascii="Times New Roman" w:eastAsia="Aptos" w:hAnsi="Times New Roman" w:cs="Times New Roman"/>
        </w:rPr>
      </w:pPr>
      <w:r w:rsidRPr="00C54B26">
        <w:rPr>
          <w:rFonts w:ascii="Times New Roman" w:eastAsia="Aptos" w:hAnsi="Times New Roman" w:cs="Times New Roman"/>
          <w:b/>
          <w:bCs/>
        </w:rPr>
        <w:t>Figure E2.</w:t>
      </w:r>
      <w:r>
        <w:rPr>
          <w:rFonts w:ascii="Times New Roman" w:eastAsia="Aptos" w:hAnsi="Times New Roman" w:cs="Times New Roman"/>
        </w:rPr>
        <w:t xml:space="preserve"> </w:t>
      </w:r>
      <w:r w:rsidR="00EE7FFE">
        <w:rPr>
          <w:rFonts w:ascii="Times New Roman" w:eastAsia="Aptos" w:hAnsi="Times New Roman" w:cs="Times New Roman"/>
        </w:rPr>
        <w:t>(A) H</w:t>
      </w:r>
      <w:r w:rsidR="00EE7FFE" w:rsidRPr="00EE7FFE">
        <w:rPr>
          <w:rFonts w:ascii="Times New Roman" w:eastAsia="Aptos" w:hAnsi="Times New Roman" w:cs="Times New Roman"/>
        </w:rPr>
        <w:t xml:space="preserve">eatmap for the 24-hour exposure </w:t>
      </w:r>
      <w:r w:rsidR="00EE7FFE" w:rsidRPr="00EC7529">
        <w:rPr>
          <w:rFonts w:ascii="Times New Roman" w:eastAsia="Aptos" w:hAnsi="Times New Roman" w:cs="Times New Roman"/>
        </w:rPr>
        <w:t>16HBE cells</w:t>
      </w:r>
      <w:r w:rsidR="00EE7FFE">
        <w:rPr>
          <w:rFonts w:ascii="Times New Roman" w:eastAsia="Aptos" w:hAnsi="Times New Roman" w:cs="Times New Roman"/>
        </w:rPr>
        <w:t xml:space="preserve"> </w:t>
      </w:r>
      <w:r w:rsidR="00EE7FFE" w:rsidRPr="00EC7529">
        <w:rPr>
          <w:rFonts w:ascii="Times New Roman" w:eastAsia="Aptos" w:hAnsi="Times New Roman" w:cs="Times New Roman"/>
        </w:rPr>
        <w:t>(n = 3 passage numbers)</w:t>
      </w:r>
      <w:r w:rsidR="00C54B26">
        <w:rPr>
          <w:rFonts w:ascii="Times New Roman" w:eastAsia="Aptos" w:hAnsi="Times New Roman" w:cs="Times New Roman"/>
        </w:rPr>
        <w:t xml:space="preserve"> and (B) volcano plot for the 24-hour </w:t>
      </w:r>
      <w:r w:rsidR="00C54B26" w:rsidRPr="00EC7529">
        <w:rPr>
          <w:rFonts w:ascii="Times New Roman" w:eastAsia="Aptos" w:hAnsi="Times New Roman" w:cs="Times New Roman"/>
        </w:rPr>
        <w:t>∆8-THCQ</w:t>
      </w:r>
      <w:r w:rsidR="00C54B26">
        <w:rPr>
          <w:rFonts w:ascii="Times New Roman" w:eastAsia="Aptos" w:hAnsi="Times New Roman" w:cs="Times New Roman"/>
        </w:rPr>
        <w:t xml:space="preserve"> vs. </w:t>
      </w:r>
      <w:r w:rsidR="00C54B26" w:rsidRPr="00EC7529">
        <w:rPr>
          <w:rFonts w:ascii="Times New Roman" w:eastAsia="Aptos" w:hAnsi="Times New Roman" w:cs="Times New Roman"/>
        </w:rPr>
        <w:t>vehicle control</w:t>
      </w:r>
      <w:r w:rsidR="00C54B26">
        <w:rPr>
          <w:rFonts w:ascii="Times New Roman" w:eastAsia="Aptos" w:hAnsi="Times New Roman" w:cs="Times New Roman"/>
        </w:rPr>
        <w:t xml:space="preserve"> comparison. </w:t>
      </w:r>
    </w:p>
    <w:p w14:paraId="1BADD4BD" w14:textId="385BFD94" w:rsidR="00B6364E" w:rsidRDefault="000D3EA5" w:rsidP="00B6364E">
      <w:r>
        <w:rPr>
          <w:noProof/>
        </w:rPr>
        <w:drawing>
          <wp:inline distT="0" distB="0" distL="0" distR="0" wp14:anchorId="3C1BDDE0" wp14:editId="590AF006">
            <wp:extent cx="5943600" cy="2235200"/>
            <wp:effectExtent l="0" t="0" r="0" b="0"/>
            <wp:docPr id="1705163100"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63100" name="Picture 4" descr="A diagram of a graph&#10;&#10;AI-generated content may be incorrect."/>
                    <pic:cNvPicPr/>
                  </pic:nvPicPr>
                  <pic:blipFill rotWithShape="1">
                    <a:blip r:embed="rId11" cstate="print">
                      <a:extLst>
                        <a:ext uri="{28A0092B-C50C-407E-A947-70E740481C1C}">
                          <a14:useLocalDpi xmlns:a14="http://schemas.microsoft.com/office/drawing/2010/main" val="0"/>
                        </a:ext>
                      </a:extLst>
                    </a:blip>
                    <a:srcRect b="51043"/>
                    <a:stretch>
                      <a:fillRect/>
                    </a:stretch>
                  </pic:blipFill>
                  <pic:spPr bwMode="auto">
                    <a:xfrm>
                      <a:off x="0" y="0"/>
                      <a:ext cx="5943600" cy="2235200"/>
                    </a:xfrm>
                    <a:prstGeom prst="rect">
                      <a:avLst/>
                    </a:prstGeom>
                    <a:ln>
                      <a:noFill/>
                    </a:ln>
                    <a:extLst>
                      <a:ext uri="{53640926-AAD7-44D8-BBD7-CCE9431645EC}">
                        <a14:shadowObscured xmlns:a14="http://schemas.microsoft.com/office/drawing/2010/main"/>
                      </a:ext>
                    </a:extLst>
                  </pic:spPr>
                </pic:pic>
              </a:graphicData>
            </a:graphic>
          </wp:inline>
        </w:drawing>
      </w:r>
    </w:p>
    <w:p w14:paraId="2877B81F" w14:textId="77777777" w:rsidR="00DA3689" w:rsidRPr="00DA3689" w:rsidRDefault="00DA3689" w:rsidP="00DA3689"/>
    <w:p w14:paraId="76A3AA24" w14:textId="1BFF6F3C" w:rsidR="00DA3689" w:rsidRPr="007336AE" w:rsidRDefault="00DA3689" w:rsidP="00DA3689">
      <w:pPr>
        <w:rPr>
          <w:rFonts w:ascii="Times New Roman" w:hAnsi="Times New Roman" w:cs="Times New Roman"/>
        </w:rPr>
      </w:pPr>
      <w:r w:rsidRPr="007336AE">
        <w:rPr>
          <w:rFonts w:ascii="Times New Roman" w:hAnsi="Times New Roman" w:cs="Times New Roman"/>
          <w:b/>
          <w:bCs/>
        </w:rPr>
        <w:t>Figure E3.</w:t>
      </w:r>
      <w:r w:rsidRPr="007336AE">
        <w:rPr>
          <w:rFonts w:ascii="Times New Roman" w:hAnsi="Times New Roman" w:cs="Times New Roman"/>
        </w:rPr>
        <w:t xml:space="preserve"> </w:t>
      </w:r>
      <w:r w:rsidR="003D4A08" w:rsidRPr="007336AE">
        <w:rPr>
          <w:rFonts w:ascii="Times New Roman" w:hAnsi="Times New Roman" w:cs="Times New Roman"/>
        </w:rPr>
        <w:t xml:space="preserve">Multidimensional scaling (MDS) analysis </w:t>
      </w:r>
      <w:r w:rsidR="007336AE">
        <w:rPr>
          <w:rFonts w:ascii="Times New Roman" w:hAnsi="Times New Roman" w:cs="Times New Roman"/>
        </w:rPr>
        <w:t xml:space="preserve">for the </w:t>
      </w:r>
      <w:r w:rsidR="00557E4C" w:rsidRPr="007336AE">
        <w:rPr>
          <w:rFonts w:ascii="Times New Roman" w:hAnsi="Times New Roman" w:cs="Times New Roman"/>
        </w:rPr>
        <w:t>transcriptomic analysis on primary HBECs (n = 4 donors, 2 replicate wells/donor, Table E1) exposed to the 6 commercially available ∆8-THC products</w:t>
      </w:r>
      <w:r w:rsidR="007336AE" w:rsidRPr="007336AE">
        <w:rPr>
          <w:rFonts w:ascii="Times New Roman" w:hAnsi="Times New Roman" w:cs="Times New Roman"/>
        </w:rPr>
        <w:t xml:space="preserve"> (10 puffs) using the UNC Vaping Product Exposure System (</w:t>
      </w:r>
      <w:proofErr w:type="spellStart"/>
      <w:r w:rsidR="007336AE" w:rsidRPr="007336AE">
        <w:rPr>
          <w:rFonts w:ascii="Times New Roman" w:hAnsi="Times New Roman" w:cs="Times New Roman"/>
        </w:rPr>
        <w:t>VaPES</w:t>
      </w:r>
      <w:proofErr w:type="spellEnd"/>
      <w:r w:rsidR="007336AE" w:rsidRPr="007336AE">
        <w:rPr>
          <w:rFonts w:ascii="Times New Roman" w:hAnsi="Times New Roman" w:cs="Times New Roman"/>
        </w:rPr>
        <w:t>).</w:t>
      </w:r>
    </w:p>
    <w:p w14:paraId="512F6098" w14:textId="6FEED03D" w:rsidR="00B6364E" w:rsidRDefault="00DA3689" w:rsidP="00B6364E">
      <w:r>
        <w:rPr>
          <w:noProof/>
        </w:rPr>
        <w:lastRenderedPageBreak/>
        <w:drawing>
          <wp:inline distT="0" distB="0" distL="0" distR="0" wp14:anchorId="16561F82" wp14:editId="098EECA8">
            <wp:extent cx="3073400" cy="2070100"/>
            <wp:effectExtent l="0" t="0" r="0" b="0"/>
            <wp:docPr id="1616909449" name="Picture 7" descr="A graph with colored circl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09449" name="Picture 7" descr="A graph with colored circles and numb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3400" cy="2070100"/>
                    </a:xfrm>
                    <a:prstGeom prst="rect">
                      <a:avLst/>
                    </a:prstGeom>
                  </pic:spPr>
                </pic:pic>
              </a:graphicData>
            </a:graphic>
          </wp:inline>
        </w:drawing>
      </w:r>
    </w:p>
    <w:sectPr w:rsidR="00B6364E">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25488" w14:textId="77777777" w:rsidR="00DC70D3" w:rsidRDefault="00DC70D3" w:rsidP="00B6364E">
      <w:r>
        <w:separator/>
      </w:r>
    </w:p>
  </w:endnote>
  <w:endnote w:type="continuationSeparator" w:id="0">
    <w:p w14:paraId="798EC6C7" w14:textId="77777777" w:rsidR="00DC70D3" w:rsidRDefault="00DC70D3" w:rsidP="00B6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4382775"/>
      <w:docPartObj>
        <w:docPartGallery w:val="Page Numbers (Bottom of Page)"/>
        <w:docPartUnique/>
      </w:docPartObj>
    </w:sdtPr>
    <w:sdtContent>
      <w:p w14:paraId="75644863" w14:textId="7F017598" w:rsidR="00B6364E" w:rsidRDefault="00B6364E" w:rsidP="00D469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FDD3C6F" w14:textId="77777777" w:rsidR="00B6364E" w:rsidRDefault="00B6364E" w:rsidP="00B636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86201315"/>
      <w:docPartObj>
        <w:docPartGallery w:val="Page Numbers (Bottom of Page)"/>
        <w:docPartUnique/>
      </w:docPartObj>
    </w:sdtPr>
    <w:sdtContent>
      <w:p w14:paraId="544AC26B" w14:textId="27688BFF" w:rsidR="00B6364E" w:rsidRDefault="00B6364E" w:rsidP="00D46952">
        <w:pPr>
          <w:pStyle w:val="Footer"/>
          <w:framePr w:wrap="none" w:vAnchor="text" w:hAnchor="margin" w:xAlign="right"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F42C0E" w14:textId="77777777" w:rsidR="00B6364E" w:rsidRDefault="00B6364E" w:rsidP="00B636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CC059" w14:textId="77777777" w:rsidR="00DC70D3" w:rsidRDefault="00DC70D3" w:rsidP="00B6364E">
      <w:r>
        <w:separator/>
      </w:r>
    </w:p>
  </w:footnote>
  <w:footnote w:type="continuationSeparator" w:id="0">
    <w:p w14:paraId="05B668EC" w14:textId="77777777" w:rsidR="00DC70D3" w:rsidRDefault="00DC70D3" w:rsidP="00B636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64E"/>
    <w:rsid w:val="000363A4"/>
    <w:rsid w:val="000825A3"/>
    <w:rsid w:val="000B6584"/>
    <w:rsid w:val="000D3EA5"/>
    <w:rsid w:val="001220BD"/>
    <w:rsid w:val="001A672E"/>
    <w:rsid w:val="001B0701"/>
    <w:rsid w:val="001E422D"/>
    <w:rsid w:val="00212C6D"/>
    <w:rsid w:val="002A1006"/>
    <w:rsid w:val="002C74AB"/>
    <w:rsid w:val="003C5FBC"/>
    <w:rsid w:val="003D4A08"/>
    <w:rsid w:val="003F0CCD"/>
    <w:rsid w:val="00422726"/>
    <w:rsid w:val="004A3913"/>
    <w:rsid w:val="00521228"/>
    <w:rsid w:val="00557E4C"/>
    <w:rsid w:val="005B234D"/>
    <w:rsid w:val="005D1707"/>
    <w:rsid w:val="00645FE0"/>
    <w:rsid w:val="006F53FF"/>
    <w:rsid w:val="00705BA4"/>
    <w:rsid w:val="007336AE"/>
    <w:rsid w:val="00747BAF"/>
    <w:rsid w:val="00764374"/>
    <w:rsid w:val="007C171F"/>
    <w:rsid w:val="007C6227"/>
    <w:rsid w:val="00922246"/>
    <w:rsid w:val="00A51122"/>
    <w:rsid w:val="00B1607E"/>
    <w:rsid w:val="00B6364E"/>
    <w:rsid w:val="00B735EE"/>
    <w:rsid w:val="00BF6885"/>
    <w:rsid w:val="00C54B26"/>
    <w:rsid w:val="00C876CF"/>
    <w:rsid w:val="00C9796E"/>
    <w:rsid w:val="00D41773"/>
    <w:rsid w:val="00D428D6"/>
    <w:rsid w:val="00DA3689"/>
    <w:rsid w:val="00DC70D3"/>
    <w:rsid w:val="00EA62B2"/>
    <w:rsid w:val="00EC7529"/>
    <w:rsid w:val="00EE7FFE"/>
    <w:rsid w:val="00F46A09"/>
    <w:rsid w:val="00FD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A429F7"/>
  <w15:chartTrackingRefBased/>
  <w15:docId w15:val="{17C6B631-61F4-8F4B-8188-6E285C99E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64E"/>
    <w:pPr>
      <w:spacing w:after="0" w:line="240" w:lineRule="auto"/>
    </w:pPr>
  </w:style>
  <w:style w:type="paragraph" w:styleId="Heading1">
    <w:name w:val="heading 1"/>
    <w:basedOn w:val="Normal"/>
    <w:next w:val="Normal"/>
    <w:link w:val="Heading1Char"/>
    <w:uiPriority w:val="9"/>
    <w:qFormat/>
    <w:rsid w:val="00B636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36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36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36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36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36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36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6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36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6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36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36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36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36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3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64E"/>
    <w:rPr>
      <w:rFonts w:eastAsiaTheme="majorEastAsia" w:cstheme="majorBidi"/>
      <w:color w:val="272727" w:themeColor="text1" w:themeTint="D8"/>
    </w:rPr>
  </w:style>
  <w:style w:type="paragraph" w:styleId="Title">
    <w:name w:val="Title"/>
    <w:basedOn w:val="Normal"/>
    <w:next w:val="Normal"/>
    <w:link w:val="TitleChar"/>
    <w:uiPriority w:val="10"/>
    <w:qFormat/>
    <w:rsid w:val="00B636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6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3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64E"/>
    <w:pPr>
      <w:spacing w:before="160"/>
      <w:jc w:val="center"/>
    </w:pPr>
    <w:rPr>
      <w:i/>
      <w:iCs/>
      <w:color w:val="404040" w:themeColor="text1" w:themeTint="BF"/>
    </w:rPr>
  </w:style>
  <w:style w:type="character" w:customStyle="1" w:styleId="QuoteChar">
    <w:name w:val="Quote Char"/>
    <w:basedOn w:val="DefaultParagraphFont"/>
    <w:link w:val="Quote"/>
    <w:uiPriority w:val="29"/>
    <w:rsid w:val="00B6364E"/>
    <w:rPr>
      <w:i/>
      <w:iCs/>
      <w:color w:val="404040" w:themeColor="text1" w:themeTint="BF"/>
    </w:rPr>
  </w:style>
  <w:style w:type="paragraph" w:styleId="ListParagraph">
    <w:name w:val="List Paragraph"/>
    <w:basedOn w:val="Normal"/>
    <w:uiPriority w:val="34"/>
    <w:qFormat/>
    <w:rsid w:val="00B6364E"/>
    <w:pPr>
      <w:ind w:left="720"/>
      <w:contextualSpacing/>
    </w:pPr>
  </w:style>
  <w:style w:type="character" w:styleId="IntenseEmphasis">
    <w:name w:val="Intense Emphasis"/>
    <w:basedOn w:val="DefaultParagraphFont"/>
    <w:uiPriority w:val="21"/>
    <w:qFormat/>
    <w:rsid w:val="00B6364E"/>
    <w:rPr>
      <w:i/>
      <w:iCs/>
      <w:color w:val="2F5496" w:themeColor="accent1" w:themeShade="BF"/>
    </w:rPr>
  </w:style>
  <w:style w:type="paragraph" w:styleId="IntenseQuote">
    <w:name w:val="Intense Quote"/>
    <w:basedOn w:val="Normal"/>
    <w:next w:val="Normal"/>
    <w:link w:val="IntenseQuoteChar"/>
    <w:uiPriority w:val="30"/>
    <w:qFormat/>
    <w:rsid w:val="00B636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364E"/>
    <w:rPr>
      <w:i/>
      <w:iCs/>
      <w:color w:val="2F5496" w:themeColor="accent1" w:themeShade="BF"/>
    </w:rPr>
  </w:style>
  <w:style w:type="character" w:styleId="IntenseReference">
    <w:name w:val="Intense Reference"/>
    <w:basedOn w:val="DefaultParagraphFont"/>
    <w:uiPriority w:val="32"/>
    <w:qFormat/>
    <w:rsid w:val="00B6364E"/>
    <w:rPr>
      <w:b/>
      <w:bCs/>
      <w:smallCaps/>
      <w:color w:val="2F5496" w:themeColor="accent1" w:themeShade="BF"/>
      <w:spacing w:val="5"/>
    </w:rPr>
  </w:style>
  <w:style w:type="paragraph" w:styleId="Footer">
    <w:name w:val="footer"/>
    <w:basedOn w:val="Normal"/>
    <w:link w:val="FooterChar"/>
    <w:uiPriority w:val="99"/>
    <w:unhideWhenUsed/>
    <w:rsid w:val="00B6364E"/>
    <w:pPr>
      <w:tabs>
        <w:tab w:val="center" w:pos="4680"/>
        <w:tab w:val="right" w:pos="9360"/>
      </w:tabs>
    </w:pPr>
  </w:style>
  <w:style w:type="character" w:customStyle="1" w:styleId="FooterChar">
    <w:name w:val="Footer Char"/>
    <w:basedOn w:val="DefaultParagraphFont"/>
    <w:link w:val="Footer"/>
    <w:uiPriority w:val="99"/>
    <w:rsid w:val="00B6364E"/>
  </w:style>
  <w:style w:type="character" w:styleId="PageNumber">
    <w:name w:val="page number"/>
    <w:basedOn w:val="DefaultParagraphFont"/>
    <w:uiPriority w:val="99"/>
    <w:semiHidden/>
    <w:unhideWhenUsed/>
    <w:rsid w:val="00B6364E"/>
  </w:style>
  <w:style w:type="paragraph" w:styleId="Header">
    <w:name w:val="header"/>
    <w:basedOn w:val="Normal"/>
    <w:link w:val="HeaderChar"/>
    <w:uiPriority w:val="99"/>
    <w:unhideWhenUsed/>
    <w:rsid w:val="00B6364E"/>
    <w:pPr>
      <w:tabs>
        <w:tab w:val="center" w:pos="4680"/>
        <w:tab w:val="right" w:pos="9360"/>
      </w:tabs>
    </w:pPr>
  </w:style>
  <w:style w:type="character" w:customStyle="1" w:styleId="HeaderChar">
    <w:name w:val="Header Char"/>
    <w:basedOn w:val="DefaultParagraphFont"/>
    <w:link w:val="Header"/>
    <w:uiPriority w:val="99"/>
    <w:rsid w:val="00B6364E"/>
  </w:style>
  <w:style w:type="character" w:styleId="Hyperlink">
    <w:name w:val="Hyperlink"/>
    <w:basedOn w:val="DefaultParagraphFont"/>
    <w:uiPriority w:val="99"/>
    <w:unhideWhenUsed/>
    <w:rsid w:val="005D1707"/>
    <w:rPr>
      <w:color w:val="0563C1" w:themeColor="hyperlink"/>
      <w:u w:val="single"/>
    </w:rPr>
  </w:style>
  <w:style w:type="character" w:styleId="UnresolvedMention">
    <w:name w:val="Unresolved Mention"/>
    <w:basedOn w:val="DefaultParagraphFont"/>
    <w:uiPriority w:val="99"/>
    <w:semiHidden/>
    <w:unhideWhenUsed/>
    <w:rsid w:val="005D1707"/>
    <w:rPr>
      <w:color w:val="605E5C"/>
      <w:shd w:val="clear" w:color="auto" w:fill="E1DFDD"/>
    </w:rPr>
  </w:style>
  <w:style w:type="character" w:styleId="FollowedHyperlink">
    <w:name w:val="FollowedHyperlink"/>
    <w:basedOn w:val="DefaultParagraphFont"/>
    <w:uiPriority w:val="99"/>
    <w:semiHidden/>
    <w:unhideWhenUsed/>
    <w:rsid w:val="00B735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verse.unc.edu/dataset.xhtml?persistentId=doi:10.15139/S3/GUWP3K&amp;version=DRAF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lona_jaspers@med.unc.edu" TargetMode="External"/><Relationship Id="rId12" Type="http://schemas.openxmlformats.org/officeDocument/2006/relationships/image" Target="media/image3.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s://github.com/UNC-CEMALB/Transcriptomic-and-Functional-Responses-of-Human-Airway-Cells-to-Vaped-8-THC-and-its-Oxidation..."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4BD81-C57E-334E-8F3D-90F2A7CC1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15588</Words>
  <Characters>89320</Characters>
  <Application>Microsoft Office Word</Application>
  <DocSecurity>0</DocSecurity>
  <Lines>1540</Lines>
  <Paragraphs>266</Paragraphs>
  <ScaleCrop>false</ScaleCrop>
  <Company/>
  <LinksUpToDate>false</LinksUpToDate>
  <CharactersWithSpaces>104642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 Charlotte Ann</dc:creator>
  <cp:keywords/>
  <dc:description/>
  <cp:lastModifiedBy>Love, Charlotte Ann</cp:lastModifiedBy>
  <cp:revision>41</cp:revision>
  <dcterms:created xsi:type="dcterms:W3CDTF">2026-01-09T17:22:00Z</dcterms:created>
  <dcterms:modified xsi:type="dcterms:W3CDTF">2026-01-15T14:47:00Z</dcterms:modified>
</cp:coreProperties>
</file>