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Additional file 2. Critical appraisal summary (pragmatic)</w:t>
      </w:r>
    </w:p>
    <w:p>
      <w:r>
        <w:rPr>
          <w:b w:val="0"/>
          <w:i w:val="0"/>
        </w:rPr>
        <w:t>Note: Critical appraisal is not used to exclude sources in this scoping review; it is provided to support interpretation. Peer-reviewed observational studies were appraised with AXIS (where applicable) and grey literature reports with AACODS.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Source</w:t>
            </w:r>
          </w:p>
        </w:tc>
        <w:tc>
          <w:tcPr>
            <w:tcW w:type="dxa" w:w="1234"/>
          </w:tcPr>
          <w:p>
            <w:r>
              <w:t>Type</w:t>
            </w:r>
          </w:p>
        </w:tc>
        <w:tc>
          <w:tcPr>
            <w:tcW w:type="dxa" w:w="1234"/>
          </w:tcPr>
          <w:p>
            <w:r>
              <w:t>Tool</w:t>
            </w:r>
          </w:p>
        </w:tc>
        <w:tc>
          <w:tcPr>
            <w:tcW w:type="dxa" w:w="1234"/>
          </w:tcPr>
          <w:p>
            <w:r>
              <w:t>Overall appraisal</w:t>
            </w:r>
          </w:p>
        </w:tc>
        <w:tc>
          <w:tcPr>
            <w:tcW w:type="dxa" w:w="1234"/>
          </w:tcPr>
          <w:p>
            <w:r>
              <w:t>Key strengths</w:t>
            </w:r>
          </w:p>
        </w:tc>
        <w:tc>
          <w:tcPr>
            <w:tcW w:type="dxa" w:w="1234"/>
          </w:tcPr>
          <w:p>
            <w:r>
              <w:t>Key limitations / bias concerns</w:t>
            </w:r>
          </w:p>
        </w:tc>
        <w:tc>
          <w:tcPr>
            <w:tcW w:type="dxa" w:w="1234"/>
          </w:tcPr>
          <w:p>
            <w:r>
              <w:t>Use in synthesis</w:t>
            </w:r>
          </w:p>
        </w:tc>
      </w:tr>
      <w:tr>
        <w:tc>
          <w:tcPr>
            <w:tcW w:type="dxa" w:w="1234"/>
          </w:tcPr>
          <w:p>
            <w:r>
              <w:t>Spiegel &amp; Yassi (2004)</w:t>
            </w:r>
          </w:p>
        </w:tc>
        <w:tc>
          <w:tcPr>
            <w:tcW w:type="dxa" w:w="1234"/>
          </w:tcPr>
          <w:p>
            <w:r>
              <w:t>Peer-reviewed</w:t>
            </w:r>
          </w:p>
        </w:tc>
        <w:tc>
          <w:tcPr>
            <w:tcW w:type="dxa" w:w="1234"/>
          </w:tcPr>
          <w:p>
            <w:r>
              <w:t>Narrative/AXIS (policy analysis)</w:t>
            </w:r>
          </w:p>
        </w:tc>
        <w:tc>
          <w:tcPr>
            <w:tcW w:type="dxa" w:w="1234"/>
          </w:tcPr>
          <w:p>
            <w:r>
              <w:t>Moderate–High</w:t>
            </w:r>
          </w:p>
        </w:tc>
        <w:tc>
          <w:tcPr>
            <w:tcW w:type="dxa" w:w="1234"/>
          </w:tcPr>
          <w:p>
            <w:r>
              <w:t>Clear policy context; coherent argumentation; multiple indicators referenced</w:t>
            </w:r>
          </w:p>
        </w:tc>
        <w:tc>
          <w:tcPr>
            <w:tcW w:type="dxa" w:w="1234"/>
          </w:tcPr>
          <w:p>
            <w:r>
              <w:t>Limited causal identification; some outcomes indirect</w:t>
            </w:r>
          </w:p>
        </w:tc>
        <w:tc>
          <w:tcPr>
            <w:tcW w:type="dxa" w:w="1234"/>
          </w:tcPr>
          <w:p>
            <w:r>
              <w:t>Used for resilience mechanisms in Cuba</w:t>
            </w:r>
          </w:p>
        </w:tc>
      </w:tr>
      <w:tr>
        <w:tc>
          <w:tcPr>
            <w:tcW w:type="dxa" w:w="1234"/>
          </w:tcPr>
          <w:p>
            <w:r>
              <w:t>Drain &amp; Barry (2010)</w:t>
            </w:r>
          </w:p>
        </w:tc>
        <w:tc>
          <w:tcPr>
            <w:tcW w:type="dxa" w:w="1234"/>
          </w:tcPr>
          <w:p>
            <w:r>
              <w:t>Peer-reviewed (commentary/review)</w:t>
            </w:r>
          </w:p>
        </w:tc>
        <w:tc>
          <w:tcPr>
            <w:tcW w:type="dxa" w:w="1234"/>
          </w:tcPr>
          <w:p>
            <w:r>
              <w:t>Narrative appraisal (transparency, referencing)</w:t>
            </w:r>
          </w:p>
        </w:tc>
        <w:tc>
          <w:tcPr>
            <w:tcW w:type="dxa" w:w="1234"/>
          </w:tcPr>
          <w:p>
            <w:r>
              <w:t>Moderate</w:t>
            </w:r>
          </w:p>
        </w:tc>
        <w:tc>
          <w:tcPr>
            <w:tcW w:type="dxa" w:w="1234"/>
          </w:tcPr>
          <w:p>
            <w:r>
              <w:t>Synthesizes embargo implications with outcome data</w:t>
            </w:r>
          </w:p>
        </w:tc>
        <w:tc>
          <w:tcPr>
            <w:tcW w:type="dxa" w:w="1234"/>
          </w:tcPr>
          <w:p>
            <w:r>
              <w:t>Not a systematic review; selection may be non-exhaustive</w:t>
            </w:r>
          </w:p>
        </w:tc>
        <w:tc>
          <w:tcPr>
            <w:tcW w:type="dxa" w:w="1234"/>
          </w:tcPr>
          <w:p>
            <w:r>
              <w:t>Contextualizes health-outcome paradox under embargo</w:t>
            </w:r>
          </w:p>
        </w:tc>
      </w:tr>
      <w:tr>
        <w:tc>
          <w:tcPr>
            <w:tcW w:type="dxa" w:w="1234"/>
          </w:tcPr>
          <w:p>
            <w:r>
              <w:t>Ali &amp; Shah (2000)</w:t>
            </w:r>
          </w:p>
        </w:tc>
        <w:tc>
          <w:tcPr>
            <w:tcW w:type="dxa" w:w="1234"/>
          </w:tcPr>
          <w:p>
            <w:r>
              <w:t>Peer-reviewed</w:t>
            </w:r>
          </w:p>
        </w:tc>
        <w:tc>
          <w:tcPr>
            <w:tcW w:type="dxa" w:w="1234"/>
          </w:tcPr>
          <w:p>
            <w:r>
              <w:t>AXIS (survey analysis)</w:t>
            </w:r>
          </w:p>
        </w:tc>
        <w:tc>
          <w:tcPr>
            <w:tcW w:type="dxa" w:w="1234"/>
          </w:tcPr>
          <w:p>
            <w:r>
              <w:t>Moderate</w:t>
            </w:r>
          </w:p>
        </w:tc>
        <w:tc>
          <w:tcPr>
            <w:tcW w:type="dxa" w:w="1234"/>
          </w:tcPr>
          <w:p>
            <w:r>
              <w:t>Empirical analysis of mortality patterns; clear exposure period</w:t>
            </w:r>
          </w:p>
        </w:tc>
        <w:tc>
          <w:tcPr>
            <w:tcW w:type="dxa" w:w="1234"/>
          </w:tcPr>
          <w:p>
            <w:r>
              <w:t>Confounding by war and data quality debates</w:t>
            </w:r>
          </w:p>
        </w:tc>
        <w:tc>
          <w:tcPr>
            <w:tcW w:type="dxa" w:w="1234"/>
          </w:tcPr>
          <w:p>
            <w:r>
              <w:t>Used for Iraq mortality/system deterioration signals</w:t>
            </w:r>
          </w:p>
        </w:tc>
      </w:tr>
      <w:tr>
        <w:tc>
          <w:tcPr>
            <w:tcW w:type="dxa" w:w="1234"/>
          </w:tcPr>
          <w:p>
            <w:r>
              <w:t>Daponte &amp; Garfield (2000)</w:t>
            </w:r>
          </w:p>
        </w:tc>
        <w:tc>
          <w:tcPr>
            <w:tcW w:type="dxa" w:w="1234"/>
          </w:tcPr>
          <w:p>
            <w:r>
              <w:t>Peer-reviewed</w:t>
            </w:r>
          </w:p>
        </w:tc>
        <w:tc>
          <w:tcPr>
            <w:tcW w:type="dxa" w:w="1234"/>
          </w:tcPr>
          <w:p>
            <w:r>
              <w:t>AXIS (demographic analysis)</w:t>
            </w:r>
          </w:p>
        </w:tc>
        <w:tc>
          <w:tcPr>
            <w:tcW w:type="dxa" w:w="1234"/>
          </w:tcPr>
          <w:p>
            <w:r>
              <w:t>Moderate</w:t>
            </w:r>
          </w:p>
        </w:tc>
        <w:tc>
          <w:tcPr>
            <w:tcW w:type="dxa" w:w="1234"/>
          </w:tcPr>
          <w:p>
            <w:r>
              <w:t>Transparent methods; sensitivity to data sources</w:t>
            </w:r>
          </w:p>
        </w:tc>
        <w:tc>
          <w:tcPr>
            <w:tcW w:type="dxa" w:w="1234"/>
          </w:tcPr>
          <w:p>
            <w:r>
              <w:t>Residual uncertainty in estimates; confounding</w:t>
            </w:r>
          </w:p>
        </w:tc>
        <w:tc>
          <w:tcPr>
            <w:tcW w:type="dxa" w:w="1234"/>
          </w:tcPr>
          <w:p>
            <w:r>
              <w:t>Used to triangulate Iraq mortality impacts</w:t>
            </w:r>
          </w:p>
        </w:tc>
      </w:tr>
      <w:tr>
        <w:tc>
          <w:tcPr>
            <w:tcW w:type="dxa" w:w="1234"/>
          </w:tcPr>
          <w:p>
            <w:r>
              <w:t>Gibbons &amp; Garfield (1999)</w:t>
            </w:r>
          </w:p>
        </w:tc>
        <w:tc>
          <w:tcPr>
            <w:tcW w:type="dxa" w:w="1234"/>
          </w:tcPr>
          <w:p>
            <w:r>
              <w:t>Peer-reviewed</w:t>
            </w:r>
          </w:p>
        </w:tc>
        <w:tc>
          <w:tcPr>
            <w:tcW w:type="dxa" w:w="1234"/>
          </w:tcPr>
          <w:p>
            <w:r>
              <w:t>AXIS</w:t>
            </w:r>
          </w:p>
        </w:tc>
        <w:tc>
          <w:tcPr>
            <w:tcW w:type="dxa" w:w="1234"/>
          </w:tcPr>
          <w:p>
            <w:r>
              <w:t>Moderate</w:t>
            </w:r>
          </w:p>
        </w:tc>
        <w:tc>
          <w:tcPr>
            <w:tcW w:type="dxa" w:w="1234"/>
          </w:tcPr>
          <w:p>
            <w:r>
              <w:t>Links embargo period to measurable outcomes; clear timeframe</w:t>
            </w:r>
          </w:p>
        </w:tc>
        <w:tc>
          <w:tcPr>
            <w:tcW w:type="dxa" w:w="1234"/>
          </w:tcPr>
          <w:p>
            <w:r>
              <w:t>Observational design; attribution challenges</w:t>
            </w:r>
          </w:p>
        </w:tc>
        <w:tc>
          <w:tcPr>
            <w:tcW w:type="dxa" w:w="1234"/>
          </w:tcPr>
          <w:p>
            <w:r>
              <w:t>Used for Haiti service and mortality impacts</w:t>
            </w:r>
          </w:p>
        </w:tc>
      </w:tr>
      <w:tr>
        <w:tc>
          <w:tcPr>
            <w:tcW w:type="dxa" w:w="1234"/>
          </w:tcPr>
          <w:p>
            <w:r>
              <w:t>Coovadia et al. (2009)</w:t>
            </w:r>
          </w:p>
        </w:tc>
        <w:tc>
          <w:tcPr>
            <w:tcW w:type="dxa" w:w="1234"/>
          </w:tcPr>
          <w:p>
            <w:r>
              <w:t>Peer-reviewed</w:t>
            </w:r>
          </w:p>
        </w:tc>
        <w:tc>
          <w:tcPr>
            <w:tcW w:type="dxa" w:w="1234"/>
          </w:tcPr>
          <w:p>
            <w:r>
              <w:t>Narrative appraisal (policy/historical)</w:t>
            </w:r>
          </w:p>
        </w:tc>
        <w:tc>
          <w:tcPr>
            <w:tcW w:type="dxa" w:w="1234"/>
          </w:tcPr>
          <w:p>
            <w:r>
              <w:t>Moderate</w:t>
            </w:r>
          </w:p>
        </w:tc>
        <w:tc>
          <w:tcPr>
            <w:tcW w:type="dxa" w:w="1234"/>
          </w:tcPr>
          <w:p>
            <w:r>
              <w:t>High-quality synthesis; credible data sources</w:t>
            </w:r>
          </w:p>
        </w:tc>
        <w:tc>
          <w:tcPr>
            <w:tcW w:type="dxa" w:w="1234"/>
          </w:tcPr>
          <w:p>
            <w:r>
              <w:t>Not sanctions-specific; complex political economy</w:t>
            </w:r>
          </w:p>
        </w:tc>
        <w:tc>
          <w:tcPr>
            <w:tcW w:type="dxa" w:w="1234"/>
          </w:tcPr>
          <w:p>
            <w:r>
              <w:t>Used for governance/inequity lessons</w:t>
            </w:r>
          </w:p>
        </w:tc>
      </w:tr>
      <w:tr>
        <w:tc>
          <w:tcPr>
            <w:tcW w:type="dxa" w:w="1234"/>
          </w:tcPr>
          <w:p>
            <w:r>
              <w:t>Qirbi &amp; Ismail (2017)</w:t>
            </w:r>
          </w:p>
        </w:tc>
        <w:tc>
          <w:tcPr>
            <w:tcW w:type="dxa" w:w="1234"/>
          </w:tcPr>
          <w:p>
            <w:r>
              <w:t>Peer-reviewed</w:t>
            </w:r>
          </w:p>
        </w:tc>
        <w:tc>
          <w:tcPr>
            <w:tcW w:type="dxa" w:w="1234"/>
          </w:tcPr>
          <w:p>
            <w:r>
              <w:t>Narrative/AXIS (case study)</w:t>
            </w:r>
          </w:p>
        </w:tc>
        <w:tc>
          <w:tcPr>
            <w:tcW w:type="dxa" w:w="1234"/>
          </w:tcPr>
          <w:p>
            <w:r>
              <w:t>Moderate–High</w:t>
            </w:r>
          </w:p>
        </w:tc>
        <w:tc>
          <w:tcPr>
            <w:tcW w:type="dxa" w:w="1234"/>
          </w:tcPr>
          <w:p>
            <w:r>
              <w:t>System framework; clear pre/post conflict comparisons</w:t>
            </w:r>
          </w:p>
        </w:tc>
        <w:tc>
          <w:tcPr>
            <w:tcW w:type="dxa" w:w="1234"/>
          </w:tcPr>
          <w:p>
            <w:r>
              <w:t>Conflict co-exposures; limited sanctions attribution</w:t>
            </w:r>
          </w:p>
        </w:tc>
        <w:tc>
          <w:tcPr>
            <w:tcW w:type="dxa" w:w="1234"/>
          </w:tcPr>
          <w:p>
            <w:r>
              <w:t>Used for Yemen health system pathways</w:t>
            </w:r>
          </w:p>
        </w:tc>
      </w:tr>
      <w:tr>
        <w:tc>
          <w:tcPr>
            <w:tcW w:type="dxa" w:w="1234"/>
          </w:tcPr>
          <w:p>
            <w:r>
              <w:t>Safi et al. (2020)</w:t>
            </w:r>
          </w:p>
        </w:tc>
        <w:tc>
          <w:tcPr>
            <w:tcW w:type="dxa" w:w="1234"/>
          </w:tcPr>
          <w:p>
            <w:r>
              <w:t>Peer-reviewed</w:t>
            </w:r>
          </w:p>
        </w:tc>
        <w:tc>
          <w:tcPr>
            <w:tcW w:type="dxa" w:w="1234"/>
          </w:tcPr>
          <w:p>
            <w:r>
              <w:t>AXIS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Robust geospatial methods; clear outputs</w:t>
            </w:r>
          </w:p>
        </w:tc>
        <w:tc>
          <w:tcPr>
            <w:tcW w:type="dxa" w:w="1234"/>
          </w:tcPr>
          <w:p>
            <w:r>
              <w:t>Access proxy limitations</w:t>
            </w:r>
          </w:p>
        </w:tc>
        <w:tc>
          <w:tcPr>
            <w:tcW w:type="dxa" w:w="1234"/>
          </w:tcPr>
          <w:p>
            <w:r>
              <w:t>Used for Yemen access/service availability mapping</w:t>
            </w:r>
          </w:p>
        </w:tc>
      </w:tr>
      <w:tr>
        <w:tc>
          <w:tcPr>
            <w:tcW w:type="dxa" w:w="1234"/>
          </w:tcPr>
          <w:p>
            <w:r>
              <w:t>World Bank (2021)</w:t>
            </w:r>
          </w:p>
        </w:tc>
        <w:tc>
          <w:tcPr>
            <w:tcW w:type="dxa" w:w="1234"/>
          </w:tcPr>
          <w:p>
            <w:r>
              <w:t>Grey literature (institutional report)</w:t>
            </w:r>
          </w:p>
        </w:tc>
        <w:tc>
          <w:tcPr>
            <w:tcW w:type="dxa" w:w="1234"/>
          </w:tcPr>
          <w:p>
            <w:r>
              <w:t>AACODS</w:t>
            </w:r>
          </w:p>
        </w:tc>
        <w:tc>
          <w:tcPr>
            <w:tcW w:type="dxa" w:w="1234"/>
          </w:tcPr>
          <w:p>
            <w:r>
              <w:t>High</w:t>
            </w:r>
          </w:p>
        </w:tc>
        <w:tc>
          <w:tcPr>
            <w:tcW w:type="dxa" w:w="1234"/>
          </w:tcPr>
          <w:p>
            <w:r>
              <w:t>Authoritative source; clear policy framing; documented methods</w:t>
            </w:r>
          </w:p>
        </w:tc>
        <w:tc>
          <w:tcPr>
            <w:tcW w:type="dxa" w:w="1234"/>
          </w:tcPr>
          <w:p>
            <w:r>
              <w:t>Not primarily designed as sanctions study</w:t>
            </w:r>
          </w:p>
        </w:tc>
        <w:tc>
          <w:tcPr>
            <w:tcW w:type="dxa" w:w="1234"/>
          </w:tcPr>
          <w:p>
            <w:r>
              <w:t>Used for Yemen financing/system constraints</w:t>
            </w:r>
          </w:p>
        </w:tc>
      </w:tr>
      <w:tr>
        <w:tc>
          <w:tcPr>
            <w:tcW w:type="dxa" w:w="1234"/>
          </w:tcPr>
          <w:p>
            <w:r>
              <w:t>OMCT (2022)</w:t>
            </w:r>
          </w:p>
        </w:tc>
        <w:tc>
          <w:tcPr>
            <w:tcW w:type="dxa" w:w="1234"/>
          </w:tcPr>
          <w:p>
            <w:r>
              <w:t>Grey literature (advocacy report)</w:t>
            </w:r>
          </w:p>
        </w:tc>
        <w:tc>
          <w:tcPr>
            <w:tcW w:type="dxa" w:w="1234"/>
          </w:tcPr>
          <w:p>
            <w:r>
              <w:t>AACODS</w:t>
            </w:r>
          </w:p>
        </w:tc>
        <w:tc>
          <w:tcPr>
            <w:tcW w:type="dxa" w:w="1234"/>
          </w:tcPr>
          <w:p>
            <w:r>
              <w:t>Moderate</w:t>
            </w:r>
          </w:p>
        </w:tc>
        <w:tc>
          <w:tcPr>
            <w:tcW w:type="dxa" w:w="1234"/>
          </w:tcPr>
          <w:p>
            <w:r>
              <w:t>Detailed documentation; triangulates humanitarian sources</w:t>
            </w:r>
          </w:p>
        </w:tc>
        <w:tc>
          <w:tcPr>
            <w:tcW w:type="dxa" w:w="1234"/>
          </w:tcPr>
          <w:p>
            <w:r>
              <w:t>Advocacy framing; limited primary empirical data</w:t>
            </w:r>
          </w:p>
        </w:tc>
        <w:tc>
          <w:tcPr>
            <w:tcW w:type="dxa" w:w="1234"/>
          </w:tcPr>
          <w:p>
            <w:r>
              <w:t>Used for blockade mechanisms affecting goods/humanitarian access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