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4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1163"/>
        <w:gridCol w:w="1997"/>
        <w:gridCol w:w="1997"/>
        <w:gridCol w:w="1997"/>
        <w:gridCol w:w="1214"/>
        <w:gridCol w:w="1996"/>
      </w:tblGrid>
      <w:tr w14:paraId="34ADA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9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7D74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Table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S10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Association between the RCII and stroke incidence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after excluding participants with not fasting.</w:t>
            </w:r>
          </w:p>
        </w:tc>
      </w:tr>
      <w:tr w14:paraId="59EF8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C0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RCII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E3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F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Continuous</w:t>
            </w:r>
          </w:p>
        </w:tc>
      </w:tr>
      <w:tr w14:paraId="151B3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56DD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C1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93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C6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9F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B1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47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</w:tr>
      <w:tr w14:paraId="5E226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3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Crude,HR(95%CI)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8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6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1.339(1.027,1.748)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1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1.679(1.302,2.164)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4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2.114(1.655,2.700)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4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9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1.197(1.133,1.265)</w:t>
            </w:r>
          </w:p>
        </w:tc>
      </w:tr>
      <w:tr w14:paraId="0F389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7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Model1,HR(95%CI)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D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D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1.317(1.009,1.718)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B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1.626(1.261,2.098)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6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2.044(1.598,2.615)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B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2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1.189(1.124,1.257)</w:t>
            </w:r>
          </w:p>
        </w:tc>
      </w:tr>
      <w:tr w14:paraId="0CEB6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FD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Model2,HR(95%CI)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C4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68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1.177(0.899,1.540)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A8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1.213(0.931,1.581)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61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1.393(1.067,1.818)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9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21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1.110(1.044,1.182)</w:t>
            </w:r>
          </w:p>
        </w:tc>
      </w:tr>
    </w:tbl>
    <w:p w14:paraId="0BAE5C1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Crude: unadjusted for any covariates;</w:t>
      </w:r>
    </w:p>
    <w:p w14:paraId="7C393A0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Model 1: adjusted for age, gender, smoking status, drinking status, residence, education level and marital status; </w:t>
      </w:r>
    </w:p>
    <w:p w14:paraId="7A40C43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Model 2: adjusted for variables included in Model 2 and SBP, DBP, BMI, hypertension, dyslipidemia, diabetes, liver disease and kidney disease.</w:t>
      </w:r>
    </w:p>
    <w:p w14:paraId="11DA930A"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en-US"/>
        </w:rPr>
      </w:pPr>
      <w:r>
        <w:rPr>
          <w:rFonts w:hint="default" w:ascii="Times New Roman" w:hAnsi="Times New Roman" w:cs="Times New Roman" w:eastAsiaTheme="minorEastAsia"/>
          <w:lang w:eastAsia="zh-CN"/>
        </w:rPr>
        <w:t>Abbreviations: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BMI, body mass index; SBP, systolic blood pressure; DBP, diastolic blood pressure; RCII: Residual cholesterol inflammatory index; HR, Hazard ratio; CI, confidence interval; SD, standard deviation.</w:t>
      </w:r>
    </w:p>
    <w:p w14:paraId="039F7F1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13070"/>
    <w:rsid w:val="1C4B12AC"/>
    <w:rsid w:val="24913070"/>
    <w:rsid w:val="377E52BC"/>
    <w:rsid w:val="38E6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920</Characters>
  <Lines>0</Lines>
  <Paragraphs>0</Paragraphs>
  <TotalTime>0</TotalTime>
  <ScaleCrop>false</ScaleCrop>
  <LinksUpToDate>false</LinksUpToDate>
  <CharactersWithSpaces>1005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2026-01-26T10:46:00Z</dcterms:created>
  <dc:creator>凌依落**历历</dc:creator>
  <cp:lastModifiedBy>凌依落**历历</cp:lastModifiedBy>
  <dcterms:modified xsi:type="dcterms:W3CDTF">2026-01-27T06:30:24Z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9A8D5B7E806245329DAEC9950667CE1C_11</vt:lpwstr>
  </property>
  <property fmtid="{D5CDD505-2E9C-101B-9397-08002B2CF9AE}" pid="4" name="KSOTemplateDocerSaveRecord">
    <vt:lpwstr>eyJoZGlkIjoiMTc3NzY5ZjNhOGZiZTc5NDE5YjIyN2QwYmNjZDI1Y2EiLCJ1c2VySWQiOiI1OTc3NjEzMDEifQ==</vt:lpwstr>
  </property>
</Properties>
</file>