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038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S17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Logistic regression analysis of the relationship between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RCII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and stroke incidence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according to glucose regulation state.</w:t>
      </w:r>
    </w:p>
    <w:tbl>
      <w:tblPr>
        <w:tblStyle w:val="2"/>
        <w:tblW w:w="8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785"/>
        <w:gridCol w:w="1920"/>
        <w:gridCol w:w="2040"/>
        <w:gridCol w:w="2040"/>
      </w:tblGrid>
      <w:tr w14:paraId="3E79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EF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GMS 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04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41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Crude,OR(95%CI)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4B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Model1,OR(95%CI)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A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Model2,OR(95%CI)</w:t>
            </w:r>
          </w:p>
        </w:tc>
      </w:tr>
      <w:tr w14:paraId="3472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5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NGR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0478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36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1.150(0.762,1.737)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1.119(0.739,1.692)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0.978(0.640,1.492)</w:t>
            </w:r>
          </w:p>
        </w:tc>
      </w:tr>
      <w:tr w14:paraId="50B5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1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1.599(1.081,2.376)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1.510(1.017,2.251)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1.157(0.766,1.753)</w:t>
            </w:r>
          </w:p>
        </w:tc>
      </w:tr>
      <w:tr w14:paraId="47F5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0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2.192(1.473,3.275)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2.076(1.391,3.111)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1.453(0.946,2.238)</w:t>
            </w:r>
          </w:p>
        </w:tc>
      </w:tr>
      <w:tr w14:paraId="6860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4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</w:tr>
      <w:tr w14:paraId="0D00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6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1.157(1.042,1.269)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1.145(1.029,1.259)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1.091(0.969,1.209)</w:t>
            </w:r>
          </w:p>
        </w:tc>
      </w:tr>
      <w:tr w14:paraId="6AEE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Pre-DM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0E3C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35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3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1.240(0.857,1.804)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1.237(0.853,1.804)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1.120(0.767,1.646)</w:t>
            </w:r>
          </w:p>
        </w:tc>
      </w:tr>
      <w:tr w14:paraId="3BB8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0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1.498(1.050,2.156)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1.488(1.040,2.148)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1.178(0.809,1.729)</w:t>
            </w:r>
          </w:p>
        </w:tc>
      </w:tr>
      <w:tr w14:paraId="0C9F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4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C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1.789(1.273,2.542)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1.774(1.258,2.529)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1.288(0.887,1.887)</w:t>
            </w:r>
          </w:p>
        </w:tc>
      </w:tr>
      <w:tr w14:paraId="46B4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64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</w:tr>
      <w:tr w14:paraId="6E0E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7B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1.219(1.115,1.325)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1.214(1.109,1.322)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1.148(1.042,1.257)</w:t>
            </w:r>
          </w:p>
        </w:tc>
      </w:tr>
      <w:tr w14:paraId="4D18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0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7CD7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F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1.221(0.584,2.652)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1.249(0.594,2.725)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1.172(0.547,2.599)</w:t>
            </w:r>
          </w:p>
        </w:tc>
      </w:tr>
      <w:tr w14:paraId="1DDF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690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1.709(0.890,3.506)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1.668(0.863,3.440)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1.306(0.656,2.759)</w:t>
            </w:r>
          </w:p>
        </w:tc>
      </w:tr>
      <w:tr w14:paraId="0213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F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1.941(1.055,3.869)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2.000(1.080,4.007)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2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1.441(0.739,3.009)</w:t>
            </w:r>
          </w:p>
        </w:tc>
      </w:tr>
      <w:tr w14:paraId="090D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0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</w:tr>
      <w:tr w14:paraId="6D95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17E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3C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0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1.212(1.036,1.401)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29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1.232(1.050,1.427)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0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1.159(0.972,1.362)</w:t>
            </w:r>
          </w:p>
        </w:tc>
      </w:tr>
      <w:bookmarkEnd w:id="0"/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267B441D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inflammatory index;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OR, odds ratio; CI, confidence interval; SD, standard deviation.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429A7"/>
    <w:rsid w:val="50C32A65"/>
    <w:rsid w:val="59D429A7"/>
    <w:rsid w:val="6E8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1680</Characters>
  <Lines>0</Lines>
  <Paragraphs>0</Paragraphs>
  <TotalTime>0</TotalTime>
  <ScaleCrop>false</ScaleCrop>
  <LinksUpToDate>false</LinksUpToDate>
  <CharactersWithSpaces>1790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2026-01-26T13:08:00Z</dcterms:created>
  <dc:creator>凌依落**历历</dc:creator>
  <cp:lastModifiedBy>凌依落**历历</cp:lastModifiedBy>
  <dcterms:modified xsi:type="dcterms:W3CDTF">2026-01-27T06:31:57Z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8B09DC11D88D43D1915F7558EC377144_11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