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CFA03"/>
    <w:p w14:paraId="13B9012F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 xml:space="preserve">Table 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. Baseline characteristics of the study population stratified by tertiles of Athero-Frailty Score (</w:t>
      </w:r>
      <w:r>
        <w:rPr>
          <w:rFonts w:hint="eastAsia"/>
          <w:b/>
          <w:bCs/>
          <w:lang w:val="en-US" w:eastAsia="zh-CN"/>
        </w:rPr>
        <w:t>AFS</w:t>
      </w:r>
      <w:r>
        <w:rPr>
          <w:rFonts w:hint="eastAsia"/>
          <w:b/>
          <w:bCs/>
        </w:rPr>
        <w:t>).</w:t>
      </w:r>
    </w:p>
    <w:bookmarkEnd w:id="0"/>
    <w:p w14:paraId="65551FFE">
      <w:pPr>
        <w:rPr>
          <w:rFonts w:hint="eastAsia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2611"/>
        <w:gridCol w:w="2611"/>
        <w:gridCol w:w="2611"/>
        <w:gridCol w:w="1181"/>
      </w:tblGrid>
      <w:tr w14:paraId="32CA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C3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16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T1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4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T2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A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T3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4F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p-value</w:t>
            </w:r>
          </w:p>
        </w:tc>
      </w:tr>
      <w:tr w14:paraId="0C733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B1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327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59.86 ± 8.25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60A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60.19 ± 8.60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EF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62.40 ± 8.65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092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4CE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482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D64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676 (55%)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7E3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575 (47%)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347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452 (37%)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34A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F6C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B5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  <w:t>Residential area (Urban)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FE3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416 (34%)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EBF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470 (38%)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7A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380 (31%)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2AF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713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569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Marital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S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D5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8FC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39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82C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0.073</w:t>
            </w:r>
          </w:p>
        </w:tc>
      </w:tr>
      <w:tr w14:paraId="4664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B5E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Married and living with a spouse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D7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1,080 (88%)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F43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1,068 (87%)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166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1,046 (85%)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67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6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112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Married but living without a spouse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DBF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38 (3.1%)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612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49 (4.0%)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830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38 (3.1%)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FAB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66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4E9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Single, divorced, and widowed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4E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112 (9.1%)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003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113 (9.2%)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E67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146 (12%)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AED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B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653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Education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511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455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0C2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313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A5F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3B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Elementary school or below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6BB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720 (59%)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DA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796 (65%)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3D4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902 (73%)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88D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6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24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Middle school or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FE2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510 (41%)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6A6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434 (35%)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123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328 (27%)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B32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C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CD7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Annual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Household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Expenditure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5F8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13,268.13 ± 20,959.44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2C5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13,666.01 ± 22,201.36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246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12,309.62 ± 18,065.25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974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0.240</w:t>
            </w:r>
          </w:p>
        </w:tc>
      </w:tr>
      <w:tr w14:paraId="04A0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13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Smoking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BE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601 (49%)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1DA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528 (43%)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8E8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481 (39%)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C1D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F92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08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Drinking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55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557 (45%)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546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448 (36%)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61D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328 (27%)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70B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0464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A46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BMI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kg/m²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F4F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23.99 ± 23.82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5D5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25.52 ± 27.69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94C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25.17 ± 6.53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8DE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9E3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AF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SBP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(mmHg)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324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123.60 ± 18.63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391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125.97 ± 18.60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9F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130.74 ± 20.17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4A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F58F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E0C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DBP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(mmHg)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CF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73.76 ± 11.23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567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74.80 ± 11.67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63D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76.39 ± 11.91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4F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8AE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E7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Number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of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chronic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conditions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84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EE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09C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6F6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261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A5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A5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470 (38%)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7D9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223 (18%)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9C9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68 (5.5%)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A45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7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118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AE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411 (33%)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B72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371 (30%)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192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239 (19%)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163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A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8DB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≥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E24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349 (28%)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E9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636 (52%)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686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923 (75%)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41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1C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262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Frailty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30B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B00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6B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E54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94B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46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Robust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(FI ≤ 0.10)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3B6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918 (75%)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A65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430 (35%)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E31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75 (6.1%)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19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A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959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Pre-frail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(0.10 &lt; FI &lt; 0.25)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6E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312 (25%)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D9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775 (63%)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2E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595 (48%)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19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1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672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Frail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(FI ≥ 0.25)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50D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 (0%)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9E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25 (2.0%)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9C6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560 (46%)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EFC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44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49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FI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898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0.07 ± 0.04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2C7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0.12 ± 0.06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BDD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0.26 ± 0.12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B73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E7D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BA3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cumAIP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C46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-0.75 ± 0.62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4CA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0.10 ± 0.72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E0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0.66 ± 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331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E7B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BB5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AIP (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2011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30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0.20 ± 0.15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BA4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0.40 ± 0.24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88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0.57 ± 0.36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15B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F78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02A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AIP (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2015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B8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0.23 ± 0.16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E6B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0.42 ± 0.22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931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0.56 ± 0.28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CEF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F31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76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FPG 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</w:rPr>
              <w:t>mmol/L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3F4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5.38 ± 1.45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7F0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5.68 ± 1.80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5D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6.12 ± 2.49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988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E21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E29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LDL-C 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</w:rPr>
              <w:t>mmol/L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30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2.64 ± 0.70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FAE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2.69 ± 0.74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EA7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2.62 ± 0.74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1CD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0.067</w:t>
            </w:r>
          </w:p>
        </w:tc>
      </w:tr>
      <w:tr w14:paraId="5DC2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89C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</w:rPr>
              <w:t>HDL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  <w:lang w:val="en-US" w:eastAsia="zh-CN"/>
              </w:rPr>
              <w:t>-C (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</w:rPr>
              <w:t>mmol/L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B00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1.46 ± 0.32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2E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1.30 ± 0.27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74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1.23 ± 0.27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116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EDB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96B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T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 (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</w:rPr>
              <w:t>mmol/L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04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4.68 ± 0.85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AC2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4.77 ± 0.90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59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4.89 ± 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77F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F21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77B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eGFR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(mL/min/1.73m²)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B36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91.40 ± 14.18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175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90.59 ± 15.38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F4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88.61 ± 16.15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D84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0DF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042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UA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(µmol/L)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A6C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281.34 ± 76.13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A94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290.86 ± 80.89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752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297.40 ± 85.65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D38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E77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ED4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BUN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</w:rPr>
              <w:t>mmol/L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278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5.68 ± 1.64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949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5.51 ± 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51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5.59 ± 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CE2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0.044</w:t>
            </w:r>
          </w:p>
        </w:tc>
      </w:tr>
      <w:tr w14:paraId="708A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7BB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CRP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(mg/L)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BD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1.88 ± 4.15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153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2.42 ± 4.41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B7D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3.47 ± 7.08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604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07D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7DC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TG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cs="Arial" w:asciiTheme="minorAscii" w:hAnsiTheme="minorAscii"/>
                <w:b w:val="0"/>
                <w:bCs/>
                <w:sz w:val="22"/>
                <w:szCs w:val="22"/>
              </w:rPr>
              <w:t>mmol/L</w:t>
            </w: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B1F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1.06 ± 0.43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80C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1.60 ± 0.82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101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 w:val="0"/>
                <w:bCs/>
                <w:sz w:val="24"/>
                <w:szCs w:val="24"/>
              </w:rPr>
              <w:t>2.18 ± 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83A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4B24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E3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Antihypertensive agents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09E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124 (10%)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0E8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296 (24%)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672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493 (40%)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452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8F7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C47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Antidiabetic agents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F43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24 (2.0%)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727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43 (3.5%)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97A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148 (12%)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48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FB8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3CF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Lipid-lowering agents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478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26 (2.1%)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CA8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78 (6.3%)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7D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195 (16%)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F99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EED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59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S</w:t>
            </w: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troke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37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19 (1.5%)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D1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43 (3.5%)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70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63 (5.1%)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2C7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bCs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</w:tbl>
    <w:p w14:paraId="5A5FF601"/>
    <w:p w14:paraId="78C0695F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Notes: Data are presented as mean ± standard deviation (SD) for continuous variables and as number (percentage) for categorical variables. P-values were calculated using one-way analysis of variance (ANOVA) or Kruskal-Wallis test for continuous variables, and Pearson’s chi-square test for categorical variables. All lipid profiles, glucose, and renal function markers were converted to SI units (mmol/L or µmol/L) for standardization. Abbreviations: cumAIP, cumulative atherogenic index of plasma; AIP, atherogenic index of plasma; BMI, body mass index; SBP, systolic blood pressure; DBP, diastolic blood pressure; FI, frailty index; FPG, fasting plasma glucose; TC, total cholesterol; TG, triglycerides; HDL-C, high-density lipoprotein cholesterol; LDL-C, low-density lipoprotein cholesterol; eGFR, estimated glomerular filtration rate; UA, uric acid; BUN, blood urea nitrogen; CRP, C-reactive protein. SI Unit Conversion Factors: Glucose (mg/dL to mmol/L: ×0.0555); Total Cholesterol, HDL-C, LDL-C (mg/dL to mmol/L: ×0.0259); Triglycerides (mg/dL to mmol/L: ×0.0113); Uric Acid (mg/dL to µmol/L: ×59.48); BUN (mg/dL to mmol/L: ×0.357).</w:t>
      </w:r>
    </w:p>
    <w:p w14:paraId="00040524"/>
    <w:sectPr>
      <w:type w:val="continuous"/>
      <w:pgSz w:w="16838" w:h="11906" w:orient="landscape"/>
      <w:pgMar w:top="1417" w:right="1417" w:bottom="1417" w:left="1417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B982212"/>
    <w:rsid w:val="323D18CF"/>
    <w:rsid w:val="3D017DA5"/>
    <w:rsid w:val="542637E0"/>
    <w:rsid w:val="56D07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2858</Characters>
  <Lines>0</Lines>
  <Paragraphs>0</Paragraphs>
  <TotalTime>0</TotalTime>
  <ScaleCrop>false</ScaleCrop>
  <LinksUpToDate>false</LinksUpToDate>
  <CharactersWithSpaces>3247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孙京先</dc:creator>
  <cp:lastModifiedBy>孙京先</cp:lastModifiedBy>
  <dcterms:modified xsi:type="dcterms:W3CDTF">2026-01-06T15:53:06Z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eyJoZGlkIjoiN2I0ZGUzOTRlODExZmUxYTg5YzZkNzYwYjRiZWNhMjkiLCJ1c2VySWQiOiIyNzE5OTU2MjgifQ==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69507341CECE4F47ADBF3041E5E95E82_12</vt:lpwstr>
  </property>
</Properties>
</file>