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2FE0"/>
    <w:p w14:paraId="1A32E97B">
      <w:pPr>
        <w:rPr>
          <w:rFonts w:hint="eastAsia"/>
        </w:rPr>
      </w:pPr>
      <w:r>
        <w:rPr>
          <w:rFonts w:hint="eastAsia"/>
        </w:rPr>
        <w:t>Table 1. Baseline characteristics of the study population stratified by tertiles of cumulative atherogenic index of plasma (cumAIP).</w:t>
      </w:r>
    </w:p>
    <w:p w14:paraId="739CD56D">
      <w:pPr>
        <w:rPr>
          <w:rFonts w:hint="eastAsia"/>
        </w:rPr>
      </w:pPr>
    </w:p>
    <w:p w14:paraId="0D99FA40">
      <w:pPr>
        <w:rPr>
          <w:rFonts w:hint="eastAsia"/>
        </w:rPr>
      </w:pPr>
    </w:p>
    <w:tbl>
      <w:tblPr>
        <w:tblStyle w:val="8"/>
        <w:tblW w:w="12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2611"/>
        <w:gridCol w:w="2611"/>
        <w:gridCol w:w="2611"/>
        <w:gridCol w:w="1181"/>
      </w:tblGrid>
      <w:tr w14:paraId="2B00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9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C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T1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D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T2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4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T3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3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p-value</w:t>
            </w:r>
          </w:p>
        </w:tc>
      </w:tr>
      <w:tr w14:paraId="2C79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C01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A8C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61.28 ± 8.82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27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60.91 ± 8.35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1F1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60.26 ± 8.52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E9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0.016</w:t>
            </w:r>
          </w:p>
        </w:tc>
      </w:tr>
      <w:tr w14:paraId="747E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0C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68A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619 (50%)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90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553 (45%)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D0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531 (43%)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FB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0.001</w:t>
            </w:r>
          </w:p>
        </w:tc>
      </w:tr>
      <w:tr w14:paraId="24C2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882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  <w:t>Residential area (Urban)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55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351 (29%)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2DD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441 (36%)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79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474 (39%)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44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4B4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F5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Marital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S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7E5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421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DB8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89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0.462</w:t>
            </w:r>
          </w:p>
        </w:tc>
      </w:tr>
      <w:tr w14:paraId="3577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BB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Married and living with a spouse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CF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1,051 (85%)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067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1,063 (86%)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AA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1,080 (88%)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EA3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5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33F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Married but living without a spouse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20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42 (3.4%)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B1A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42 (3.4%)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07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41 (3.3%)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6C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E1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Single, divorced, and widowed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20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137 (11%)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74A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125 (10%)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3FA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109 (8.9%)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9F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15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Education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39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F4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D7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E1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0.025</w:t>
            </w:r>
          </w:p>
        </w:tc>
      </w:tr>
      <w:tr w14:paraId="7555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744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Elementary school or below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96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837 (68%)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B2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808 (66%)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AA1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773 (63%)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A6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3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EF2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Middle school or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C43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393 (32%)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8E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422 (34%)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73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457 (37%)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17A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54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16C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Annual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Household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Expenditure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2C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12,393.16 ± 19,431.99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E0F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12,708.39 ± 20,460.87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67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14,142.21 ± 21,483.38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B4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0.003</w:t>
            </w:r>
          </w:p>
        </w:tc>
      </w:tr>
      <w:tr w14:paraId="38EE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6B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Smoking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976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578 (47%)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5B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506 (41%)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C89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526 (43%)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6A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0.010</w:t>
            </w:r>
          </w:p>
        </w:tc>
      </w:tr>
      <w:tr w14:paraId="048D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7DC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Drinking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BB9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516 (42%)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F0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431 (35%)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1A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386 (31%)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4A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450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711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BMI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kg/m²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F0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23.30 ± 13.83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85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25.35 ± 28.41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392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26.03 ± 19.38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B8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502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2A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SBP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(mmHg)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FA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124.23 ± 19.48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9B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126.08 ± 18.94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BD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130.00 ± 19.26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E45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808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08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DBP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(mmHg)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998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73.11 ± 11.35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7E4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74.88 ± 11.69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4C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76.96 ± 11.61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C1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377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5E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Number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of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chronic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conditions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8C3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B2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5C4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0E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174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D1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D63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293 (24%)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8AD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256 (21%)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EC6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212 (17%)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CD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E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C5D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43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360 (29%)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74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342 (28%)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A21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319 (26%)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F2F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2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BEC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21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577 (47%)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9F3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632 (51%)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52B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699 (57%)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E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8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E7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Frailty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9D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56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72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81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0.017</w:t>
            </w:r>
          </w:p>
        </w:tc>
      </w:tr>
      <w:tr w14:paraId="3658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DB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Robust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(FI ≤ 0.10)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153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496 (40%)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DED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490 (40%)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899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437 (36%)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8C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3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8CB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Pre-frail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(0.10 &lt; FI &lt; 0.25)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6D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563 (46%)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A9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530 (43%)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7C2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589 (48%)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B9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1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4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Frail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(FI ≥ 0.25)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66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171 (14%)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2AF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210 (17%)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A7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204 (17%)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8C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C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56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FI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BAD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0.14 ± 0.11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761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0.15 ± 0.12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CB0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0.16 ± 0.11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F0F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0.022</w:t>
            </w:r>
          </w:p>
        </w:tc>
      </w:tr>
      <w:tr w14:paraId="166B7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E0D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cumAIP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DE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0.24 ± 0.36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43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1.05 ± 0.20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59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2.05 ± 0.57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369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0F6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A8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宋体" w:cs="Arial" w:asciiTheme="minorAscii" w:hAnsiTheme="minorAscii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AIP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2011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DF8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0.14 ± 0.10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3F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0.33 ± 0.15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38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0.70 ± 0.28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961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AC5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1AC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AIP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2015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BDD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0.16 ± 0.11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12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0.37 ± 0.15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687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0.67 ± 0.21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AF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1BA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91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FPG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720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5.35 ± 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A0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5.63 ± 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384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6.21 ± 2.39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54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D80B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DDC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LDL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-C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B7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2.59 ± 0.70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0FB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2.74 ± 0.71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E5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2.61 ± 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07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8D5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AA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Arial" w:asciiTheme="minorAscii" w:hAnsiTheme="minorAscii"/>
                <w:sz w:val="22"/>
                <w:szCs w:val="22"/>
              </w:rPr>
              <w:t>HDL</w:t>
            </w:r>
            <w:r>
              <w:rPr>
                <w:rFonts w:hint="eastAsia" w:cs="Arial" w:asciiTheme="minorAscii" w:hAnsiTheme="minorAscii"/>
                <w:sz w:val="22"/>
                <w:szCs w:val="22"/>
                <w:lang w:val="en-US" w:eastAsia="zh-CN"/>
              </w:rPr>
              <w:t>-C</w:t>
            </w:r>
            <w:bookmarkStart w:id="0" w:name="_GoBack"/>
            <w:bookmarkEnd w:id="0"/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cs="Arial" w:asciiTheme="minorAscii" w:hAnsiTheme="minorAscii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55D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1.55 ± 0.32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AAD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1.29 ± 0.22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B4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1.15 ± 0.21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47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D33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20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T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 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30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4.66 ± 0.87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A1E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4.71 ± 0.86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399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4.95 ± 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8F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20A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02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eGFR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(mL/min/1.73m²)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29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90.54 ± 14.63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4E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90.10 ± 15.00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98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89.96 ± 16.24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F9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0.808</w:t>
            </w:r>
          </w:p>
        </w:tc>
      </w:tr>
      <w:tr w14:paraId="7AC1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271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UA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(µmol/L)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BDF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274 ± 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77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286 ± 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788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310 ± 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7B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014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26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BUN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910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5.75 ± 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90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5.54 ± 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85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5.48 ± 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BE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C61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6E9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CRP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(mg/L)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963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1.94 ± 3.99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A0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2.36 ± 5.45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DB3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sz w:val="24"/>
                <w:szCs w:val="24"/>
              </w:rPr>
              <w:t>3.47 ± 6.42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BB2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ACA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6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cs="Arial" w:asciiTheme="minorAscii" w:hAnsiTheme="minorAscii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TG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cs="Arial" w:asciiTheme="minorAscii" w:hAnsiTheme="minorAscii"/>
                <w:sz w:val="22"/>
                <w:szCs w:val="22"/>
              </w:rPr>
              <w:t>mmol/L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A53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0.92 ± 0.30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3B9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1.37 ± 0.46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758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2.54 ± 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5B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A6B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E12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Antihypertensive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20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201 (16%)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BA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296 (24%)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6FB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416 (34%)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3C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882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491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Antidiabetic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BC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30 (2.4%)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28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54 (4.4%)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39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131 (11%)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419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963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3E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Lipid-lowering agents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B1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46 (3.7%)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3A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84 (6.8%)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F03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169 (14%)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A2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FB1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72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S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troke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12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25 (2.0%)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94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45 (3.7%)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362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55 (4.5%)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5C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0.003</w:t>
            </w:r>
          </w:p>
        </w:tc>
      </w:tr>
    </w:tbl>
    <w:p w14:paraId="1335B48D"/>
    <w:p w14:paraId="78C0695F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Notes: Data are presented as mean ± standard deviation (SD) for continuous variables and as number (percentage) for categorical variables. P-values were calculated using one-way analysis of variance (ANOVA) or Kruskal-Wallis test for continuous variables, and Pearson’s chi-square test for categorical variables. All lipid profiles, glucose, and renal function markers were converted to SI units (mmol/L or µmol/L) for standardization. Abbreviations: cumAIP, cumulative atherogenic index of plasma; AIP, atherogenic index of plasma; BMI, body mass index; SBP, systolic blood pressure; DBP, diastolic blood pressure; FI, frailty index; FPG, fasting plasma glucose; TC, total cholesterol; TG, triglycerides; HDL-C, high-density lipoprotein cholesterol; LDL-C, low-density lipoprotein cholesterol; eGFR, estimated glomerular filtration rate; UA, uric acid; BUN, blood urea nitrogen; CRP, C-reactive protein. SI Unit Conversion Factors: Glucose (mg/dL to mmol/L: ×0.0555); Total Cholesterol, HDL-C, LDL-C (mg/dL to mmol/L: ×0.0259); Triglycerides (mg/dL to mmol/L: ×0.0113); Uric Acid (mg/dL to µmol/L: ×59.48); BUN (mg/dL to mmol/L: ×0.357).</w:t>
      </w:r>
    </w:p>
    <w:sectPr>
      <w:type w:val="continuous"/>
      <w:pgSz w:w="16838" w:h="11906" w:orient="landscape"/>
      <w:pgMar w:top="1417" w:right="1417" w:bottom="1417" w:left="1417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41001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2319</Characters>
  <Lines>0</Lines>
  <Paragraphs>0</Paragraphs>
  <TotalTime>10</TotalTime>
  <ScaleCrop>false</ScaleCrop>
  <LinksUpToDate>false</LinksUpToDate>
  <CharactersWithSpaces>2586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孙京先</dc:creator>
  <cp:lastModifiedBy>孙京先</cp:lastModifiedBy>
  <dcterms:modified xsi:type="dcterms:W3CDTF">2025-12-26T17:06:09Z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6FAC4A500C7F45D0852F44BF2D26380B_12</vt:lpwstr>
  </property>
</Properties>
</file>