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14:paraId="068EB839">
      <w:pPr>
        <w:pStyle w:val="49"/>
        <w:spacing w:before="0" w:after="312" w:afterLines="100" w:line="480" w:lineRule="auto"/>
        <w:jc w:val="center"/>
        <w:rPr>
          <w:rFonts w:ascii="Times New Roman" w:hAnsi="Times New Roman" w:eastAsiaTheme="minorEastAsia"/>
          <w:b w:val="0"/>
          <w:bCs/>
          <w:i/>
          <w:iCs/>
          <w:sz w:val="36"/>
          <w:szCs w:val="36"/>
          <w:lang w:eastAsia="zh-CN"/>
        </w:rPr>
      </w:pPr>
      <w:bookmarkStart w:id="0" w:name="_Hlk90320622"/>
      <w:bookmarkEnd w:id="0"/>
      <w:r>
        <w:rPr>
          <w:rFonts w:ascii="Times New Roman" w:hAnsi="Times New Roman"/>
          <w:b w:val="0"/>
          <w:bCs/>
          <w:i/>
          <w:iCs/>
          <w:sz w:val="36"/>
          <w:szCs w:val="36"/>
          <w:lang w:val="en-US"/>
        </w:rPr>
        <w:t>Supp</w:t>
      </w:r>
      <w:r>
        <w:rPr>
          <w:rFonts w:ascii="Times New Roman" w:hAnsi="Times New Roman" w:eastAsia="宋体"/>
          <w:b w:val="0"/>
          <w:bCs/>
          <w:i/>
          <w:iCs/>
          <w:sz w:val="36"/>
          <w:szCs w:val="36"/>
          <w:lang w:val="en-US" w:eastAsia="zh-CN"/>
        </w:rPr>
        <w:t>lementary</w:t>
      </w:r>
      <w:r>
        <w:rPr>
          <w:rFonts w:ascii="Times New Roman" w:hAnsi="Times New Roman"/>
          <w:b w:val="0"/>
          <w:bCs/>
          <w:i/>
          <w:iCs/>
          <w:sz w:val="36"/>
          <w:szCs w:val="36"/>
          <w:lang w:val="en-US"/>
        </w:rPr>
        <w:t xml:space="preserve"> </w:t>
      </w:r>
      <w:r>
        <w:rPr>
          <w:rFonts w:hint="eastAsia" w:ascii="Times New Roman" w:hAnsi="Times New Roman" w:eastAsia="宋体"/>
          <w:b w:val="0"/>
          <w:bCs/>
          <w:i/>
          <w:iCs/>
          <w:sz w:val="36"/>
          <w:szCs w:val="36"/>
          <w:lang w:val="en-US" w:eastAsia="zh-CN"/>
        </w:rPr>
        <w:t>Material</w:t>
      </w:r>
      <w:bookmarkStart w:id="72" w:name="_GoBack"/>
      <w:bookmarkEnd w:id="72"/>
      <w:r>
        <w:rPr>
          <w:rFonts w:ascii="Times New Roman" w:hAnsi="Times New Roman" w:eastAsiaTheme="minorEastAsia"/>
          <w:b w:val="0"/>
          <w:bCs/>
          <w:i/>
          <w:iCs/>
          <w:sz w:val="36"/>
          <w:szCs w:val="36"/>
          <w:lang w:val="en-US" w:eastAsia="zh-CN"/>
        </w:rPr>
        <w:t xml:space="preserve"> for</w:t>
      </w:r>
    </w:p>
    <w:p w14:paraId="4EA12205">
      <w:pPr>
        <w:spacing w:before="156" w:beforeLines="50" w:line="360" w:lineRule="auto"/>
        <w:jc w:val="center"/>
        <w:rPr>
          <w:rFonts w:ascii="Times New Roman" w:hAnsi="Times New Roman" w:eastAsia="等线" w:cs="Times New Roman"/>
          <w:b/>
          <w:sz w:val="30"/>
          <w:szCs w:val="30"/>
        </w:rPr>
      </w:pPr>
      <w:bookmarkStart w:id="1" w:name="OLE_LINK3"/>
      <w:bookmarkStart w:id="2" w:name="_Hlk195737790"/>
      <w:r>
        <w:rPr>
          <w:rFonts w:ascii="Times New Roman" w:hAnsi="Times New Roman" w:eastAsia="等线" w:cs="Times New Roman"/>
          <w:b/>
          <w:sz w:val="30"/>
          <w:szCs w:val="30"/>
        </w:rPr>
        <w:t>Transferable Drude-Based Polarizable Force Field Framework for Predictive Modeling of Battery Electrolytes</w:t>
      </w:r>
    </w:p>
    <w:bookmarkEnd w:id="1"/>
    <w:p w14:paraId="69F87E82">
      <w:pPr>
        <w:spacing w:before="156" w:beforeLines="50" w:line="360" w:lineRule="auto"/>
        <w:jc w:val="center"/>
        <w:rPr>
          <w:rFonts w:ascii="Times New Roman" w:hAnsi="Times New Roman" w:eastAsia="Times New Roman" w:cs="Times New Roman"/>
          <w:sz w:val="24"/>
          <w:szCs w:val="24"/>
          <w:vertAlign w:val="superscript"/>
        </w:rPr>
      </w:pPr>
      <w:r>
        <w:rPr>
          <w:rFonts w:ascii="Times New Roman" w:hAnsi="Times New Roman" w:eastAsia="等线" w:cs="Times New Roman"/>
          <w:color w:val="000000"/>
          <w:sz w:val="24"/>
          <w:szCs w:val="24"/>
        </w:rPr>
        <w:t>Chenlu</w:t>
      </w:r>
      <w:r>
        <w:rPr>
          <w:rFonts w:ascii="Times New Roman" w:hAnsi="Times New Roman" w:eastAsia="Times New Roman" w:cs="Times New Roman"/>
          <w:color w:val="000000"/>
          <w:sz w:val="24"/>
          <w:szCs w:val="24"/>
        </w:rPr>
        <w:t xml:space="preserve"> </w:t>
      </w:r>
      <w:r>
        <w:rPr>
          <w:rFonts w:ascii="Times New Roman" w:hAnsi="Times New Roman" w:eastAsia="等线" w:cs="Times New Roman"/>
          <w:color w:val="000000"/>
          <w:sz w:val="24"/>
          <w:szCs w:val="24"/>
        </w:rPr>
        <w:t>Wang</w:t>
      </w:r>
      <w:r>
        <w:rPr>
          <w:rFonts w:ascii="Times New Roman" w:hAnsi="Times New Roman" w:eastAsia="Times New Roman" w:cs="Times New Roman"/>
          <w:color w:val="000000"/>
          <w:sz w:val="24"/>
          <w:szCs w:val="24"/>
        </w:rPr>
        <w:t xml:space="preserve">, </w:t>
      </w:r>
      <w:r>
        <w:rPr>
          <w:rFonts w:ascii="Times New Roman" w:hAnsi="Times New Roman" w:eastAsia="等线" w:cs="Times New Roman"/>
          <w:color w:val="000000"/>
          <w:sz w:val="24"/>
          <w:szCs w:val="24"/>
        </w:rPr>
        <w:t>Qisheng</w:t>
      </w:r>
      <w:r>
        <w:rPr>
          <w:rFonts w:ascii="Times New Roman" w:hAnsi="Times New Roman" w:eastAsia="宋体" w:cs="Times New Roman"/>
          <w:color w:val="000000"/>
          <w:sz w:val="24"/>
          <w:szCs w:val="24"/>
        </w:rPr>
        <w:t xml:space="preserve"> Wu</w:t>
      </w:r>
      <w:r>
        <w:rPr>
          <w:rFonts w:ascii="Times New Roman" w:hAnsi="Times New Roman" w:eastAsia="宋体" w:cs="Times New Roman"/>
          <w:color w:val="000000"/>
          <w:sz w:val="24"/>
          <w:szCs w:val="24"/>
          <w:vertAlign w:val="superscript"/>
        </w:rPr>
        <w:t>*</w:t>
      </w:r>
    </w:p>
    <w:p w14:paraId="3E380E1C">
      <w:pPr>
        <w:spacing w:before="156" w:beforeLines="50"/>
        <w:ind w:left="101" w:hanging="101"/>
        <w:jc w:val="center"/>
        <w:rPr>
          <w:rFonts w:ascii="Times New Roman" w:hAnsi="Times New Roman" w:eastAsia="宋体" w:cs="Times New Roman"/>
          <w:i/>
          <w:color w:val="000000"/>
          <w:sz w:val="24"/>
          <w:szCs w:val="24"/>
        </w:rPr>
      </w:pPr>
      <w:r>
        <w:rPr>
          <w:rFonts w:hint="eastAsia" w:ascii="Times New Roman" w:hAnsi="Times New Roman" w:eastAsia="宋体" w:cs="Times New Roman"/>
          <w:i/>
          <w:color w:val="000000"/>
          <w:sz w:val="24"/>
          <w:szCs w:val="24"/>
        </w:rPr>
        <w:t>Suzhou Laboratory, Suzhou, Jiangsu 215123, People</w:t>
      </w:r>
      <w:r>
        <w:rPr>
          <w:rFonts w:ascii="Times New Roman" w:hAnsi="Times New Roman" w:eastAsia="宋体" w:cs="Times New Roman"/>
          <w:i/>
          <w:color w:val="000000"/>
          <w:sz w:val="24"/>
          <w:szCs w:val="24"/>
        </w:rPr>
        <w:t>’s</w:t>
      </w:r>
      <w:r>
        <w:rPr>
          <w:rFonts w:hint="eastAsia" w:ascii="Times New Roman" w:hAnsi="Times New Roman" w:eastAsia="宋体" w:cs="Times New Roman"/>
          <w:i/>
          <w:color w:val="000000"/>
          <w:sz w:val="24"/>
          <w:szCs w:val="24"/>
        </w:rPr>
        <w:t xml:space="preserve"> Republic of China</w:t>
      </w:r>
    </w:p>
    <w:p w14:paraId="72025981">
      <w:pPr>
        <w:spacing w:before="156" w:beforeLines="50"/>
        <w:ind w:left="101" w:hanging="101"/>
        <w:jc w:val="center"/>
        <w:rPr>
          <w:rFonts w:ascii="Times New Roman" w:hAnsi="Times New Roman" w:eastAsia="等线" w:cs="Times New Roman"/>
          <w:color w:val="000000"/>
          <w:sz w:val="24"/>
          <w:szCs w:val="24"/>
        </w:rPr>
      </w:pPr>
      <w:r>
        <w:rPr>
          <w:rFonts w:ascii="Times New Roman" w:hAnsi="Times New Roman" w:eastAsia="宋体" w:cs="Times New Roman"/>
          <w:color w:val="000000"/>
          <w:sz w:val="24"/>
          <w:szCs w:val="24"/>
        </w:rPr>
        <w:t xml:space="preserve">*Corresponding: </w:t>
      </w:r>
      <w:r>
        <w:rPr>
          <w:rFonts w:ascii="Times New Roman" w:hAnsi="Times New Roman" w:eastAsia="宋体" w:cs="Times New Roman"/>
          <w:color w:val="0000FF"/>
          <w:sz w:val="24"/>
          <w:szCs w:val="24"/>
          <w:u w:val="single"/>
        </w:rPr>
        <w:t>wuqs@szlab.ac.cn</w:t>
      </w:r>
    </w:p>
    <w:bookmarkEnd w:id="2"/>
    <w:p w14:paraId="1CCB1614">
      <w:pPr>
        <w:spacing w:before="156" w:beforeLines="50" w:after="156" w:afterLines="50" w:line="360" w:lineRule="auto"/>
        <w:rPr>
          <w:rFonts w:ascii="Times New Roman" w:hAnsi="Times New Roman" w:cs="Times New Roman"/>
          <w:b/>
          <w:sz w:val="24"/>
          <w:szCs w:val="24"/>
          <w:lang w:val="en-GB"/>
        </w:rPr>
      </w:pPr>
    </w:p>
    <w:p w14:paraId="5B8CD714">
      <w:pPr>
        <w:spacing w:before="156" w:beforeLines="50" w:after="156" w:afterLines="50" w:line="360" w:lineRule="auto"/>
        <w:rPr>
          <w:rFonts w:ascii="Times New Roman" w:hAnsi="Times New Roman" w:cs="Times New Roman"/>
          <w:sz w:val="24"/>
          <w:szCs w:val="24"/>
        </w:rPr>
      </w:pPr>
      <w:r>
        <w:rPr>
          <w:rFonts w:ascii="Times New Roman" w:hAnsi="Times New Roman" w:cs="Times New Roman"/>
          <w:b/>
          <w:sz w:val="24"/>
          <w:szCs w:val="24"/>
          <w:lang w:val="en-GB"/>
        </w:rPr>
        <w:br w:type="page"/>
      </w:r>
    </w:p>
    <w:sdt>
      <w:sdtPr>
        <w:rPr>
          <w:rFonts w:ascii="Times New Roman" w:hAnsi="Times New Roman" w:cs="Times New Roman" w:eastAsiaTheme="minorEastAsia"/>
          <w:color w:val="auto"/>
          <w:kern w:val="2"/>
          <w:sz w:val="21"/>
          <w:szCs w:val="22"/>
          <w:lang w:val="zh-CN"/>
        </w:rPr>
        <w:id w:val="1144089832"/>
        <w:docPartObj>
          <w:docPartGallery w:val="Table of Contents"/>
          <w:docPartUnique/>
        </w:docPartObj>
      </w:sdtPr>
      <w:sdtEndPr>
        <w:rPr>
          <w:rFonts w:ascii="Times New Roman" w:hAnsi="Times New Roman" w:cs="Times New Roman" w:eastAsiaTheme="minorEastAsia"/>
          <w:b/>
          <w:bCs/>
          <w:color w:val="auto"/>
          <w:kern w:val="2"/>
          <w:sz w:val="21"/>
          <w:szCs w:val="22"/>
          <w:lang w:val="zh-CN"/>
        </w:rPr>
      </w:sdtEndPr>
      <w:sdtContent>
        <w:p w14:paraId="1AAC8960">
          <w:pPr>
            <w:pStyle w:val="28"/>
            <w:spacing w:after="156"/>
            <w:rPr>
              <w:rFonts w:ascii="Times New Roman" w:hAnsi="Times New Roman" w:cs="Times New Roman"/>
            </w:rPr>
          </w:pPr>
          <w:r>
            <w:rPr>
              <w:rFonts w:ascii="Times New Roman" w:hAnsi="Times New Roman" w:cs="Times New Roman"/>
            </w:rPr>
            <w:t>Contents</w:t>
          </w:r>
        </w:p>
        <w:p w14:paraId="6ECDE1D3">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TOC \o "1-2" \h \z \u </w:instrText>
          </w:r>
          <w:r>
            <w:fldChar w:fldCharType="separate"/>
          </w:r>
          <w:r>
            <w:fldChar w:fldCharType="begin"/>
          </w:r>
          <w:r>
            <w:instrText xml:space="preserve"> HYPERLINK \l "_Toc221108125" </w:instrText>
          </w:r>
          <w:r>
            <w:fldChar w:fldCharType="separate"/>
          </w:r>
          <w:r>
            <w:rPr>
              <w:rStyle w:val="17"/>
              <w:rFonts w:hint="eastAsia"/>
            </w:rPr>
            <w:t>Supplementary Note 1 | Conventional Force Field Functional Form</w:t>
          </w:r>
          <w:r>
            <w:rPr>
              <w:rFonts w:hint="eastAsia"/>
            </w:rPr>
            <w:tab/>
          </w:r>
          <w:r>
            <w:rPr>
              <w:rFonts w:hint="eastAsia"/>
            </w:rPr>
            <w:fldChar w:fldCharType="begin"/>
          </w:r>
          <w:r>
            <w:rPr>
              <w:rFonts w:hint="eastAsia"/>
            </w:rPr>
            <w:instrText xml:space="preserve"> </w:instrText>
          </w:r>
          <w:r>
            <w:instrText xml:space="preserve">PAGEREF _Toc221108125 \h</w:instrText>
          </w:r>
          <w:r>
            <w:rPr>
              <w:rFonts w:hint="eastAsia"/>
            </w:rPr>
            <w:instrText xml:space="preserve"> </w:instrText>
          </w:r>
          <w:r>
            <w:rPr>
              <w:rFonts w:hint="eastAsia"/>
            </w:rPr>
            <w:fldChar w:fldCharType="separate"/>
          </w:r>
          <w:r>
            <w:t>4</w:t>
          </w:r>
          <w:r>
            <w:rPr>
              <w:rFonts w:hint="eastAsia"/>
            </w:rPr>
            <w:fldChar w:fldCharType="end"/>
          </w:r>
          <w:r>
            <w:rPr>
              <w:rFonts w:hint="eastAsia"/>
            </w:rPr>
            <w:fldChar w:fldCharType="end"/>
          </w:r>
        </w:p>
        <w:p w14:paraId="6B5D41B4">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HYPERLINK \l "_Toc221108126" </w:instrText>
          </w:r>
          <w:r>
            <w:fldChar w:fldCharType="separate"/>
          </w:r>
          <w:r>
            <w:rPr>
              <w:rStyle w:val="17"/>
              <w:rFonts w:hint="eastAsia"/>
            </w:rPr>
            <w:t xml:space="preserve">Supplementary Note 2 | </w:t>
          </w:r>
          <w:r>
            <w:rPr>
              <w:rStyle w:val="17"/>
              <w:rFonts w:hint="eastAsia" w:eastAsia="宋体"/>
              <w:kern w:val="0"/>
            </w:rPr>
            <w:t>Polarizable Force Field</w:t>
          </w:r>
          <w:r>
            <w:rPr>
              <w:rStyle w:val="17"/>
              <w:rFonts w:hint="eastAsia"/>
            </w:rPr>
            <w:t xml:space="preserve"> Functional Form</w:t>
          </w:r>
          <w:r>
            <w:rPr>
              <w:rFonts w:hint="eastAsia"/>
            </w:rPr>
            <w:tab/>
          </w:r>
          <w:r>
            <w:rPr>
              <w:rFonts w:hint="eastAsia"/>
            </w:rPr>
            <w:fldChar w:fldCharType="begin"/>
          </w:r>
          <w:r>
            <w:rPr>
              <w:rFonts w:hint="eastAsia"/>
            </w:rPr>
            <w:instrText xml:space="preserve"> </w:instrText>
          </w:r>
          <w:r>
            <w:instrText xml:space="preserve">PAGEREF _Toc221108126 \h</w:instrText>
          </w:r>
          <w:r>
            <w:rPr>
              <w:rFonts w:hint="eastAsia"/>
            </w:rPr>
            <w:instrText xml:space="preserve"> </w:instrText>
          </w:r>
          <w:r>
            <w:rPr>
              <w:rFonts w:hint="eastAsia"/>
            </w:rPr>
            <w:fldChar w:fldCharType="separate"/>
          </w:r>
          <w:r>
            <w:t>6</w:t>
          </w:r>
          <w:r>
            <w:rPr>
              <w:rFonts w:hint="eastAsia"/>
            </w:rPr>
            <w:fldChar w:fldCharType="end"/>
          </w:r>
          <w:r>
            <w:rPr>
              <w:rFonts w:hint="eastAsia"/>
            </w:rPr>
            <w:fldChar w:fldCharType="end"/>
          </w:r>
        </w:p>
        <w:p w14:paraId="73AE7F83">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HYPERLINK \l "_Toc221108127" </w:instrText>
          </w:r>
          <w:r>
            <w:fldChar w:fldCharType="separate"/>
          </w:r>
          <w:r>
            <w:rPr>
              <w:rStyle w:val="17"/>
              <w:rFonts w:hint="eastAsia"/>
            </w:rPr>
            <w:t>Supplementary Note 3 | Compositions of Simulated Systems</w:t>
          </w:r>
          <w:r>
            <w:rPr>
              <w:rFonts w:hint="eastAsia"/>
            </w:rPr>
            <w:tab/>
          </w:r>
          <w:r>
            <w:rPr>
              <w:rFonts w:hint="eastAsia"/>
            </w:rPr>
            <w:fldChar w:fldCharType="begin"/>
          </w:r>
          <w:r>
            <w:rPr>
              <w:rFonts w:hint="eastAsia"/>
            </w:rPr>
            <w:instrText xml:space="preserve"> </w:instrText>
          </w:r>
          <w:r>
            <w:instrText xml:space="preserve">PAGEREF _Toc221108127 \h</w:instrText>
          </w:r>
          <w:r>
            <w:rPr>
              <w:rFonts w:hint="eastAsia"/>
            </w:rPr>
            <w:instrText xml:space="preserve"> </w:instrText>
          </w:r>
          <w:r>
            <w:rPr>
              <w:rFonts w:hint="eastAsia"/>
            </w:rPr>
            <w:fldChar w:fldCharType="separate"/>
          </w:r>
          <w:r>
            <w:t>12</w:t>
          </w:r>
          <w:r>
            <w:rPr>
              <w:rFonts w:hint="eastAsia"/>
            </w:rPr>
            <w:fldChar w:fldCharType="end"/>
          </w:r>
          <w:r>
            <w:rPr>
              <w:rFonts w:hint="eastAsia"/>
            </w:rPr>
            <w:fldChar w:fldCharType="end"/>
          </w:r>
        </w:p>
        <w:p w14:paraId="085EBECD">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"_Toc221108128" </w:instrText>
          </w:r>
          <w:r>
            <w:fldChar w:fldCharType="separate"/>
          </w:r>
          <w:r>
            <w:rPr>
              <w:rStyle w:val="17"/>
              <w:rFonts w:hint="eastAsia" w:cs="Times New Roman"/>
            </w:rPr>
            <w:t>Supplementary Table 1 | Compositions of LiFSI:DME:TFEO ether-based systems.</w:t>
          </w:r>
          <w:r>
            <w:rPr>
              <w:rFonts w:hint="eastAsia"/>
            </w:rPr>
            <w:tab/>
          </w:r>
          <w:r>
            <w:rPr>
              <w:rFonts w:hint="eastAsia"/>
            </w:rPr>
            <w:fldChar w:fldCharType="begin"/>
          </w:r>
          <w:r>
            <w:rPr>
              <w:rFonts w:hint="eastAsia"/>
            </w:rPr>
            <w:instrText xml:space="preserve"> </w:instrText>
          </w:r>
          <w:r>
            <w:instrText xml:space="preserve">PAGEREF _Toc221108128 \h</w:instrText>
          </w:r>
          <w:r>
            <w:rPr>
              <w:rFonts w:hint="eastAsia"/>
            </w:rPr>
            <w:instrText xml:space="preserve"> </w:instrText>
          </w:r>
          <w:r>
            <w:rPr>
              <w:rFonts w:hint="eastAsia"/>
            </w:rPr>
            <w:fldChar w:fldCharType="separate"/>
          </w:r>
          <w:r>
            <w:t>12</w:t>
          </w:r>
          <w:r>
            <w:rPr>
              <w:rFonts w:hint="eastAsia"/>
            </w:rPr>
            <w:fldChar w:fldCharType="end"/>
          </w:r>
          <w:r>
            <w:rPr>
              <w:rFonts w:hint="eastAsia"/>
            </w:rPr>
            <w:fldChar w:fldCharType="end"/>
          </w:r>
        </w:p>
        <w:p w14:paraId="35CA7BD7">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"_Toc221108129" </w:instrText>
          </w:r>
          <w:r>
            <w:fldChar w:fldCharType="separate"/>
          </w:r>
          <w:r>
            <w:rPr>
              <w:rStyle w:val="17"/>
              <w:rFonts w:hint="eastAsia" w:cs="Times New Roman"/>
            </w:rPr>
            <w:t>Supplementary Table 2 | Compositions of LiTFSI:DME:DOL:FEC ether-based systems.</w:t>
          </w:r>
          <w:r>
            <w:rPr>
              <w:rFonts w:hint="eastAsia"/>
            </w:rPr>
            <w:tab/>
          </w:r>
          <w:r>
            <w:rPr>
              <w:rFonts w:hint="eastAsia"/>
            </w:rPr>
            <w:fldChar w:fldCharType="begin"/>
          </w:r>
          <w:r>
            <w:rPr>
              <w:rFonts w:hint="eastAsia"/>
            </w:rPr>
            <w:instrText xml:space="preserve"> </w:instrText>
          </w:r>
          <w:r>
            <w:instrText xml:space="preserve">PAGEREF _Toc221108129 \h</w:instrText>
          </w:r>
          <w:r>
            <w:rPr>
              <w:rFonts w:hint="eastAsia"/>
            </w:rPr>
            <w:instrText xml:space="preserve"> </w:instrText>
          </w:r>
          <w:r>
            <w:rPr>
              <w:rFonts w:hint="eastAsia"/>
            </w:rPr>
            <w:fldChar w:fldCharType="separate"/>
          </w:r>
          <w:r>
            <w:t>12</w:t>
          </w:r>
          <w:r>
            <w:rPr>
              <w:rFonts w:hint="eastAsia"/>
            </w:rPr>
            <w:fldChar w:fldCharType="end"/>
          </w:r>
          <w:r>
            <w:rPr>
              <w:rFonts w:hint="eastAsia"/>
            </w:rPr>
            <w:fldChar w:fldCharType="end"/>
          </w:r>
        </w:p>
        <w:p w14:paraId="33FDB7E1">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"_Toc221108130" </w:instrText>
          </w:r>
          <w:r>
            <w:fldChar w:fldCharType="separate"/>
          </w:r>
          <w:r>
            <w:rPr>
              <w:rStyle w:val="17"/>
              <w:rFonts w:hint="eastAsia" w:cs="Times New Roman"/>
            </w:rPr>
            <w:t>Supplementary Table 3 | Compositions of LiPF</w:t>
          </w:r>
          <w:r>
            <w:rPr>
              <w:rStyle w:val="17"/>
              <w:rFonts w:hint="eastAsia" w:cs="Times New Roman"/>
              <w:vertAlign w:val="subscript"/>
            </w:rPr>
            <w:t>6</w:t>
          </w:r>
          <w:r>
            <w:rPr>
              <w:rStyle w:val="17"/>
              <w:rFonts w:hint="eastAsia" w:cs="Times New Roman"/>
            </w:rPr>
            <w:t>:EC:EMC:FEC carbonate-based systems.</w:t>
          </w:r>
          <w:r>
            <w:rPr>
              <w:rFonts w:hint="eastAsia"/>
            </w:rPr>
            <w:tab/>
          </w:r>
          <w:r>
            <w:rPr>
              <w:rFonts w:hint="eastAsia"/>
            </w:rPr>
            <w:fldChar w:fldCharType="begin"/>
          </w:r>
          <w:r>
            <w:rPr>
              <w:rFonts w:hint="eastAsia"/>
            </w:rPr>
            <w:instrText xml:space="preserve"> </w:instrText>
          </w:r>
          <w:r>
            <w:instrText xml:space="preserve">PAGEREF _Toc221108130 \h</w:instrText>
          </w:r>
          <w:r>
            <w:rPr>
              <w:rFonts w:hint="eastAsia"/>
            </w:rPr>
            <w:instrText xml:space="preserve"> </w:instrText>
          </w:r>
          <w:r>
            <w:rPr>
              <w:rFonts w:hint="eastAsia"/>
            </w:rPr>
            <w:fldChar w:fldCharType="separate"/>
          </w:r>
          <w:r>
            <w:t>13</w:t>
          </w:r>
          <w:r>
            <w:rPr>
              <w:rFonts w:hint="eastAsia"/>
            </w:rPr>
            <w:fldChar w:fldCharType="end"/>
          </w:r>
          <w:r>
            <w:rPr>
              <w:rFonts w:hint="eastAsia"/>
            </w:rPr>
            <w:fldChar w:fldCharType="end"/>
          </w:r>
        </w:p>
        <w:p w14:paraId="2784053C">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"_Toc221108131" </w:instrText>
          </w:r>
          <w:r>
            <w:fldChar w:fldCharType="separate"/>
          </w:r>
          <w:r>
            <w:rPr>
              <w:rStyle w:val="17"/>
              <w:rFonts w:hint="eastAsia" w:cs="Times New Roman"/>
            </w:rPr>
            <w:t>Supplementary Table 4 | Compositions of LiPF</w:t>
          </w:r>
          <w:r>
            <w:rPr>
              <w:rStyle w:val="17"/>
              <w:rFonts w:hint="eastAsia" w:cs="Times New Roman"/>
              <w:vertAlign w:val="subscript"/>
            </w:rPr>
            <w:t>6</w:t>
          </w:r>
          <w:r>
            <w:rPr>
              <w:rStyle w:val="17"/>
              <w:rFonts w:hint="eastAsia" w:cs="Times New Roman"/>
            </w:rPr>
            <w:t>:EC:DMC carbonate-based systems.</w:t>
          </w:r>
          <w:r>
            <w:rPr>
              <w:rFonts w:hint="eastAsia"/>
            </w:rPr>
            <w:tab/>
          </w:r>
          <w:r>
            <w:rPr>
              <w:rFonts w:hint="eastAsia"/>
            </w:rPr>
            <w:fldChar w:fldCharType="begin"/>
          </w:r>
          <w:r>
            <w:rPr>
              <w:rFonts w:hint="eastAsia"/>
            </w:rPr>
            <w:instrText xml:space="preserve"> </w:instrText>
          </w:r>
          <w:r>
            <w:instrText xml:space="preserve">PAGEREF _Toc221108131 \h</w:instrText>
          </w:r>
          <w:r>
            <w:rPr>
              <w:rFonts w:hint="eastAsia"/>
            </w:rPr>
            <w:instrText xml:space="preserve"> </w:instrText>
          </w:r>
          <w:r>
            <w:rPr>
              <w:rFonts w:hint="eastAsia"/>
            </w:rPr>
            <w:fldChar w:fldCharType="separate"/>
          </w:r>
          <w:r>
            <w:t>13</w:t>
          </w:r>
          <w:r>
            <w:rPr>
              <w:rFonts w:hint="eastAsia"/>
            </w:rPr>
            <w:fldChar w:fldCharType="end"/>
          </w:r>
          <w:r>
            <w:rPr>
              <w:rFonts w:hint="eastAsia"/>
            </w:rPr>
            <w:fldChar w:fldCharType="end"/>
          </w:r>
        </w:p>
        <w:p w14:paraId="0EC9A81D">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"_Toc221108132" </w:instrText>
          </w:r>
          <w:r>
            <w:fldChar w:fldCharType="separate"/>
          </w:r>
          <w:r>
            <w:rPr>
              <w:rStyle w:val="17"/>
              <w:rFonts w:hint="eastAsia" w:cs="Times New Roman"/>
            </w:rPr>
            <w:t>Supplementary Table 5 | Compositions of LiFSI:PSF fluorosulfonyl-based systems.</w:t>
          </w:r>
          <w:r>
            <w:rPr>
              <w:rFonts w:hint="eastAsia"/>
            </w:rPr>
            <w:tab/>
          </w:r>
          <w:r>
            <w:rPr>
              <w:rFonts w:hint="eastAsia"/>
            </w:rPr>
            <w:fldChar w:fldCharType="begin"/>
          </w:r>
          <w:r>
            <w:rPr>
              <w:rFonts w:hint="eastAsia"/>
            </w:rPr>
            <w:instrText xml:space="preserve"> </w:instrText>
          </w:r>
          <w:r>
            <w:instrText xml:space="preserve">PAGEREF _Toc221108132 \h</w:instrText>
          </w:r>
          <w:r>
            <w:rPr>
              <w:rFonts w:hint="eastAsia"/>
            </w:rPr>
            <w:instrText xml:space="preserve"> </w:instrText>
          </w:r>
          <w:r>
            <w:rPr>
              <w:rFonts w:hint="eastAsia"/>
            </w:rPr>
            <w:fldChar w:fldCharType="separate"/>
          </w:r>
          <w:r>
            <w:t>14</w:t>
          </w:r>
          <w:r>
            <w:rPr>
              <w:rFonts w:hint="eastAsia"/>
            </w:rPr>
            <w:fldChar w:fldCharType="end"/>
          </w:r>
          <w:r>
            <w:rPr>
              <w:rFonts w:hint="eastAsia"/>
            </w:rPr>
            <w:fldChar w:fldCharType="end"/>
          </w:r>
        </w:p>
        <w:p w14:paraId="694327CA">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"_Toc221108133" </w:instrText>
          </w:r>
          <w:r>
            <w:fldChar w:fldCharType="separate"/>
          </w:r>
          <w:r>
            <w:rPr>
              <w:rStyle w:val="17"/>
              <w:rFonts w:hint="eastAsia" w:cs="Times New Roman"/>
            </w:rPr>
            <w:t>Supplementary Table 6 | Compositions of LiFSI:TPSF fluorosulfonyl-based systems.</w:t>
          </w:r>
          <w:r>
            <w:rPr>
              <w:rFonts w:hint="eastAsia"/>
            </w:rPr>
            <w:tab/>
          </w:r>
          <w:r>
            <w:rPr>
              <w:rFonts w:hint="eastAsia"/>
            </w:rPr>
            <w:fldChar w:fldCharType="begin"/>
          </w:r>
          <w:r>
            <w:rPr>
              <w:rFonts w:hint="eastAsia"/>
            </w:rPr>
            <w:instrText xml:space="preserve"> </w:instrText>
          </w:r>
          <w:r>
            <w:instrText xml:space="preserve">PAGEREF _Toc221108133 \h</w:instrText>
          </w:r>
          <w:r>
            <w:rPr>
              <w:rFonts w:hint="eastAsia"/>
            </w:rPr>
            <w:instrText xml:space="preserve"> </w:instrText>
          </w:r>
          <w:r>
            <w:rPr>
              <w:rFonts w:hint="eastAsia"/>
            </w:rPr>
            <w:fldChar w:fldCharType="separate"/>
          </w:r>
          <w:r>
            <w:t>14</w:t>
          </w:r>
          <w:r>
            <w:rPr>
              <w:rFonts w:hint="eastAsia"/>
            </w:rPr>
            <w:fldChar w:fldCharType="end"/>
          </w:r>
          <w:r>
            <w:rPr>
              <w:rFonts w:hint="eastAsia"/>
            </w:rPr>
            <w:fldChar w:fldCharType="end"/>
          </w:r>
        </w:p>
        <w:p w14:paraId="505A669E">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HYPERLINK \l "_Toc221108134" </w:instrText>
          </w:r>
          <w:r>
            <w:fldChar w:fldCharType="separate"/>
          </w:r>
          <w:r>
            <w:rPr>
              <w:rStyle w:val="17"/>
              <w:rFonts w:hint="eastAsia"/>
            </w:rPr>
            <w:t>Supplementary Note 4 | Realization of Polarizable Force Field Framework in OPLS&amp;Pol</w:t>
          </w:r>
          <w:r>
            <w:rPr>
              <w:rFonts w:hint="eastAsia"/>
            </w:rPr>
            <w:tab/>
          </w:r>
          <w:r>
            <w:rPr>
              <w:rFonts w:hint="eastAsia"/>
            </w:rPr>
            <w:fldChar w:fldCharType="begin"/>
          </w:r>
          <w:r>
            <w:rPr>
              <w:rFonts w:hint="eastAsia"/>
            </w:rPr>
            <w:instrText xml:space="preserve"> </w:instrText>
          </w:r>
          <w:r>
            <w:instrText xml:space="preserve">PAGEREF _Toc221108134 \h</w:instrText>
          </w:r>
          <w:r>
            <w:rPr>
              <w:rFonts w:hint="eastAsia"/>
            </w:rPr>
            <w:instrText xml:space="preserve"> </w:instrText>
          </w:r>
          <w:r>
            <w:rPr>
              <w:rFonts w:hint="eastAsia"/>
            </w:rPr>
            <w:fldChar w:fldCharType="separate"/>
          </w:r>
          <w:r>
            <w:t>15</w:t>
          </w:r>
          <w:r>
            <w:rPr>
              <w:rFonts w:hint="eastAsia"/>
            </w:rPr>
            <w:fldChar w:fldCharType="end"/>
          </w:r>
          <w:r>
            <w:rPr>
              <w:rFonts w:hint="eastAsia"/>
            </w:rPr>
            <w:fldChar w:fldCharType="end"/>
          </w:r>
        </w:p>
        <w:p w14:paraId="371FAD5E">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"_Toc221108135" </w:instrText>
          </w:r>
          <w:r>
            <w:fldChar w:fldCharType="separate"/>
          </w:r>
          <w:r>
            <w:rPr>
              <w:rStyle w:val="17"/>
              <w:rFonts w:hint="eastAsia" w:cs="Times New Roman"/>
            </w:rPr>
            <w:t>Supplementary Fig. 1 | Atomic structures and LJ atom-type classifications.</w:t>
          </w:r>
          <w:r>
            <w:rPr>
              <w:rFonts w:hint="eastAsia"/>
            </w:rPr>
            <w:tab/>
          </w:r>
          <w:r>
            <w:rPr>
              <w:rFonts w:hint="eastAsia"/>
            </w:rPr>
            <w:fldChar w:fldCharType="begin"/>
          </w:r>
          <w:r>
            <w:rPr>
              <w:rFonts w:hint="eastAsia"/>
            </w:rPr>
            <w:instrText xml:space="preserve"> </w:instrText>
          </w:r>
          <w:r>
            <w:instrText xml:space="preserve">PAGEREF _Toc221108135 \h</w:instrText>
          </w:r>
          <w:r>
            <w:rPr>
              <w:rFonts w:hint="eastAsia"/>
            </w:rPr>
            <w:instrText xml:space="preserve"> </w:instrText>
          </w:r>
          <w:r>
            <w:rPr>
              <w:rFonts w:hint="eastAsia"/>
            </w:rPr>
            <w:fldChar w:fldCharType="separate"/>
          </w:r>
          <w:r>
            <w:t>15</w:t>
          </w:r>
          <w:r>
            <w:rPr>
              <w:rFonts w:hint="eastAsia"/>
            </w:rPr>
            <w:fldChar w:fldCharType="end"/>
          </w:r>
          <w:r>
            <w:rPr>
              <w:rFonts w:hint="eastAsia"/>
            </w:rPr>
            <w:fldChar w:fldCharType="end"/>
          </w:r>
        </w:p>
        <w:p w14:paraId="554AAD3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"_Toc221108136" </w:instrText>
          </w:r>
          <w:r>
            <w:fldChar w:fldCharType="separate"/>
          </w:r>
          <w:r>
            <w:rPr>
              <w:rStyle w:val="17"/>
              <w:rFonts w:hint="eastAsia" w:cs="Times New Roman"/>
            </w:rPr>
            <w:t>Supplementary Fig. 2 | Summary of LJ parameters and assignments.</w:t>
          </w:r>
          <w:r>
            <w:rPr>
              <w:rFonts w:hint="eastAsia"/>
            </w:rPr>
            <w:tab/>
          </w:r>
          <w:r>
            <w:rPr>
              <w:rFonts w:hint="eastAsia"/>
            </w:rPr>
            <w:fldChar w:fldCharType="begin"/>
          </w:r>
          <w:r>
            <w:rPr>
              <w:rFonts w:hint="eastAsia"/>
            </w:rPr>
            <w:instrText xml:space="preserve"> </w:instrText>
          </w:r>
          <w:r>
            <w:instrText xml:space="preserve">PAGEREF _Toc221108136 \h</w:instrText>
          </w:r>
          <w:r>
            <w:rPr>
              <w:rFonts w:hint="eastAsia"/>
            </w:rPr>
            <w:instrText xml:space="preserve"> </w:instrText>
          </w:r>
          <w:r>
            <w:rPr>
              <w:rFonts w:hint="eastAsia"/>
            </w:rPr>
            <w:fldChar w:fldCharType="separate"/>
          </w:r>
          <w:r>
            <w:t>16</w:t>
          </w:r>
          <w:r>
            <w:rPr>
              <w:rFonts w:hint="eastAsia"/>
            </w:rPr>
            <w:fldChar w:fldCharType="end"/>
          </w:r>
          <w:r>
            <w:rPr>
              <w:rFonts w:hint="eastAsia"/>
            </w:rPr>
            <w:fldChar w:fldCharType="end"/>
          </w:r>
        </w:p>
        <w:p w14:paraId="2CE2F39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"_Toc221108137" </w:instrText>
          </w:r>
          <w:r>
            <w:fldChar w:fldCharType="separate"/>
          </w:r>
          <w:r>
            <w:rPr>
              <w:rStyle w:val="17"/>
              <w:rFonts w:hint="eastAsia" w:cs="Times New Roman"/>
            </w:rPr>
            <w:t>Supplementary Fig. 3 | Comparison of atomic partial charge assignment schemes.</w:t>
          </w:r>
          <w:r>
            <w:rPr>
              <w:rFonts w:hint="eastAsia"/>
            </w:rPr>
            <w:tab/>
          </w:r>
          <w:r>
            <w:rPr>
              <w:rFonts w:hint="eastAsia"/>
            </w:rPr>
            <w:fldChar w:fldCharType="begin"/>
          </w:r>
          <w:r>
            <w:rPr>
              <w:rFonts w:hint="eastAsia"/>
            </w:rPr>
            <w:instrText xml:space="preserve"> </w:instrText>
          </w:r>
          <w:r>
            <w:instrText xml:space="preserve">PAGEREF _Toc221108137 \h</w:instrText>
          </w:r>
          <w:r>
            <w:rPr>
              <w:rFonts w:hint="eastAsia"/>
            </w:rPr>
            <w:instrText xml:space="preserve"> </w:instrText>
          </w:r>
          <w:r>
            <w:rPr>
              <w:rFonts w:hint="eastAsia"/>
            </w:rPr>
            <w:fldChar w:fldCharType="separate"/>
          </w:r>
          <w:r>
            <w:t>17</w:t>
          </w:r>
          <w:r>
            <w:rPr>
              <w:rFonts w:hint="eastAsia"/>
            </w:rPr>
            <w:fldChar w:fldCharType="end"/>
          </w:r>
          <w:r>
            <w:rPr>
              <w:rFonts w:hint="eastAsia"/>
            </w:rPr>
            <w:fldChar w:fldCharType="end"/>
          </w:r>
        </w:p>
        <w:p w14:paraId="19A6AF16">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"_Toc221108138" </w:instrText>
          </w:r>
          <w:r>
            <w:fldChar w:fldCharType="separate"/>
          </w:r>
          <w:r>
            <w:rPr>
              <w:rStyle w:val="17"/>
              <w:rFonts w:hint="eastAsia" w:cs="Times New Roman"/>
              <w:kern w:val="0"/>
            </w:rPr>
            <w:t>Supplementary Fig. 4 | Molecular electrostatic potential distributions.</w:t>
          </w:r>
          <w:r>
            <w:rPr>
              <w:rFonts w:hint="eastAsia"/>
            </w:rPr>
            <w:tab/>
          </w:r>
          <w:r>
            <w:rPr>
              <w:rFonts w:hint="eastAsia"/>
            </w:rPr>
            <w:fldChar w:fldCharType="begin"/>
          </w:r>
          <w:r>
            <w:rPr>
              <w:rFonts w:hint="eastAsia"/>
            </w:rPr>
            <w:instrText xml:space="preserve"> </w:instrText>
          </w:r>
          <w:r>
            <w:instrText xml:space="preserve">PAGEREF _Toc221108138 \h</w:instrText>
          </w:r>
          <w:r>
            <w:rPr>
              <w:rFonts w:hint="eastAsia"/>
            </w:rPr>
            <w:instrText xml:space="preserve"> </w:instrText>
          </w:r>
          <w:r>
            <w:rPr>
              <w:rFonts w:hint="eastAsia"/>
            </w:rPr>
            <w:fldChar w:fldCharType="separate"/>
          </w:r>
          <w:r>
            <w:t>18</w:t>
          </w:r>
          <w:r>
            <w:rPr>
              <w:rFonts w:hint="eastAsia"/>
            </w:rPr>
            <w:fldChar w:fldCharType="end"/>
          </w:r>
          <w:r>
            <w:rPr>
              <w:rFonts w:hint="eastAsia"/>
            </w:rPr>
            <w:fldChar w:fldCharType="end"/>
          </w:r>
        </w:p>
        <w:p w14:paraId="2A979551">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"_Toc221108139" </w:instrText>
          </w:r>
          <w:r>
            <w:fldChar w:fldCharType="separate"/>
          </w:r>
          <w:r>
            <w:rPr>
              <w:rStyle w:val="17"/>
              <w:rFonts w:hint="eastAsia" w:cs="Times New Roman"/>
            </w:rPr>
            <w:t>Supplementary Fig. 5 | Gas-phase energetics and geometries of Li</w:t>
          </w:r>
          <w:r>
            <w:rPr>
              <w:rStyle w:val="17"/>
              <w:rFonts w:hint="eastAsia" w:cs="Times New Roman"/>
              <w:vertAlign w:val="superscript"/>
            </w:rPr>
            <w:t>+</w:t>
          </w:r>
          <w:r>
            <w:rPr>
              <w:rStyle w:val="17"/>
              <w:rFonts w:hint="eastAsia" w:cs="Times New Roman"/>
            </w:rPr>
            <w:t>-ligand complexes.</w:t>
          </w:r>
          <w:r>
            <w:rPr>
              <w:rFonts w:hint="eastAsia"/>
            </w:rPr>
            <w:tab/>
          </w:r>
          <w:r>
            <w:rPr>
              <w:rFonts w:hint="eastAsia"/>
            </w:rPr>
            <w:fldChar w:fldCharType="begin"/>
          </w:r>
          <w:r>
            <w:rPr>
              <w:rFonts w:hint="eastAsia"/>
            </w:rPr>
            <w:instrText xml:space="preserve"> </w:instrText>
          </w:r>
          <w:r>
            <w:instrText xml:space="preserve">PAGEREF _Toc221108139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1448125B">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"_Toc221108140" </w:instrText>
          </w:r>
          <w:r>
            <w:fldChar w:fldCharType="separate"/>
          </w:r>
          <w:r>
            <w:rPr>
              <w:rStyle w:val="17"/>
              <w:rFonts w:hint="eastAsia" w:cs="Times New Roman"/>
            </w:rPr>
            <w:t>Supplementary Fig. 6 | Benchmarking gas-phase energetics of Li</w:t>
          </w:r>
          <w:r>
            <w:rPr>
              <w:rStyle w:val="17"/>
              <w:rFonts w:hint="eastAsia" w:cs="Times New Roman"/>
              <w:vertAlign w:val="superscript"/>
            </w:rPr>
            <w:t>+</w:t>
          </w:r>
          <w:r>
            <w:rPr>
              <w:rStyle w:val="17"/>
              <w:rFonts w:hint="eastAsia" w:cs="Times New Roman"/>
            </w:rPr>
            <w:t>-molecule complexes.</w:t>
          </w:r>
          <w:r>
            <w:rPr>
              <w:rFonts w:hint="eastAsia"/>
            </w:rPr>
            <w:tab/>
          </w:r>
          <w:r>
            <w:rPr>
              <w:rFonts w:hint="eastAsia"/>
            </w:rPr>
            <w:fldChar w:fldCharType="begin"/>
          </w:r>
          <w:r>
            <w:rPr>
              <w:rFonts w:hint="eastAsia"/>
            </w:rPr>
            <w:instrText xml:space="preserve"> </w:instrText>
          </w:r>
          <w:r>
            <w:instrText xml:space="preserve">PAGEREF _Toc221108140 \h</w:instrText>
          </w:r>
          <w:r>
            <w:rPr>
              <w:rFonts w:hint="eastAsia"/>
            </w:rPr>
            <w:instrText xml:space="preserve"> </w:instrText>
          </w:r>
          <w:r>
            <w:rPr>
              <w:rFonts w:hint="eastAsia"/>
            </w:rPr>
            <w:fldChar w:fldCharType="separate"/>
          </w:r>
          <w:r>
            <w:t>20</w:t>
          </w:r>
          <w:r>
            <w:rPr>
              <w:rFonts w:hint="eastAsia"/>
            </w:rPr>
            <w:fldChar w:fldCharType="end"/>
          </w:r>
          <w:r>
            <w:rPr>
              <w:rFonts w:hint="eastAsia"/>
            </w:rPr>
            <w:fldChar w:fldCharType="end"/>
          </w:r>
        </w:p>
        <w:p w14:paraId="2BF4DCF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"_Toc221108141" </w:instrText>
          </w:r>
          <w:r>
            <w:fldChar w:fldCharType="separate"/>
          </w:r>
          <w:r>
            <w:rPr>
              <w:rStyle w:val="17"/>
              <w:rFonts w:hint="eastAsia" w:cs="Times New Roman"/>
            </w:rPr>
            <w:t>Supplementary Table 7 | RESP-derived atomic partial charges for molecules.</w:t>
          </w:r>
          <w:r>
            <w:rPr>
              <w:rFonts w:hint="eastAsia"/>
            </w:rPr>
            <w:tab/>
          </w:r>
          <w:r>
            <w:rPr>
              <w:rFonts w:hint="eastAsia"/>
            </w:rPr>
            <w:fldChar w:fldCharType="begin"/>
          </w:r>
          <w:r>
            <w:rPr>
              <w:rFonts w:hint="eastAsia"/>
            </w:rPr>
            <w:instrText xml:space="preserve"> </w:instrText>
          </w:r>
          <w:r>
            <w:instrText xml:space="preserve">PAGEREF _Toc221108141 \h</w:instrText>
          </w:r>
          <w:r>
            <w:rPr>
              <w:rFonts w:hint="eastAsia"/>
            </w:rPr>
            <w:instrText xml:space="preserve"> </w:instrText>
          </w:r>
          <w:r>
            <w:rPr>
              <w:rFonts w:hint="eastAsia"/>
            </w:rPr>
            <w:fldChar w:fldCharType="separate"/>
          </w:r>
          <w:r>
            <w:t>21</w:t>
          </w:r>
          <w:r>
            <w:rPr>
              <w:rFonts w:hint="eastAsia"/>
            </w:rPr>
            <w:fldChar w:fldCharType="end"/>
          </w:r>
          <w:r>
            <w:rPr>
              <w:rFonts w:hint="eastAsia"/>
            </w:rPr>
            <w:fldChar w:fldCharType="end"/>
          </w:r>
        </w:p>
        <w:p w14:paraId="6BCCBFA6">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"_Toc221108142" </w:instrText>
          </w:r>
          <w:r>
            <w:fldChar w:fldCharType="separate"/>
          </w:r>
          <w:r>
            <w:rPr>
              <w:rStyle w:val="17"/>
              <w:rFonts w:hint="eastAsia" w:cs="Times New Roman"/>
            </w:rPr>
            <w:t>Supplementary Table 8 | Reference atomic partial charges for ions.</w:t>
          </w:r>
          <w:r>
            <w:rPr>
              <w:rFonts w:hint="eastAsia"/>
            </w:rPr>
            <w:tab/>
          </w:r>
          <w:r>
            <w:rPr>
              <w:rFonts w:hint="eastAsia"/>
            </w:rPr>
            <w:fldChar w:fldCharType="begin"/>
          </w:r>
          <w:r>
            <w:rPr>
              <w:rFonts w:hint="eastAsia"/>
            </w:rPr>
            <w:instrText xml:space="preserve"> </w:instrText>
          </w:r>
          <w:r>
            <w:instrText xml:space="preserve">PAGEREF _Toc221108142 \h</w:instrText>
          </w:r>
          <w:r>
            <w:rPr>
              <w:rFonts w:hint="eastAsia"/>
            </w:rPr>
            <w:instrText xml:space="preserve"> </w:instrText>
          </w:r>
          <w:r>
            <w:rPr>
              <w:rFonts w:hint="eastAsia"/>
            </w:rPr>
            <w:fldChar w:fldCharType="separate"/>
          </w:r>
          <w:r>
            <w:t>23</w:t>
          </w:r>
          <w:r>
            <w:rPr>
              <w:rFonts w:hint="eastAsia"/>
            </w:rPr>
            <w:fldChar w:fldCharType="end"/>
          </w:r>
          <w:r>
            <w:rPr>
              <w:rFonts w:hint="eastAsia"/>
            </w:rPr>
            <w:fldChar w:fldCharType="end"/>
          </w:r>
        </w:p>
        <w:p w14:paraId="28E122B1">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"_Toc221108143" </w:instrText>
          </w:r>
          <w:r>
            <w:fldChar w:fldCharType="separate"/>
          </w:r>
          <w:r>
            <w:rPr>
              <w:rStyle w:val="17"/>
              <w:rFonts w:hint="eastAsia" w:cs="Times New Roman"/>
            </w:rPr>
            <w:t>Supplementary Table 9 | OPLS&amp;Pol parameters: polarizabilities and dipole moments.</w:t>
          </w:r>
          <w:r>
            <w:rPr>
              <w:rFonts w:hint="eastAsia"/>
            </w:rPr>
            <w:tab/>
          </w:r>
          <w:r>
            <w:rPr>
              <w:rFonts w:hint="eastAsia"/>
            </w:rPr>
            <w:fldChar w:fldCharType="begin"/>
          </w:r>
          <w:r>
            <w:rPr>
              <w:rFonts w:hint="eastAsia"/>
            </w:rPr>
            <w:instrText xml:space="preserve"> </w:instrText>
          </w:r>
          <w:r>
            <w:instrText xml:space="preserve">PAGEREF _Toc221108143 \h</w:instrText>
          </w:r>
          <w:r>
            <w:rPr>
              <w:rFonts w:hint="eastAsia"/>
            </w:rPr>
            <w:instrText xml:space="preserve"> </w:instrText>
          </w:r>
          <w:r>
            <w:rPr>
              <w:rFonts w:hint="eastAsia"/>
            </w:rPr>
            <w:fldChar w:fldCharType="separate"/>
          </w:r>
          <w:r>
            <w:t>24</w:t>
          </w:r>
          <w:r>
            <w:rPr>
              <w:rFonts w:hint="eastAsia"/>
            </w:rPr>
            <w:fldChar w:fldCharType="end"/>
          </w:r>
          <w:r>
            <w:rPr>
              <w:rFonts w:hint="eastAsia"/>
            </w:rPr>
            <w:fldChar w:fldCharType="end"/>
          </w:r>
        </w:p>
        <w:p w14:paraId="5FFC9C9E">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"_Toc221108144" </w:instrText>
          </w:r>
          <w:r>
            <w:fldChar w:fldCharType="separate"/>
          </w:r>
          <w:r>
            <w:rPr>
              <w:rStyle w:val="17"/>
              <w:rFonts w:hint="eastAsia" w:cs="Times New Roman"/>
            </w:rPr>
            <w:t>Supplementary Table 10 | OPLS&amp;Pol parameters: equilibrium distances and LJ scaling factors.</w:t>
          </w:r>
          <w:r>
            <w:rPr>
              <w:rFonts w:hint="eastAsia"/>
            </w:rPr>
            <w:tab/>
          </w:r>
          <w:r>
            <w:rPr>
              <w:rFonts w:hint="eastAsia"/>
            </w:rPr>
            <w:fldChar w:fldCharType="begin"/>
          </w:r>
          <w:r>
            <w:rPr>
              <w:rFonts w:hint="eastAsia"/>
            </w:rPr>
            <w:instrText xml:space="preserve"> </w:instrText>
          </w:r>
          <w:r>
            <w:instrText xml:space="preserve">PAGEREF _Toc221108144 \h</w:instrText>
          </w:r>
          <w:r>
            <w:rPr>
              <w:rFonts w:hint="eastAsia"/>
            </w:rPr>
            <w:instrText xml:space="preserve"> </w:instrText>
          </w:r>
          <w:r>
            <w:rPr>
              <w:rFonts w:hint="eastAsia"/>
            </w:rPr>
            <w:fldChar w:fldCharType="separate"/>
          </w:r>
          <w:r>
            <w:t>27</w:t>
          </w:r>
          <w:r>
            <w:rPr>
              <w:rFonts w:hint="eastAsia"/>
            </w:rPr>
            <w:fldChar w:fldCharType="end"/>
          </w:r>
          <w:r>
            <w:rPr>
              <w:rFonts w:hint="eastAsia"/>
            </w:rPr>
            <w:fldChar w:fldCharType="end"/>
          </w:r>
        </w:p>
        <w:p w14:paraId="79113BB4">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"_Toc221108145" </w:instrText>
          </w:r>
          <w:r>
            <w:fldChar w:fldCharType="separate"/>
          </w:r>
          <w:r>
            <w:rPr>
              <w:rStyle w:val="17"/>
              <w:rFonts w:hint="eastAsia" w:cs="Times New Roman"/>
            </w:rPr>
            <w:t>Supplementary Table 11 | Parameter comparison between OPLS&amp;Pol and CL&amp;Pol.</w:t>
          </w:r>
          <w:r>
            <w:rPr>
              <w:rFonts w:hint="eastAsia"/>
            </w:rPr>
            <w:tab/>
          </w:r>
          <w:r>
            <w:rPr>
              <w:rFonts w:hint="eastAsia"/>
            </w:rPr>
            <w:fldChar w:fldCharType="begin"/>
          </w:r>
          <w:r>
            <w:rPr>
              <w:rFonts w:hint="eastAsia"/>
            </w:rPr>
            <w:instrText xml:space="preserve"> </w:instrText>
          </w:r>
          <w:r>
            <w:instrText xml:space="preserve">PAGEREF _Toc221108145 \h</w:instrText>
          </w:r>
          <w:r>
            <w:rPr>
              <w:rFonts w:hint="eastAsia"/>
            </w:rPr>
            <w:instrText xml:space="preserve"> </w:instrText>
          </w:r>
          <w:r>
            <w:rPr>
              <w:rFonts w:hint="eastAsia"/>
            </w:rPr>
            <w:fldChar w:fldCharType="separate"/>
          </w:r>
          <w:r>
            <w:t>29</w:t>
          </w:r>
          <w:r>
            <w:rPr>
              <w:rFonts w:hint="eastAsia"/>
            </w:rPr>
            <w:fldChar w:fldCharType="end"/>
          </w:r>
          <w:r>
            <w:rPr>
              <w:rFonts w:hint="eastAsia"/>
            </w:rPr>
            <w:fldChar w:fldCharType="end"/>
          </w:r>
        </w:p>
        <w:p w14:paraId="252C4E38">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HYPERLINK \l "_Toc221108146" </w:instrText>
          </w:r>
          <w:r>
            <w:fldChar w:fldCharType="separate"/>
          </w:r>
          <w:r>
            <w:rPr>
              <w:rStyle w:val="17"/>
              <w:rFonts w:hint="eastAsia"/>
            </w:rPr>
            <w:t>Supplementary Note 5 | Static and Transport Properties of Neat Components</w:t>
          </w:r>
          <w:r>
            <w:rPr>
              <w:rFonts w:hint="eastAsia"/>
            </w:rPr>
            <w:tab/>
          </w:r>
          <w:r>
            <w:rPr>
              <w:rFonts w:hint="eastAsia"/>
            </w:rPr>
            <w:fldChar w:fldCharType="begin"/>
          </w:r>
          <w:r>
            <w:rPr>
              <w:rFonts w:hint="eastAsia"/>
            </w:rPr>
            <w:instrText xml:space="preserve"> </w:instrText>
          </w:r>
          <w:r>
            <w:instrText xml:space="preserve">PAGEREF _Toc221108146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14:paraId="2FC18E7D">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"_Toc221108147" </w:instrText>
          </w:r>
          <w:r>
            <w:fldChar w:fldCharType="separate"/>
          </w:r>
          <w:r>
            <w:rPr>
              <w:rStyle w:val="17"/>
              <w:rFonts w:hint="eastAsia" w:cs="Times New Roman"/>
            </w:rPr>
            <w:t>Supplementary Table 12 | Benchmark comparison of calculated densities for neat components.</w:t>
          </w:r>
          <w:r>
            <w:rPr>
              <w:rFonts w:hint="eastAsia"/>
            </w:rPr>
            <w:tab/>
          </w:r>
          <w:r>
            <w:rPr>
              <w:rFonts w:hint="eastAsia"/>
            </w:rPr>
            <w:fldChar w:fldCharType="begin"/>
          </w:r>
          <w:r>
            <w:rPr>
              <w:rFonts w:hint="eastAsia"/>
            </w:rPr>
            <w:instrText xml:space="preserve"> </w:instrText>
          </w:r>
          <w:r>
            <w:instrText xml:space="preserve">PAGEREF _Toc221108147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14:paraId="2F842A93">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"_Toc221108148" </w:instrText>
          </w:r>
          <w:r>
            <w:fldChar w:fldCharType="separate"/>
          </w:r>
          <w:r>
            <w:rPr>
              <w:rStyle w:val="17"/>
              <w:rFonts w:hint="eastAsia" w:cs="Times New Roman"/>
            </w:rPr>
            <w:t>Supplementary Table 13 | Benchmark comparison of calculated self-diffusion coefficients for neat components.</w:t>
          </w:r>
          <w:r>
            <w:rPr>
              <w:rFonts w:hint="eastAsia"/>
            </w:rPr>
            <w:tab/>
          </w:r>
          <w:r>
            <w:rPr>
              <w:rFonts w:hint="eastAsia"/>
            </w:rPr>
            <w:fldChar w:fldCharType="begin"/>
          </w:r>
          <w:r>
            <w:rPr>
              <w:rFonts w:hint="eastAsia"/>
            </w:rPr>
            <w:instrText xml:space="preserve"> </w:instrText>
          </w:r>
          <w:r>
            <w:instrText xml:space="preserve">PAGEREF _Toc221108148 \h</w:instrText>
          </w:r>
          <w:r>
            <w:rPr>
              <w:rFonts w:hint="eastAsia"/>
            </w:rPr>
            <w:instrText xml:space="preserve"> </w:instrText>
          </w:r>
          <w:r>
            <w:rPr>
              <w:rFonts w:hint="eastAsia"/>
            </w:rPr>
            <w:fldChar w:fldCharType="separate"/>
          </w:r>
          <w:r>
            <w:t>31</w:t>
          </w:r>
          <w:r>
            <w:rPr>
              <w:rFonts w:hint="eastAsia"/>
            </w:rPr>
            <w:fldChar w:fldCharType="end"/>
          </w:r>
          <w:r>
            <w:rPr>
              <w:rFonts w:hint="eastAsia"/>
            </w:rPr>
            <w:fldChar w:fldCharType="end"/>
          </w:r>
        </w:p>
        <w:p w14:paraId="7C622915">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HYPERLINK \l "_Toc221108149" </w:instrText>
          </w:r>
          <w:r>
            <w:fldChar w:fldCharType="separate"/>
          </w:r>
          <w:r>
            <w:rPr>
              <w:rStyle w:val="17"/>
              <w:rFonts w:hint="eastAsia"/>
            </w:rPr>
            <w:t>Supplementary Note 6 | Polarization-Driven Li</w:t>
          </w:r>
          <w:r>
            <w:rPr>
              <w:rStyle w:val="17"/>
              <w:rFonts w:hint="eastAsia"/>
              <w:vertAlign w:val="superscript"/>
            </w:rPr>
            <w:t>+</w:t>
          </w:r>
          <w:r>
            <w:rPr>
              <w:rStyle w:val="17"/>
              <w:rFonts w:hint="eastAsia"/>
            </w:rPr>
            <w:t xml:space="preserve"> Solvation across Concentration Regimes</w:t>
          </w:r>
          <w:r>
            <w:rPr>
              <w:rFonts w:hint="eastAsia"/>
            </w:rPr>
            <w:tab/>
          </w:r>
          <w:r>
            <w:rPr>
              <w:rFonts w:hint="eastAsia"/>
            </w:rPr>
            <w:fldChar w:fldCharType="begin"/>
          </w:r>
          <w:r>
            <w:rPr>
              <w:rFonts w:hint="eastAsia"/>
            </w:rPr>
            <w:instrText xml:space="preserve"> </w:instrText>
          </w:r>
          <w:r>
            <w:instrText xml:space="preserve">PAGEREF _Toc221108149 \h</w:instrText>
          </w:r>
          <w:r>
            <w:rPr>
              <w:rFonts w:hint="eastAsia"/>
            </w:rPr>
            <w:instrText xml:space="preserve"> </w:instrText>
          </w:r>
          <w:r>
            <w:rPr>
              <w:rFonts w:hint="eastAsia"/>
            </w:rPr>
            <w:fldChar w:fldCharType="separate"/>
          </w:r>
          <w:r>
            <w:t>32</w:t>
          </w:r>
          <w:r>
            <w:rPr>
              <w:rFonts w:hint="eastAsia"/>
            </w:rPr>
            <w:fldChar w:fldCharType="end"/>
          </w:r>
          <w:r>
            <w:rPr>
              <w:rFonts w:hint="eastAsia"/>
            </w:rPr>
            <w:fldChar w:fldCharType="end"/>
          </w:r>
        </w:p>
        <w:p w14:paraId="5CCF091B">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"_Toc221108150" </w:instrText>
          </w:r>
          <w:r>
            <w:fldChar w:fldCharType="separate"/>
          </w:r>
          <w:r>
            <w:rPr>
              <w:rStyle w:val="17"/>
              <w:rFonts w:hint="eastAsia" w:cs="Times New Roman"/>
            </w:rPr>
            <w:t>Supplementary Fig. 7 | Simulation configurations for LiFSI:DME:TFEO ether-based system.</w:t>
          </w:r>
          <w:r>
            <w:rPr>
              <w:rFonts w:hint="eastAsia"/>
            </w:rPr>
            <w:tab/>
          </w:r>
          <w:r>
            <w:rPr>
              <w:rFonts w:hint="eastAsia"/>
            </w:rPr>
            <w:fldChar w:fldCharType="begin"/>
          </w:r>
          <w:r>
            <w:rPr>
              <w:rFonts w:hint="eastAsia"/>
            </w:rPr>
            <w:instrText xml:space="preserve"> </w:instrText>
          </w:r>
          <w:r>
            <w:instrText xml:space="preserve">PAGEREF _Toc221108150 \h</w:instrText>
          </w:r>
          <w:r>
            <w:rPr>
              <w:rFonts w:hint="eastAsia"/>
            </w:rPr>
            <w:instrText xml:space="preserve"> </w:instrText>
          </w:r>
          <w:r>
            <w:rPr>
              <w:rFonts w:hint="eastAsia"/>
            </w:rPr>
            <w:fldChar w:fldCharType="separate"/>
          </w:r>
          <w:r>
            <w:t>32</w:t>
          </w:r>
          <w:r>
            <w:rPr>
              <w:rFonts w:hint="eastAsia"/>
            </w:rPr>
            <w:fldChar w:fldCharType="end"/>
          </w:r>
          <w:r>
            <w:rPr>
              <w:rFonts w:hint="eastAsia"/>
            </w:rPr>
            <w:fldChar w:fldCharType="end"/>
          </w:r>
        </w:p>
        <w:p w14:paraId="0D9D4207">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"_Toc221108151" </w:instrText>
          </w:r>
          <w:r>
            <w:fldChar w:fldCharType="separate"/>
          </w:r>
          <w:r>
            <w:rPr>
              <w:rStyle w:val="17"/>
              <w:rFonts w:hint="eastAsia" w:cs="Times New Roman"/>
            </w:rPr>
            <w:t>Supplementary Fig. 8 | Benchmarking Li</w:t>
          </w:r>
          <w:r>
            <w:rPr>
              <w:rStyle w:val="17"/>
              <w:rFonts w:hint="eastAsia" w:cs="Times New Roman"/>
              <w:vertAlign w:val="superscript"/>
            </w:rPr>
            <w:t>+</w:t>
          </w:r>
          <w:r>
            <w:rPr>
              <w:rStyle w:val="17"/>
              <w:rFonts w:hint="eastAsia" w:cs="Times New Roman"/>
            </w:rPr>
            <w:t xml:space="preserve"> solvation structures in 1LiFSI:9DME.</w:t>
          </w:r>
          <w:r>
            <w:rPr>
              <w:rFonts w:hint="eastAsia"/>
            </w:rPr>
            <w:tab/>
          </w:r>
          <w:r>
            <w:rPr>
              <w:rFonts w:hint="eastAsia"/>
            </w:rPr>
            <w:fldChar w:fldCharType="begin"/>
          </w:r>
          <w:r>
            <w:rPr>
              <w:rFonts w:hint="eastAsia"/>
            </w:rPr>
            <w:instrText xml:space="preserve"> </w:instrText>
          </w:r>
          <w:r>
            <w:instrText xml:space="preserve">PAGEREF _Toc221108151 \h</w:instrText>
          </w:r>
          <w:r>
            <w:rPr>
              <w:rFonts w:hint="eastAsia"/>
            </w:rPr>
            <w:instrText xml:space="preserve"> </w:instrText>
          </w:r>
          <w:r>
            <w:rPr>
              <w:rFonts w:hint="eastAsia"/>
            </w:rPr>
            <w:fldChar w:fldCharType="separate"/>
          </w:r>
          <w:r>
            <w:t>33</w:t>
          </w:r>
          <w:r>
            <w:rPr>
              <w:rFonts w:hint="eastAsia"/>
            </w:rPr>
            <w:fldChar w:fldCharType="end"/>
          </w:r>
          <w:r>
            <w:rPr>
              <w:rFonts w:hint="eastAsia"/>
            </w:rPr>
            <w:fldChar w:fldCharType="end"/>
          </w:r>
        </w:p>
        <w:p w14:paraId="64FACBA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"_Toc221108152" </w:instrText>
          </w:r>
          <w:r>
            <w:fldChar w:fldCharType="separate"/>
          </w:r>
          <w:r>
            <w:rPr>
              <w:rStyle w:val="17"/>
              <w:rFonts w:hint="eastAsia" w:cs="Times New Roman"/>
            </w:rPr>
            <w:t>Supplementary Fig. 9 | Benchmarking Li</w:t>
          </w:r>
          <w:r>
            <w:rPr>
              <w:rStyle w:val="17"/>
              <w:rFonts w:hint="eastAsia" w:cs="Times New Roman"/>
              <w:vertAlign w:val="superscript"/>
            </w:rPr>
            <w:t>+</w:t>
          </w:r>
          <w:r>
            <w:rPr>
              <w:rStyle w:val="17"/>
              <w:rFonts w:hint="eastAsia" w:cs="Times New Roman"/>
            </w:rPr>
            <w:t xml:space="preserve"> solvation structures in 1LiFSI:1.4DME.</w:t>
          </w:r>
          <w:r>
            <w:rPr>
              <w:rFonts w:hint="eastAsia"/>
            </w:rPr>
            <w:tab/>
          </w:r>
          <w:r>
            <w:rPr>
              <w:rFonts w:hint="eastAsia"/>
            </w:rPr>
            <w:fldChar w:fldCharType="begin"/>
          </w:r>
          <w:r>
            <w:rPr>
              <w:rFonts w:hint="eastAsia"/>
            </w:rPr>
            <w:instrText xml:space="preserve"> </w:instrText>
          </w:r>
          <w:r>
            <w:instrText xml:space="preserve">PAGEREF _Toc221108152 \h</w:instrText>
          </w:r>
          <w:r>
            <w:rPr>
              <w:rFonts w:hint="eastAsia"/>
            </w:rPr>
            <w:instrText xml:space="preserve"> </w:instrText>
          </w:r>
          <w:r>
            <w:rPr>
              <w:rFonts w:hint="eastAsia"/>
            </w:rPr>
            <w:fldChar w:fldCharType="separate"/>
          </w:r>
          <w:r>
            <w:t>34</w:t>
          </w:r>
          <w:r>
            <w:rPr>
              <w:rFonts w:hint="eastAsia"/>
            </w:rPr>
            <w:fldChar w:fldCharType="end"/>
          </w:r>
          <w:r>
            <w:rPr>
              <w:rFonts w:hint="eastAsia"/>
            </w:rPr>
            <w:fldChar w:fldCharType="end"/>
          </w:r>
        </w:p>
        <w:p w14:paraId="0462A51A">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"_Toc221108153" </w:instrText>
          </w:r>
          <w:r>
            <w:fldChar w:fldCharType="separate"/>
          </w:r>
          <w:r>
            <w:rPr>
              <w:rStyle w:val="17"/>
              <w:rFonts w:hint="eastAsia" w:cs="Times New Roman"/>
            </w:rPr>
            <w:t>Supplementary Fig. 10 | Benchmarking Li</w:t>
          </w:r>
          <w:r>
            <w:rPr>
              <w:rStyle w:val="17"/>
              <w:rFonts w:hint="eastAsia" w:cs="Times New Roman"/>
              <w:vertAlign w:val="superscript"/>
            </w:rPr>
            <w:t>+</w:t>
          </w:r>
          <w:r>
            <w:rPr>
              <w:rStyle w:val="17"/>
              <w:rFonts w:hint="eastAsia" w:cs="Times New Roman"/>
            </w:rPr>
            <w:t xml:space="preserve"> solvation structures in 1LiFSI:1.2DME and 1LiFSI:1.2DME:2TFEO.</w:t>
          </w:r>
          <w:r>
            <w:rPr>
              <w:rFonts w:hint="eastAsia"/>
            </w:rPr>
            <w:tab/>
          </w:r>
          <w:r>
            <w:rPr>
              <w:rFonts w:hint="eastAsia"/>
            </w:rPr>
            <w:fldChar w:fldCharType="begin"/>
          </w:r>
          <w:r>
            <w:rPr>
              <w:rFonts w:hint="eastAsia"/>
            </w:rPr>
            <w:instrText xml:space="preserve"> </w:instrText>
          </w:r>
          <w:r>
            <w:instrText xml:space="preserve">PAGEREF _Toc221108153 \h</w:instrText>
          </w:r>
          <w:r>
            <w:rPr>
              <w:rFonts w:hint="eastAsia"/>
            </w:rPr>
            <w:instrText xml:space="preserve"> </w:instrText>
          </w:r>
          <w:r>
            <w:rPr>
              <w:rFonts w:hint="eastAsia"/>
            </w:rPr>
            <w:fldChar w:fldCharType="separate"/>
          </w:r>
          <w:r>
            <w:t>35</w:t>
          </w:r>
          <w:r>
            <w:rPr>
              <w:rFonts w:hint="eastAsia"/>
            </w:rPr>
            <w:fldChar w:fldCharType="end"/>
          </w:r>
          <w:r>
            <w:rPr>
              <w:rFonts w:hint="eastAsia"/>
            </w:rPr>
            <w:fldChar w:fldCharType="end"/>
          </w:r>
        </w:p>
        <w:p w14:paraId="5764801B">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"_Toc221108154" </w:instrText>
          </w:r>
          <w:r>
            <w:fldChar w:fldCharType="separate"/>
          </w:r>
          <w:r>
            <w:rPr>
              <w:rStyle w:val="17"/>
              <w:rFonts w:hint="eastAsia" w:cs="Times New Roman"/>
            </w:rPr>
            <w:t>Supplementary Fig. 11 | Benchmarking FSI</w:t>
          </w:r>
          <w:r>
            <w:rPr>
              <w:rStyle w:val="17"/>
              <w:rFonts w:hint="eastAsia" w:cs="Times New Roman"/>
              <w:vertAlign w:val="superscript"/>
            </w:rPr>
            <w:t>-</w:t>
          </w:r>
          <w:r>
            <w:rPr>
              <w:rStyle w:val="17"/>
              <w:rFonts w:hint="eastAsia" w:cs="Times New Roman"/>
            </w:rPr>
            <w:t xml:space="preserve"> speciation in 1LiFSI:1.4DME (333.15 K).</w:t>
          </w:r>
          <w:r>
            <w:rPr>
              <w:rFonts w:hint="eastAsia"/>
            </w:rPr>
            <w:tab/>
          </w:r>
          <w:r>
            <w:rPr>
              <w:rFonts w:hint="eastAsia"/>
            </w:rPr>
            <w:fldChar w:fldCharType="begin"/>
          </w:r>
          <w:r>
            <w:rPr>
              <w:rFonts w:hint="eastAsia"/>
            </w:rPr>
            <w:instrText xml:space="preserve"> </w:instrText>
          </w:r>
          <w:r>
            <w:instrText xml:space="preserve">PAGEREF _Toc221108154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14:paraId="45936559">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"_Toc221108155" </w:instrText>
          </w:r>
          <w:r>
            <w:fldChar w:fldCharType="separate"/>
          </w:r>
          <w:r>
            <w:rPr>
              <w:rStyle w:val="17"/>
              <w:rFonts w:hint="eastAsia" w:cs="Times New Roman"/>
            </w:rPr>
            <w:t>Supplementary Fig. 12 | Benchmarking FSI</w:t>
          </w:r>
          <w:r>
            <w:rPr>
              <w:rStyle w:val="17"/>
              <w:rFonts w:hint="eastAsia" w:cs="Times New Roman"/>
              <w:vertAlign w:val="superscript"/>
            </w:rPr>
            <w:t>-</w:t>
          </w:r>
          <w:r>
            <w:rPr>
              <w:rStyle w:val="17"/>
              <w:rFonts w:hint="eastAsia" w:cs="Times New Roman"/>
            </w:rPr>
            <w:t xml:space="preserve"> speciation in 1LiFSI:1.4DME (298.15 K).</w:t>
          </w:r>
          <w:r>
            <w:rPr>
              <w:rFonts w:hint="eastAsia"/>
            </w:rPr>
            <w:tab/>
          </w:r>
          <w:r>
            <w:rPr>
              <w:rFonts w:hint="eastAsia"/>
            </w:rPr>
            <w:fldChar w:fldCharType="begin"/>
          </w:r>
          <w:r>
            <w:rPr>
              <w:rFonts w:hint="eastAsia"/>
            </w:rPr>
            <w:instrText xml:space="preserve"> </w:instrText>
          </w:r>
          <w:r>
            <w:instrText xml:space="preserve">PAGEREF _Toc221108155 \h</w:instrText>
          </w:r>
          <w:r>
            <w:rPr>
              <w:rFonts w:hint="eastAsia"/>
            </w:rPr>
            <w:instrText xml:space="preserve"> </w:instrText>
          </w:r>
          <w:r>
            <w:rPr>
              <w:rFonts w:hint="eastAsia"/>
            </w:rPr>
            <w:fldChar w:fldCharType="separate"/>
          </w:r>
          <w:r>
            <w:t>37</w:t>
          </w:r>
          <w:r>
            <w:rPr>
              <w:rFonts w:hint="eastAsia"/>
            </w:rPr>
            <w:fldChar w:fldCharType="end"/>
          </w:r>
          <w:r>
            <w:rPr>
              <w:rFonts w:hint="eastAsia"/>
            </w:rPr>
            <w:fldChar w:fldCharType="end"/>
          </w:r>
        </w:p>
        <w:p w14:paraId="42A3E37E">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"_Toc221108156" </w:instrText>
          </w:r>
          <w:r>
            <w:fldChar w:fldCharType="separate"/>
          </w:r>
          <w:r>
            <w:rPr>
              <w:rStyle w:val="17"/>
              <w:rFonts w:hint="eastAsia" w:cs="Times New Roman"/>
            </w:rPr>
            <w:t>Supplementary Fig. 13 | Benchmarking FSI</w:t>
          </w:r>
          <w:r>
            <w:rPr>
              <w:rStyle w:val="17"/>
              <w:rFonts w:hint="eastAsia" w:cs="Times New Roman"/>
              <w:vertAlign w:val="superscript"/>
            </w:rPr>
            <w:t>-</w:t>
          </w:r>
          <w:r>
            <w:rPr>
              <w:rStyle w:val="17"/>
              <w:rFonts w:hint="eastAsia" w:cs="Times New Roman"/>
            </w:rPr>
            <w:t xml:space="preserve"> speciation in 1LiFSI:9DME (298.15 K).</w:t>
          </w:r>
          <w:r>
            <w:rPr>
              <w:rFonts w:hint="eastAsia"/>
            </w:rPr>
            <w:tab/>
          </w:r>
          <w:r>
            <w:rPr>
              <w:rFonts w:hint="eastAsia"/>
            </w:rPr>
            <w:fldChar w:fldCharType="begin"/>
          </w:r>
          <w:r>
            <w:rPr>
              <w:rFonts w:hint="eastAsia"/>
            </w:rPr>
            <w:instrText xml:space="preserve"> </w:instrText>
          </w:r>
          <w:r>
            <w:instrText xml:space="preserve">PAGEREF _Toc221108156 \h</w:instrText>
          </w:r>
          <w:r>
            <w:rPr>
              <w:rFonts w:hint="eastAsia"/>
            </w:rPr>
            <w:instrText xml:space="preserve"> </w:instrText>
          </w:r>
          <w:r>
            <w:rPr>
              <w:rFonts w:hint="eastAsia"/>
            </w:rPr>
            <w:fldChar w:fldCharType="separate"/>
          </w:r>
          <w:r>
            <w:t>38</w:t>
          </w:r>
          <w:r>
            <w:rPr>
              <w:rFonts w:hint="eastAsia"/>
            </w:rPr>
            <w:fldChar w:fldCharType="end"/>
          </w:r>
          <w:r>
            <w:rPr>
              <w:rFonts w:hint="eastAsia"/>
            </w:rPr>
            <w:fldChar w:fldCharType="end"/>
          </w:r>
        </w:p>
        <w:p w14:paraId="245B42A6">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"_Toc221108157" </w:instrText>
          </w:r>
          <w:r>
            <w:fldChar w:fldCharType="separate"/>
          </w:r>
          <w:r>
            <w:rPr>
              <w:rStyle w:val="17"/>
              <w:rFonts w:hint="eastAsia" w:cs="Times New Roman"/>
            </w:rPr>
            <w:t>Supplementary Fig. 14 | Benchmarking FSI</w:t>
          </w:r>
          <w:r>
            <w:rPr>
              <w:rStyle w:val="17"/>
              <w:rFonts w:hint="eastAsia" w:cs="Times New Roman"/>
              <w:vertAlign w:val="superscript"/>
            </w:rPr>
            <w:t>-</w:t>
          </w:r>
          <w:r>
            <w:rPr>
              <w:rStyle w:val="17"/>
              <w:rFonts w:hint="eastAsia" w:cs="Times New Roman"/>
            </w:rPr>
            <w:t xml:space="preserve"> speciation in 1LiFSI:1.2DME (298.15 K).</w:t>
          </w:r>
          <w:r>
            <w:rPr>
              <w:rFonts w:hint="eastAsia"/>
            </w:rPr>
            <w:tab/>
          </w:r>
          <w:r>
            <w:rPr>
              <w:rFonts w:hint="eastAsia"/>
            </w:rPr>
            <w:fldChar w:fldCharType="begin"/>
          </w:r>
          <w:r>
            <w:rPr>
              <w:rFonts w:hint="eastAsia"/>
            </w:rPr>
            <w:instrText xml:space="preserve"> </w:instrText>
          </w:r>
          <w:r>
            <w:instrText xml:space="preserve">PAGEREF _Toc221108157 \h</w:instrText>
          </w:r>
          <w:r>
            <w:rPr>
              <w:rFonts w:hint="eastAsia"/>
            </w:rPr>
            <w:instrText xml:space="preserve"> </w:instrText>
          </w:r>
          <w:r>
            <w:rPr>
              <w:rFonts w:hint="eastAsia"/>
            </w:rPr>
            <w:fldChar w:fldCharType="separate"/>
          </w:r>
          <w:r>
            <w:t>39</w:t>
          </w:r>
          <w:r>
            <w:rPr>
              <w:rFonts w:hint="eastAsia"/>
            </w:rPr>
            <w:fldChar w:fldCharType="end"/>
          </w:r>
          <w:r>
            <w:rPr>
              <w:rFonts w:hint="eastAsia"/>
            </w:rPr>
            <w:fldChar w:fldCharType="end"/>
          </w:r>
        </w:p>
        <w:p w14:paraId="5C18A708">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"_Toc221108158" </w:instrText>
          </w:r>
          <w:r>
            <w:fldChar w:fldCharType="separate"/>
          </w:r>
          <w:r>
            <w:rPr>
              <w:rStyle w:val="17"/>
              <w:rFonts w:hint="eastAsia" w:cs="Times New Roman"/>
            </w:rPr>
            <w:t>Supplementary Fig. 15 | Benchmarking FSI</w:t>
          </w:r>
          <w:r>
            <w:rPr>
              <w:rStyle w:val="17"/>
              <w:rFonts w:hint="eastAsia" w:cs="Times New Roman"/>
              <w:vertAlign w:val="superscript"/>
            </w:rPr>
            <w:t>-</w:t>
          </w:r>
          <w:r>
            <w:rPr>
              <w:rStyle w:val="17"/>
              <w:rFonts w:hint="eastAsia" w:cs="Times New Roman"/>
            </w:rPr>
            <w:t xml:space="preserve"> speciation in 1LiFSI:1.2DME:2TFEO (298.15 K).</w:t>
          </w:r>
          <w:r>
            <w:rPr>
              <w:rFonts w:hint="eastAsia"/>
            </w:rPr>
            <w:tab/>
          </w:r>
          <w:r>
            <w:rPr>
              <w:rFonts w:hint="eastAsia"/>
            </w:rPr>
            <w:fldChar w:fldCharType="begin"/>
          </w:r>
          <w:r>
            <w:rPr>
              <w:rFonts w:hint="eastAsia"/>
            </w:rPr>
            <w:instrText xml:space="preserve"> </w:instrText>
          </w:r>
          <w:r>
            <w:instrText xml:space="preserve">PAGEREF _Toc221108158 \h</w:instrText>
          </w:r>
          <w:r>
            <w:rPr>
              <w:rFonts w:hint="eastAsia"/>
            </w:rPr>
            <w:instrText xml:space="preserve"> </w:instrText>
          </w:r>
          <w:r>
            <w:rPr>
              <w:rFonts w:hint="eastAsia"/>
            </w:rPr>
            <w:fldChar w:fldCharType="separate"/>
          </w:r>
          <w:r>
            <w:t>40</w:t>
          </w:r>
          <w:r>
            <w:rPr>
              <w:rFonts w:hint="eastAsia"/>
            </w:rPr>
            <w:fldChar w:fldCharType="end"/>
          </w:r>
          <w:r>
            <w:rPr>
              <w:rFonts w:hint="eastAsia"/>
            </w:rPr>
            <w:fldChar w:fldCharType="end"/>
          </w:r>
        </w:p>
        <w:p w14:paraId="38CCB7BF">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"_Toc221108159" </w:instrText>
          </w:r>
          <w:r>
            <w:fldChar w:fldCharType="separate"/>
          </w:r>
          <w:r>
            <w:rPr>
              <w:rStyle w:val="17"/>
              <w:rFonts w:hint="eastAsia" w:cs="Times New Roman"/>
            </w:rPr>
            <w:t>Supplementary Fig. 16 | Comprehensive accuracy assessment of FSI</w:t>
          </w:r>
          <w:r>
            <w:rPr>
              <w:rStyle w:val="17"/>
              <w:rFonts w:hint="eastAsia" w:cs="Times New Roman"/>
              <w:vertAlign w:val="superscript"/>
            </w:rPr>
            <w:t>-</w:t>
          </w:r>
          <w:r>
            <w:rPr>
              <w:rStyle w:val="17"/>
              <w:rFonts w:hint="eastAsia" w:cs="Times New Roman"/>
            </w:rPr>
            <w:t xml:space="preserve"> speciation in LiFSI:DME:TFEO electrolytes.</w:t>
          </w:r>
          <w:r>
            <w:rPr>
              <w:rFonts w:hint="eastAsia"/>
            </w:rPr>
            <w:tab/>
          </w:r>
          <w:r>
            <w:rPr>
              <w:rFonts w:hint="eastAsia"/>
            </w:rPr>
            <w:fldChar w:fldCharType="begin"/>
          </w:r>
          <w:r>
            <w:rPr>
              <w:rFonts w:hint="eastAsia"/>
            </w:rPr>
            <w:instrText xml:space="preserve"> </w:instrText>
          </w:r>
          <w:r>
            <w:instrText xml:space="preserve">PAGEREF _Toc221108159 \h</w:instrText>
          </w:r>
          <w:r>
            <w:rPr>
              <w:rFonts w:hint="eastAsia"/>
            </w:rPr>
            <w:instrText xml:space="preserve"> </w:instrText>
          </w:r>
          <w:r>
            <w:rPr>
              <w:rFonts w:hint="eastAsia"/>
            </w:rPr>
            <w:fldChar w:fldCharType="separate"/>
          </w:r>
          <w:r>
            <w:t>41</w:t>
          </w:r>
          <w:r>
            <w:rPr>
              <w:rFonts w:hint="eastAsia"/>
            </w:rPr>
            <w:fldChar w:fldCharType="end"/>
          </w:r>
          <w:r>
            <w:rPr>
              <w:rFonts w:hint="eastAsia"/>
            </w:rPr>
            <w:fldChar w:fldCharType="end"/>
          </w:r>
        </w:p>
        <w:p w14:paraId="20B1EC1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"_Toc221108160" </w:instrText>
          </w:r>
          <w:r>
            <w:fldChar w:fldCharType="separate"/>
          </w:r>
          <w:r>
            <w:rPr>
              <w:rStyle w:val="17"/>
              <w:rFonts w:hint="eastAsia" w:cs="Times New Roman"/>
            </w:rPr>
            <w:t>Supplementary Fig. 17 | Population landscapes of Li</w:t>
          </w:r>
          <w:r>
            <w:rPr>
              <w:rStyle w:val="17"/>
              <w:rFonts w:hint="eastAsia" w:cs="Times New Roman"/>
              <w:vertAlign w:val="superscript"/>
            </w:rPr>
            <w:t>+</w:t>
          </w:r>
          <w:r>
            <w:rPr>
              <w:rStyle w:val="17"/>
              <w:rFonts w:hint="eastAsia" w:cs="Times New Roman"/>
            </w:rPr>
            <w:t xml:space="preserve"> solvation in LiFSI:DME:TFEO electrolytes.</w:t>
          </w:r>
          <w:r>
            <w:rPr>
              <w:rFonts w:hint="eastAsia"/>
            </w:rPr>
            <w:tab/>
          </w:r>
          <w:r>
            <w:rPr>
              <w:rFonts w:hint="eastAsia"/>
            </w:rPr>
            <w:fldChar w:fldCharType="begin"/>
          </w:r>
          <w:r>
            <w:rPr>
              <w:rFonts w:hint="eastAsia"/>
            </w:rPr>
            <w:instrText xml:space="preserve"> </w:instrText>
          </w:r>
          <w:r>
            <w:instrText xml:space="preserve">PAGEREF _Toc221108160 \h</w:instrText>
          </w:r>
          <w:r>
            <w:rPr>
              <w:rFonts w:hint="eastAsia"/>
            </w:rPr>
            <w:instrText xml:space="preserve"> </w:instrText>
          </w:r>
          <w:r>
            <w:rPr>
              <w:rFonts w:hint="eastAsia"/>
            </w:rPr>
            <w:fldChar w:fldCharType="separate"/>
          </w:r>
          <w:r>
            <w:t>42</w:t>
          </w:r>
          <w:r>
            <w:rPr>
              <w:rFonts w:hint="eastAsia"/>
            </w:rPr>
            <w:fldChar w:fldCharType="end"/>
          </w:r>
          <w:r>
            <w:rPr>
              <w:rFonts w:hint="eastAsia"/>
            </w:rPr>
            <w:fldChar w:fldCharType="end"/>
          </w:r>
        </w:p>
        <w:p w14:paraId="64B9D4D6">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HYPERLINK \l "_Toc221108161" </w:instrText>
          </w:r>
          <w:r>
            <w:fldChar w:fldCharType="separate"/>
          </w:r>
          <w:r>
            <w:rPr>
              <w:rStyle w:val="17"/>
              <w:rFonts w:hint="eastAsia"/>
            </w:rPr>
            <w:t>Supplementary Note 7 | Polarization-Resolved Competition in Multicomponent Electrolytes</w:t>
          </w:r>
          <w:r>
            <w:rPr>
              <w:rFonts w:hint="eastAsia"/>
            </w:rPr>
            <w:tab/>
          </w:r>
          <w:r>
            <w:rPr>
              <w:rFonts w:hint="eastAsia"/>
            </w:rPr>
            <w:fldChar w:fldCharType="begin"/>
          </w:r>
          <w:r>
            <w:rPr>
              <w:rFonts w:hint="eastAsia"/>
            </w:rPr>
            <w:instrText xml:space="preserve"> </w:instrText>
          </w:r>
          <w:r>
            <w:instrText xml:space="preserve">PAGEREF _Toc221108161 \h</w:instrText>
          </w:r>
          <w:r>
            <w:rPr>
              <w:rFonts w:hint="eastAsia"/>
            </w:rPr>
            <w:instrText xml:space="preserve"> </w:instrText>
          </w:r>
          <w:r>
            <w:rPr>
              <w:rFonts w:hint="eastAsia"/>
            </w:rPr>
            <w:fldChar w:fldCharType="separate"/>
          </w:r>
          <w:r>
            <w:t>43</w:t>
          </w:r>
          <w:r>
            <w:rPr>
              <w:rFonts w:hint="eastAsia"/>
            </w:rPr>
            <w:fldChar w:fldCharType="end"/>
          </w:r>
          <w:r>
            <w:rPr>
              <w:rFonts w:hint="eastAsia"/>
            </w:rPr>
            <w:fldChar w:fldCharType="end"/>
          </w:r>
        </w:p>
        <w:p w14:paraId="48270A55">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"_Toc221108162" </w:instrText>
          </w:r>
          <w:r>
            <w:fldChar w:fldCharType="separate"/>
          </w:r>
          <w:r>
            <w:rPr>
              <w:rStyle w:val="17"/>
              <w:rFonts w:hint="eastAsia" w:cs="Times New Roman"/>
            </w:rPr>
            <w:t>Supplementary Fig. 18 | Simulation configurations for LiTFSI:DME:DOL:FEC ether-based systems.</w:t>
          </w:r>
          <w:r>
            <w:rPr>
              <w:rFonts w:hint="eastAsia"/>
            </w:rPr>
            <w:tab/>
          </w:r>
          <w:r>
            <w:rPr>
              <w:rFonts w:hint="eastAsia"/>
            </w:rPr>
            <w:fldChar w:fldCharType="begin"/>
          </w:r>
          <w:r>
            <w:rPr>
              <w:rFonts w:hint="eastAsia"/>
            </w:rPr>
            <w:instrText xml:space="preserve"> </w:instrText>
          </w:r>
          <w:r>
            <w:instrText xml:space="preserve">PAGEREF _Toc221108162 \h</w:instrText>
          </w:r>
          <w:r>
            <w:rPr>
              <w:rFonts w:hint="eastAsia"/>
            </w:rPr>
            <w:instrText xml:space="preserve"> </w:instrText>
          </w:r>
          <w:r>
            <w:rPr>
              <w:rFonts w:hint="eastAsia"/>
            </w:rPr>
            <w:fldChar w:fldCharType="separate"/>
          </w:r>
          <w:r>
            <w:t>43</w:t>
          </w:r>
          <w:r>
            <w:rPr>
              <w:rFonts w:hint="eastAsia"/>
            </w:rPr>
            <w:fldChar w:fldCharType="end"/>
          </w:r>
          <w:r>
            <w:rPr>
              <w:rFonts w:hint="eastAsia"/>
            </w:rPr>
            <w:fldChar w:fldCharType="end"/>
          </w:r>
        </w:p>
        <w:p w14:paraId="1CC42AA2">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"_Toc221108163" </w:instrText>
          </w:r>
          <w:r>
            <w:fldChar w:fldCharType="separate"/>
          </w:r>
          <w:r>
            <w:rPr>
              <w:rStyle w:val="17"/>
              <w:rFonts w:hint="eastAsia" w:cs="Times New Roman"/>
            </w:rPr>
            <w:t>Supplementary Fig. 19 | Concentration-dependent Li</w:t>
          </w:r>
          <w:r>
            <w:rPr>
              <w:rStyle w:val="17"/>
              <w:rFonts w:hint="eastAsia" w:cs="Times New Roman"/>
              <w:vertAlign w:val="superscript"/>
            </w:rPr>
            <w:t>+</w:t>
          </w:r>
          <w:r>
            <w:rPr>
              <w:rStyle w:val="17"/>
              <w:rFonts w:hint="eastAsia" w:cs="Times New Roman"/>
            </w:rPr>
            <w:t xml:space="preserve"> solvation structures in LiTFSI:DME:DOL:FEC electrolytes.</w:t>
          </w:r>
          <w:r>
            <w:rPr>
              <w:rFonts w:hint="eastAsia"/>
            </w:rPr>
            <w:tab/>
          </w:r>
          <w:r>
            <w:rPr>
              <w:rFonts w:hint="eastAsia"/>
            </w:rPr>
            <w:fldChar w:fldCharType="begin"/>
          </w:r>
          <w:r>
            <w:rPr>
              <w:rFonts w:hint="eastAsia"/>
            </w:rPr>
            <w:instrText xml:space="preserve"> </w:instrText>
          </w:r>
          <w:r>
            <w:instrText xml:space="preserve">PAGEREF _Toc221108163 \h</w:instrText>
          </w:r>
          <w:r>
            <w:rPr>
              <w:rFonts w:hint="eastAsia"/>
            </w:rPr>
            <w:instrText xml:space="preserve"> </w:instrText>
          </w:r>
          <w:r>
            <w:rPr>
              <w:rFonts w:hint="eastAsia"/>
            </w:rPr>
            <w:fldChar w:fldCharType="separate"/>
          </w:r>
          <w:r>
            <w:t>44</w:t>
          </w:r>
          <w:r>
            <w:rPr>
              <w:rFonts w:hint="eastAsia"/>
            </w:rPr>
            <w:fldChar w:fldCharType="end"/>
          </w:r>
          <w:r>
            <w:rPr>
              <w:rFonts w:hint="eastAsia"/>
            </w:rPr>
            <w:fldChar w:fldCharType="end"/>
          </w:r>
        </w:p>
        <w:p w14:paraId="2CA454D5">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"_Toc221108164" </w:instrText>
          </w:r>
          <w:r>
            <w:fldChar w:fldCharType="separate"/>
          </w:r>
          <w:r>
            <w:rPr>
              <w:rStyle w:val="17"/>
              <w:rFonts w:hint="eastAsia" w:cs="Times New Roman"/>
            </w:rPr>
            <w:t>Supplementary Fig. 20 | Comparison of TFSI</w:t>
          </w:r>
          <w:r>
            <w:rPr>
              <w:rStyle w:val="17"/>
              <w:rFonts w:hint="eastAsia" w:cs="Times New Roman"/>
              <w:vertAlign w:val="superscript"/>
            </w:rPr>
            <w:t>-</w:t>
          </w:r>
          <w:r>
            <w:rPr>
              <w:rStyle w:val="17"/>
              <w:rFonts w:hint="eastAsia" w:cs="Times New Roman"/>
            </w:rPr>
            <w:t xml:space="preserve"> speciation in LiTFSI:DME:DOL:FEC electrolytes.</w:t>
          </w:r>
          <w:r>
            <w:rPr>
              <w:rFonts w:hint="eastAsia"/>
            </w:rPr>
            <w:tab/>
          </w:r>
          <w:r>
            <w:rPr>
              <w:rFonts w:hint="eastAsia"/>
            </w:rPr>
            <w:fldChar w:fldCharType="begin"/>
          </w:r>
          <w:r>
            <w:rPr>
              <w:rFonts w:hint="eastAsia"/>
            </w:rPr>
            <w:instrText xml:space="preserve"> </w:instrText>
          </w:r>
          <w:r>
            <w:instrText xml:space="preserve">PAGEREF _Toc221108164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14:paraId="375729E6">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"_Toc221108165" </w:instrText>
          </w:r>
          <w:r>
            <w:fldChar w:fldCharType="separate"/>
          </w:r>
          <w:r>
            <w:rPr>
              <w:rStyle w:val="17"/>
              <w:rFonts w:hint="eastAsia" w:cs="Times New Roman"/>
            </w:rPr>
            <w:t>Supplementary Fig. 21 | Decomposition of Li</w:t>
          </w:r>
          <w:r>
            <w:rPr>
              <w:rStyle w:val="17"/>
              <w:rFonts w:hint="eastAsia" w:cs="Times New Roman"/>
              <w:vertAlign w:val="superscript"/>
            </w:rPr>
            <w:t>+</w:t>
          </w:r>
          <w:r>
            <w:rPr>
              <w:rStyle w:val="17"/>
              <w:rFonts w:hint="eastAsia" w:cs="Times New Roman"/>
            </w:rPr>
            <w:t xml:space="preserve"> solvation in 1LiTFSI:2DME:12DOL:1.5FEC (293.15 K).</w:t>
          </w:r>
          <w:r>
            <w:rPr>
              <w:rFonts w:hint="eastAsia"/>
            </w:rPr>
            <w:tab/>
          </w:r>
          <w:r>
            <w:rPr>
              <w:rFonts w:hint="eastAsia"/>
            </w:rPr>
            <w:fldChar w:fldCharType="begin"/>
          </w:r>
          <w:r>
            <w:rPr>
              <w:rFonts w:hint="eastAsia"/>
            </w:rPr>
            <w:instrText xml:space="preserve"> </w:instrText>
          </w:r>
          <w:r>
            <w:instrText xml:space="preserve">PAGEREF _Toc221108165 \h</w:instrText>
          </w:r>
          <w:r>
            <w:rPr>
              <w:rFonts w:hint="eastAsia"/>
            </w:rPr>
            <w:instrText xml:space="preserve"> </w:instrText>
          </w:r>
          <w:r>
            <w:rPr>
              <w:rFonts w:hint="eastAsia"/>
            </w:rPr>
            <w:fldChar w:fldCharType="separate"/>
          </w:r>
          <w:r>
            <w:t>46</w:t>
          </w:r>
          <w:r>
            <w:rPr>
              <w:rFonts w:hint="eastAsia"/>
            </w:rPr>
            <w:fldChar w:fldCharType="end"/>
          </w:r>
          <w:r>
            <w:rPr>
              <w:rFonts w:hint="eastAsia"/>
            </w:rPr>
            <w:fldChar w:fldCharType="end"/>
          </w:r>
        </w:p>
        <w:p w14:paraId="25EF3113">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"_Toc221108166" </w:instrText>
          </w:r>
          <w:r>
            <w:fldChar w:fldCharType="separate"/>
          </w:r>
          <w:r>
            <w:rPr>
              <w:rStyle w:val="17"/>
              <w:rFonts w:hint="eastAsia" w:cs="Times New Roman"/>
            </w:rPr>
            <w:t>Supplementary Fig. 22 | Structural diversity of Li</w:t>
          </w:r>
          <w:r>
            <w:rPr>
              <w:rStyle w:val="17"/>
              <w:rFonts w:hint="eastAsia" w:cs="Times New Roman"/>
              <w:vertAlign w:val="superscript"/>
            </w:rPr>
            <w:t>+</w:t>
          </w:r>
          <w:r>
            <w:rPr>
              <w:rStyle w:val="17"/>
              <w:rFonts w:hint="eastAsia" w:cs="Times New Roman"/>
            </w:rPr>
            <w:t xml:space="preserve"> solvation in 1LiTFSI:2DME:12DOL:1.5FEC (293.15 K).</w:t>
          </w:r>
          <w:r>
            <w:rPr>
              <w:rFonts w:hint="eastAsia"/>
            </w:rPr>
            <w:tab/>
          </w:r>
          <w:r>
            <w:rPr>
              <w:rFonts w:hint="eastAsia"/>
            </w:rPr>
            <w:fldChar w:fldCharType="begin"/>
          </w:r>
          <w:r>
            <w:rPr>
              <w:rFonts w:hint="eastAsia"/>
            </w:rPr>
            <w:instrText xml:space="preserve"> </w:instrText>
          </w:r>
          <w:r>
            <w:instrText xml:space="preserve">PAGEREF _Toc221108166 \h</w:instrText>
          </w:r>
          <w:r>
            <w:rPr>
              <w:rFonts w:hint="eastAsia"/>
            </w:rPr>
            <w:instrText xml:space="preserve"> </w:instrText>
          </w:r>
          <w:r>
            <w:rPr>
              <w:rFonts w:hint="eastAsia"/>
            </w:rPr>
            <w:fldChar w:fldCharType="separate"/>
          </w:r>
          <w:r>
            <w:t>47</w:t>
          </w:r>
          <w:r>
            <w:rPr>
              <w:rFonts w:hint="eastAsia"/>
            </w:rPr>
            <w:fldChar w:fldCharType="end"/>
          </w:r>
          <w:r>
            <w:rPr>
              <w:rFonts w:hint="eastAsia"/>
            </w:rPr>
            <w:fldChar w:fldCharType="end"/>
          </w:r>
        </w:p>
        <w:p w14:paraId="643A7B8B">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HYPERLINK \l "_Toc221108167" </w:instrText>
          </w:r>
          <w:r>
            <w:fldChar w:fldCharType="separate"/>
          </w:r>
          <w:r>
            <w:rPr>
              <w:rStyle w:val="17"/>
              <w:rFonts w:hint="eastAsia"/>
            </w:rPr>
            <w:t>Supplementary Note 8 | Thermodynamic Origin of Solvation Competition in Carbonate Systems</w:t>
          </w:r>
          <w:r>
            <w:rPr>
              <w:rFonts w:hint="eastAsia"/>
            </w:rPr>
            <w:tab/>
          </w:r>
          <w:r>
            <w:rPr>
              <w:rFonts w:hint="eastAsia"/>
            </w:rPr>
            <w:fldChar w:fldCharType="begin"/>
          </w:r>
          <w:r>
            <w:rPr>
              <w:rFonts w:hint="eastAsia"/>
            </w:rPr>
            <w:instrText xml:space="preserve"> </w:instrText>
          </w:r>
          <w:r>
            <w:instrText xml:space="preserve">PAGEREF _Toc221108167 \h</w:instrText>
          </w:r>
          <w:r>
            <w:rPr>
              <w:rFonts w:hint="eastAsia"/>
            </w:rPr>
            <w:instrText xml:space="preserve"> </w:instrText>
          </w:r>
          <w:r>
            <w:rPr>
              <w:rFonts w:hint="eastAsia"/>
            </w:rPr>
            <w:fldChar w:fldCharType="separate"/>
          </w:r>
          <w:r>
            <w:t>48</w:t>
          </w:r>
          <w:r>
            <w:rPr>
              <w:rFonts w:hint="eastAsia"/>
            </w:rPr>
            <w:fldChar w:fldCharType="end"/>
          </w:r>
          <w:r>
            <w:rPr>
              <w:rFonts w:hint="eastAsia"/>
            </w:rPr>
            <w:fldChar w:fldCharType="end"/>
          </w:r>
        </w:p>
        <w:p w14:paraId="32A274F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"_Toc221108168" </w:instrText>
          </w:r>
          <w:r>
            <w:fldChar w:fldCharType="separate"/>
          </w:r>
          <w:r>
            <w:rPr>
              <w:rStyle w:val="17"/>
              <w:rFonts w:hint="eastAsia" w:cs="Times New Roman"/>
            </w:rPr>
            <w:t>Supplementary Fig. 23 | Simulation configurations for LiPF</w:t>
          </w:r>
          <w:r>
            <w:rPr>
              <w:rStyle w:val="17"/>
              <w:rFonts w:hint="eastAsia" w:cs="Times New Roman"/>
              <w:vertAlign w:val="subscript"/>
            </w:rPr>
            <w:t>6</w:t>
          </w:r>
          <w:r>
            <w:rPr>
              <w:rStyle w:val="17"/>
              <w:rFonts w:hint="eastAsia" w:cs="Times New Roman"/>
            </w:rPr>
            <w:t>:EC:EMC:FEC carbonate-based systems.</w:t>
          </w:r>
          <w:r>
            <w:rPr>
              <w:rFonts w:hint="eastAsia"/>
            </w:rPr>
            <w:tab/>
          </w:r>
          <w:r>
            <w:rPr>
              <w:rFonts w:hint="eastAsia"/>
            </w:rPr>
            <w:fldChar w:fldCharType="begin"/>
          </w:r>
          <w:r>
            <w:rPr>
              <w:rFonts w:hint="eastAsia"/>
            </w:rPr>
            <w:instrText xml:space="preserve"> </w:instrText>
          </w:r>
          <w:r>
            <w:instrText xml:space="preserve">PAGEREF _Toc221108168 \h</w:instrText>
          </w:r>
          <w:r>
            <w:rPr>
              <w:rFonts w:hint="eastAsia"/>
            </w:rPr>
            <w:instrText xml:space="preserve"> </w:instrText>
          </w:r>
          <w:r>
            <w:rPr>
              <w:rFonts w:hint="eastAsia"/>
            </w:rPr>
            <w:fldChar w:fldCharType="separate"/>
          </w:r>
          <w:r>
            <w:t>48</w:t>
          </w:r>
          <w:r>
            <w:rPr>
              <w:rFonts w:hint="eastAsia"/>
            </w:rPr>
            <w:fldChar w:fldCharType="end"/>
          </w:r>
          <w:r>
            <w:rPr>
              <w:rFonts w:hint="eastAsia"/>
            </w:rPr>
            <w:fldChar w:fldCharType="end"/>
          </w:r>
        </w:p>
        <w:p w14:paraId="1D6CF52E">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"_Toc221108169" </w:instrText>
          </w:r>
          <w:r>
            <w:fldChar w:fldCharType="separate"/>
          </w:r>
          <w:r>
            <w:rPr>
              <w:rStyle w:val="17"/>
              <w:rFonts w:hint="eastAsia" w:cs="Times New Roman"/>
            </w:rPr>
            <w:t>Supplementary Fig. 24 | Concentration-dependent Li</w:t>
          </w:r>
          <w:r>
            <w:rPr>
              <w:rStyle w:val="17"/>
              <w:rFonts w:hint="eastAsia" w:cs="Times New Roman"/>
              <w:vertAlign w:val="superscript"/>
            </w:rPr>
            <w:t>+</w:t>
          </w:r>
          <w:r>
            <w:rPr>
              <w:rStyle w:val="17"/>
              <w:rFonts w:hint="eastAsia" w:cs="Times New Roman"/>
            </w:rPr>
            <w:t xml:space="preserve"> solvation structures in LiPF</w:t>
          </w:r>
          <w:r>
            <w:rPr>
              <w:rStyle w:val="17"/>
              <w:rFonts w:hint="eastAsia" w:cs="Times New Roman"/>
              <w:vertAlign w:val="subscript"/>
            </w:rPr>
            <w:t>6</w:t>
          </w:r>
          <w:r>
            <w:rPr>
              <w:rStyle w:val="17"/>
              <w:rFonts w:hint="eastAsia" w:cs="Times New Roman"/>
            </w:rPr>
            <w:t>:EC:EMC:FEC electrolytes.</w:t>
          </w:r>
          <w:r>
            <w:rPr>
              <w:rFonts w:hint="eastAsia"/>
            </w:rPr>
            <w:tab/>
          </w:r>
          <w:r>
            <w:rPr>
              <w:rFonts w:hint="eastAsia"/>
            </w:rPr>
            <w:fldChar w:fldCharType="begin"/>
          </w:r>
          <w:r>
            <w:rPr>
              <w:rFonts w:hint="eastAsia"/>
            </w:rPr>
            <w:instrText xml:space="preserve"> </w:instrText>
          </w:r>
          <w:r>
            <w:instrText xml:space="preserve">PAGEREF _Toc221108169 \h</w:instrText>
          </w:r>
          <w:r>
            <w:rPr>
              <w:rFonts w:hint="eastAsia"/>
            </w:rPr>
            <w:instrText xml:space="preserve"> </w:instrText>
          </w:r>
          <w:r>
            <w:rPr>
              <w:rFonts w:hint="eastAsia"/>
            </w:rPr>
            <w:fldChar w:fldCharType="separate"/>
          </w:r>
          <w:r>
            <w:t>49</w:t>
          </w:r>
          <w:r>
            <w:rPr>
              <w:rFonts w:hint="eastAsia"/>
            </w:rPr>
            <w:fldChar w:fldCharType="end"/>
          </w:r>
          <w:r>
            <w:rPr>
              <w:rFonts w:hint="eastAsia"/>
            </w:rPr>
            <w:fldChar w:fldCharType="end"/>
          </w:r>
        </w:p>
        <w:p w14:paraId="78069EF4">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"_Toc221108170" </w:instrText>
          </w:r>
          <w:r>
            <w:fldChar w:fldCharType="separate"/>
          </w:r>
          <w:r>
            <w:rPr>
              <w:rStyle w:val="17"/>
              <w:rFonts w:hint="eastAsia" w:cs="Times New Roman"/>
            </w:rPr>
            <w:t>Supplementary Fig. 25 | Comparison of PF</w:t>
          </w:r>
          <w:r>
            <w:rPr>
              <w:rStyle w:val="17"/>
              <w:rFonts w:hint="eastAsia" w:cs="Times New Roman"/>
              <w:vertAlign w:val="subscript"/>
            </w:rPr>
            <w:t>6</w:t>
          </w:r>
          <w:r>
            <w:rPr>
              <w:rStyle w:val="17"/>
              <w:rFonts w:hint="eastAsia" w:cs="Times New Roman"/>
              <w:vertAlign w:val="superscript"/>
            </w:rPr>
            <w:t>-</w:t>
          </w:r>
          <w:r>
            <w:rPr>
              <w:rStyle w:val="17"/>
              <w:rFonts w:hint="eastAsia" w:cs="Times New Roman"/>
            </w:rPr>
            <w:t xml:space="preserve"> speciation in LiPF</w:t>
          </w:r>
          <w:r>
            <w:rPr>
              <w:rStyle w:val="17"/>
              <w:rFonts w:hint="eastAsia" w:cs="Times New Roman"/>
              <w:vertAlign w:val="subscript"/>
            </w:rPr>
            <w:t>6</w:t>
          </w:r>
          <w:r>
            <w:rPr>
              <w:rStyle w:val="17"/>
              <w:rFonts w:hint="eastAsia" w:cs="Times New Roman"/>
            </w:rPr>
            <w:t>:EC:EMC:FEC electrolytes.</w:t>
          </w:r>
          <w:r>
            <w:rPr>
              <w:rFonts w:hint="eastAsia"/>
            </w:rPr>
            <w:tab/>
          </w:r>
          <w:r>
            <w:rPr>
              <w:rFonts w:hint="eastAsia"/>
            </w:rPr>
            <w:fldChar w:fldCharType="begin"/>
          </w:r>
          <w:r>
            <w:rPr>
              <w:rFonts w:hint="eastAsia"/>
            </w:rPr>
            <w:instrText xml:space="preserve"> </w:instrText>
          </w:r>
          <w:r>
            <w:instrText xml:space="preserve">PAGEREF _Toc221108170 \h</w:instrText>
          </w:r>
          <w:r>
            <w:rPr>
              <w:rFonts w:hint="eastAsia"/>
            </w:rPr>
            <w:instrText xml:space="preserve"> </w:instrText>
          </w:r>
          <w:r>
            <w:rPr>
              <w:rFonts w:hint="eastAsia"/>
            </w:rPr>
            <w:fldChar w:fldCharType="separate"/>
          </w:r>
          <w:r>
            <w:t>50</w:t>
          </w:r>
          <w:r>
            <w:rPr>
              <w:rFonts w:hint="eastAsia"/>
            </w:rPr>
            <w:fldChar w:fldCharType="end"/>
          </w:r>
          <w:r>
            <w:rPr>
              <w:rFonts w:hint="eastAsia"/>
            </w:rPr>
            <w:fldChar w:fldCharType="end"/>
          </w:r>
        </w:p>
        <w:p w14:paraId="310CEE27">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"_Toc221108171" </w:instrText>
          </w:r>
          <w:r>
            <w:fldChar w:fldCharType="separate"/>
          </w:r>
          <w:r>
            <w:rPr>
              <w:rStyle w:val="17"/>
              <w:rFonts w:hint="eastAsia" w:cs="Times New Roman"/>
            </w:rPr>
            <w:t>Supplementary Fig. 26 | Decomposition of Li</w:t>
          </w:r>
          <w:r>
            <w:rPr>
              <w:rStyle w:val="17"/>
              <w:rFonts w:hint="eastAsia" w:cs="Times New Roman"/>
              <w:vertAlign w:val="superscript"/>
            </w:rPr>
            <w:t>+</w:t>
          </w:r>
          <w:r>
            <w:rPr>
              <w:rStyle w:val="17"/>
              <w:rFonts w:hint="eastAsia" w:cs="Times New Roman"/>
            </w:rPr>
            <w:t xml:space="preserve"> solvation in 3LiPF</w:t>
          </w:r>
          <w:r>
            <w:rPr>
              <w:rStyle w:val="17"/>
              <w:rFonts w:hint="eastAsia" w:cs="Times New Roman"/>
              <w:vertAlign w:val="subscript"/>
            </w:rPr>
            <w:t>6</w:t>
          </w:r>
          <w:r>
            <w:rPr>
              <w:rStyle w:val="17"/>
              <w:rFonts w:hint="eastAsia" w:cs="Times New Roman"/>
            </w:rPr>
            <w:t>:13EC:20EMC (333.15 K).</w:t>
          </w:r>
          <w:r>
            <w:rPr>
              <w:rFonts w:hint="eastAsia"/>
            </w:rPr>
            <w:tab/>
          </w:r>
          <w:r>
            <w:rPr>
              <w:rFonts w:hint="eastAsia"/>
            </w:rPr>
            <w:fldChar w:fldCharType="begin"/>
          </w:r>
          <w:r>
            <w:rPr>
              <w:rFonts w:hint="eastAsia"/>
            </w:rPr>
            <w:instrText xml:space="preserve"> </w:instrText>
          </w:r>
          <w:r>
            <w:instrText xml:space="preserve">PAGEREF _Toc221108171 \h</w:instrText>
          </w:r>
          <w:r>
            <w:rPr>
              <w:rFonts w:hint="eastAsia"/>
            </w:rPr>
            <w:instrText xml:space="preserve"> </w:instrText>
          </w:r>
          <w:r>
            <w:rPr>
              <w:rFonts w:hint="eastAsia"/>
            </w:rPr>
            <w:fldChar w:fldCharType="separate"/>
          </w:r>
          <w:r>
            <w:t>51</w:t>
          </w:r>
          <w:r>
            <w:rPr>
              <w:rFonts w:hint="eastAsia"/>
            </w:rPr>
            <w:fldChar w:fldCharType="end"/>
          </w:r>
          <w:r>
            <w:rPr>
              <w:rFonts w:hint="eastAsia"/>
            </w:rPr>
            <w:fldChar w:fldCharType="end"/>
          </w:r>
        </w:p>
        <w:p w14:paraId="58191D37">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"_Toc221108172" </w:instrText>
          </w:r>
          <w:r>
            <w:fldChar w:fldCharType="separate"/>
          </w:r>
          <w:r>
            <w:rPr>
              <w:rStyle w:val="17"/>
              <w:rFonts w:hint="eastAsia" w:cs="Times New Roman"/>
            </w:rPr>
            <w:t>Supplementary Fig. 27 | Structural diversity of Li</w:t>
          </w:r>
          <w:r>
            <w:rPr>
              <w:rStyle w:val="17"/>
              <w:rFonts w:hint="eastAsia" w:cs="Times New Roman"/>
              <w:vertAlign w:val="superscript"/>
            </w:rPr>
            <w:t>+</w:t>
          </w:r>
          <w:r>
            <w:rPr>
              <w:rStyle w:val="17"/>
              <w:rFonts w:hint="eastAsia" w:cs="Times New Roman"/>
            </w:rPr>
            <w:t xml:space="preserve"> solvation in 3LiPF</w:t>
          </w:r>
          <w:r>
            <w:rPr>
              <w:rStyle w:val="17"/>
              <w:rFonts w:hint="eastAsia" w:cs="Times New Roman"/>
              <w:vertAlign w:val="subscript"/>
            </w:rPr>
            <w:t>6</w:t>
          </w:r>
          <w:r>
            <w:rPr>
              <w:rStyle w:val="17"/>
              <w:rFonts w:hint="eastAsia" w:cs="Times New Roman"/>
            </w:rPr>
            <w:t>:13EC:20EMC (333.15 K).</w:t>
          </w:r>
          <w:r>
            <w:rPr>
              <w:rFonts w:hint="eastAsia"/>
            </w:rPr>
            <w:tab/>
          </w:r>
          <w:r>
            <w:rPr>
              <w:rFonts w:hint="eastAsia"/>
            </w:rPr>
            <w:fldChar w:fldCharType="begin"/>
          </w:r>
          <w:r>
            <w:rPr>
              <w:rFonts w:hint="eastAsia"/>
            </w:rPr>
            <w:instrText xml:space="preserve"> </w:instrText>
          </w:r>
          <w:r>
            <w:instrText xml:space="preserve">PAGEREF _Toc221108172 \h</w:instrText>
          </w:r>
          <w:r>
            <w:rPr>
              <w:rFonts w:hint="eastAsia"/>
            </w:rPr>
            <w:instrText xml:space="preserve"> </w:instrText>
          </w:r>
          <w:r>
            <w:rPr>
              <w:rFonts w:hint="eastAsia"/>
            </w:rPr>
            <w:fldChar w:fldCharType="separate"/>
          </w:r>
          <w:r>
            <w:t>52</w:t>
          </w:r>
          <w:r>
            <w:rPr>
              <w:rFonts w:hint="eastAsia"/>
            </w:rPr>
            <w:fldChar w:fldCharType="end"/>
          </w:r>
          <w:r>
            <w:rPr>
              <w:rFonts w:hint="eastAsia"/>
            </w:rPr>
            <w:fldChar w:fldCharType="end"/>
          </w:r>
        </w:p>
        <w:p w14:paraId="5682B905">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"_Toc221108173" </w:instrText>
          </w:r>
          <w:r>
            <w:fldChar w:fldCharType="separate"/>
          </w:r>
          <w:r>
            <w:rPr>
              <w:rStyle w:val="17"/>
              <w:rFonts w:hint="eastAsia" w:cs="Times New Roman"/>
            </w:rPr>
            <w:t>Supplementary Fig. 28 | Decomposition of Li</w:t>
          </w:r>
          <w:r>
            <w:rPr>
              <w:rStyle w:val="17"/>
              <w:rFonts w:hint="eastAsia" w:cs="Times New Roman"/>
              <w:vertAlign w:val="superscript"/>
            </w:rPr>
            <w:t>+</w:t>
          </w:r>
          <w:r>
            <w:rPr>
              <w:rStyle w:val="17"/>
              <w:rFonts w:hint="eastAsia" w:cs="Times New Roman"/>
            </w:rPr>
            <w:t xml:space="preserve"> solvation in 3LiPF</w:t>
          </w:r>
          <w:r>
            <w:rPr>
              <w:rStyle w:val="17"/>
              <w:rFonts w:hint="eastAsia" w:cs="Times New Roman"/>
              <w:vertAlign w:val="subscript"/>
            </w:rPr>
            <w:t>6</w:t>
          </w:r>
          <w:r>
            <w:rPr>
              <w:rStyle w:val="17"/>
              <w:rFonts w:hint="eastAsia" w:cs="Times New Roman"/>
            </w:rPr>
            <w:t>:13EC:20EMC:4FEC (333.15 K).</w:t>
          </w:r>
          <w:r>
            <w:rPr>
              <w:rFonts w:hint="eastAsia"/>
            </w:rPr>
            <w:tab/>
          </w:r>
          <w:r>
            <w:rPr>
              <w:rFonts w:hint="eastAsia"/>
            </w:rPr>
            <w:fldChar w:fldCharType="begin"/>
          </w:r>
          <w:r>
            <w:rPr>
              <w:rFonts w:hint="eastAsia"/>
            </w:rPr>
            <w:instrText xml:space="preserve"> </w:instrText>
          </w:r>
          <w:r>
            <w:instrText xml:space="preserve">PAGEREF _Toc221108173 \h</w:instrText>
          </w:r>
          <w:r>
            <w:rPr>
              <w:rFonts w:hint="eastAsia"/>
            </w:rPr>
            <w:instrText xml:space="preserve"> </w:instrText>
          </w:r>
          <w:r>
            <w:rPr>
              <w:rFonts w:hint="eastAsia"/>
            </w:rPr>
            <w:fldChar w:fldCharType="separate"/>
          </w:r>
          <w:r>
            <w:t>53</w:t>
          </w:r>
          <w:r>
            <w:rPr>
              <w:rFonts w:hint="eastAsia"/>
            </w:rPr>
            <w:fldChar w:fldCharType="end"/>
          </w:r>
          <w:r>
            <w:rPr>
              <w:rFonts w:hint="eastAsia"/>
            </w:rPr>
            <w:fldChar w:fldCharType="end"/>
          </w:r>
        </w:p>
        <w:p w14:paraId="7000E03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"_Toc221108174" </w:instrText>
          </w:r>
          <w:r>
            <w:fldChar w:fldCharType="separate"/>
          </w:r>
          <w:r>
            <w:rPr>
              <w:rStyle w:val="17"/>
              <w:rFonts w:hint="eastAsia" w:cs="Times New Roman"/>
            </w:rPr>
            <w:t>Supplementary Fig. 29 | Structural diversity of Li solvation in 3LiPF</w:t>
          </w:r>
          <w:r>
            <w:rPr>
              <w:rStyle w:val="17"/>
              <w:rFonts w:hint="eastAsia" w:cs="Times New Roman"/>
              <w:vertAlign w:val="subscript"/>
            </w:rPr>
            <w:t>6</w:t>
          </w:r>
          <w:r>
            <w:rPr>
              <w:rStyle w:val="17"/>
              <w:rFonts w:hint="eastAsia" w:cs="Times New Roman"/>
            </w:rPr>
            <w:t>:13EC:20EMC:4FEC (333.15 K).</w:t>
          </w:r>
          <w:r>
            <w:rPr>
              <w:rFonts w:hint="eastAsia"/>
            </w:rPr>
            <w:tab/>
          </w:r>
          <w:r>
            <w:rPr>
              <w:rFonts w:hint="eastAsia"/>
            </w:rPr>
            <w:fldChar w:fldCharType="begin"/>
          </w:r>
          <w:r>
            <w:rPr>
              <w:rFonts w:hint="eastAsia"/>
            </w:rPr>
            <w:instrText xml:space="preserve"> </w:instrText>
          </w:r>
          <w:r>
            <w:instrText xml:space="preserve">PAGEREF _Toc221108174 \h</w:instrText>
          </w:r>
          <w:r>
            <w:rPr>
              <w:rFonts w:hint="eastAsia"/>
            </w:rPr>
            <w:instrText xml:space="preserve"> </w:instrText>
          </w:r>
          <w:r>
            <w:rPr>
              <w:rFonts w:hint="eastAsia"/>
            </w:rPr>
            <w:fldChar w:fldCharType="separate"/>
          </w:r>
          <w:r>
            <w:t>54</w:t>
          </w:r>
          <w:r>
            <w:rPr>
              <w:rFonts w:hint="eastAsia"/>
            </w:rPr>
            <w:fldChar w:fldCharType="end"/>
          </w:r>
          <w:r>
            <w:rPr>
              <w:rFonts w:hint="eastAsia"/>
            </w:rPr>
            <w:fldChar w:fldCharType="end"/>
          </w:r>
        </w:p>
        <w:p w14:paraId="6CA5767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"_Toc221108175" </w:instrText>
          </w:r>
          <w:r>
            <w:fldChar w:fldCharType="separate"/>
          </w:r>
          <w:r>
            <w:rPr>
              <w:rStyle w:val="17"/>
              <w:rFonts w:hint="eastAsia" w:cs="Times New Roman"/>
            </w:rPr>
            <w:t>Supplementary Fig. 30 | Concentration-dependent Li</w:t>
          </w:r>
          <w:r>
            <w:rPr>
              <w:rStyle w:val="17"/>
              <w:rFonts w:hint="eastAsia" w:cs="Times New Roman"/>
              <w:vertAlign w:val="superscript"/>
            </w:rPr>
            <w:t>+</w:t>
          </w:r>
          <w:r>
            <w:rPr>
              <w:rStyle w:val="17"/>
              <w:rFonts w:hint="eastAsia" w:cs="Times New Roman"/>
            </w:rPr>
            <w:t xml:space="preserve"> solvation structures in LiPF</w:t>
          </w:r>
          <w:r>
            <w:rPr>
              <w:rStyle w:val="17"/>
              <w:rFonts w:hint="eastAsia" w:cs="Times New Roman"/>
              <w:vertAlign w:val="subscript"/>
            </w:rPr>
            <w:t>6</w:t>
          </w:r>
          <w:r>
            <w:rPr>
              <w:rStyle w:val="17"/>
              <w:rFonts w:hint="eastAsia" w:cs="Times New Roman"/>
            </w:rPr>
            <w:t>:EC:EMC electrolytes.</w:t>
          </w:r>
          <w:r>
            <w:rPr>
              <w:rFonts w:hint="eastAsia"/>
            </w:rPr>
            <w:tab/>
          </w:r>
          <w:r>
            <w:rPr>
              <w:rFonts w:hint="eastAsia"/>
            </w:rPr>
            <w:fldChar w:fldCharType="begin"/>
          </w:r>
          <w:r>
            <w:rPr>
              <w:rFonts w:hint="eastAsia"/>
            </w:rPr>
            <w:instrText xml:space="preserve"> </w:instrText>
          </w:r>
          <w:r>
            <w:instrText xml:space="preserve">PAGEREF _Toc221108175 \h</w:instrText>
          </w:r>
          <w:r>
            <w:rPr>
              <w:rFonts w:hint="eastAsia"/>
            </w:rPr>
            <w:instrText xml:space="preserve"> </w:instrText>
          </w:r>
          <w:r>
            <w:rPr>
              <w:rFonts w:hint="eastAsia"/>
            </w:rPr>
            <w:fldChar w:fldCharType="separate"/>
          </w:r>
          <w:r>
            <w:t>55</w:t>
          </w:r>
          <w:r>
            <w:rPr>
              <w:rFonts w:hint="eastAsia"/>
            </w:rPr>
            <w:fldChar w:fldCharType="end"/>
          </w:r>
          <w:r>
            <w:rPr>
              <w:rFonts w:hint="eastAsia"/>
            </w:rPr>
            <w:fldChar w:fldCharType="end"/>
          </w:r>
        </w:p>
        <w:p w14:paraId="22BDA133">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"_Toc221108176" </w:instrText>
          </w:r>
          <w:r>
            <w:fldChar w:fldCharType="separate"/>
          </w:r>
          <w:r>
            <w:rPr>
              <w:rStyle w:val="17"/>
              <w:rFonts w:hint="eastAsia" w:cs="Times New Roman"/>
            </w:rPr>
            <w:t>Supplementary Fig. 31 | Comparison of PF</w:t>
          </w:r>
          <w:r>
            <w:rPr>
              <w:rStyle w:val="17"/>
              <w:rFonts w:hint="eastAsia" w:cs="Times New Roman"/>
              <w:vertAlign w:val="subscript"/>
            </w:rPr>
            <w:t>6</w:t>
          </w:r>
          <w:r>
            <w:rPr>
              <w:rStyle w:val="17"/>
              <w:rFonts w:hint="eastAsia" w:cs="Times New Roman"/>
              <w:vertAlign w:val="superscript"/>
            </w:rPr>
            <w:t>-</w:t>
          </w:r>
          <w:r>
            <w:rPr>
              <w:rStyle w:val="17"/>
              <w:rFonts w:hint="eastAsia" w:cs="Times New Roman"/>
            </w:rPr>
            <w:t xml:space="preserve"> speciation in LiPF</w:t>
          </w:r>
          <w:r>
            <w:rPr>
              <w:rStyle w:val="17"/>
              <w:rFonts w:hint="eastAsia" w:cs="Times New Roman"/>
              <w:vertAlign w:val="subscript"/>
            </w:rPr>
            <w:t>6</w:t>
          </w:r>
          <w:r>
            <w:rPr>
              <w:rStyle w:val="17"/>
              <w:rFonts w:hint="eastAsia" w:cs="Times New Roman"/>
            </w:rPr>
            <w:t>:EC:EMC electrolytes.</w:t>
          </w:r>
          <w:r>
            <w:rPr>
              <w:rFonts w:hint="eastAsia"/>
            </w:rPr>
            <w:tab/>
          </w:r>
          <w:r>
            <w:rPr>
              <w:rFonts w:hint="eastAsia"/>
            </w:rPr>
            <w:fldChar w:fldCharType="begin"/>
          </w:r>
          <w:r>
            <w:rPr>
              <w:rFonts w:hint="eastAsia"/>
            </w:rPr>
            <w:instrText xml:space="preserve"> </w:instrText>
          </w:r>
          <w:r>
            <w:instrText xml:space="preserve">PAGEREF _Toc221108176 \h</w:instrText>
          </w:r>
          <w:r>
            <w:rPr>
              <w:rFonts w:hint="eastAsia"/>
            </w:rPr>
            <w:instrText xml:space="preserve"> </w:instrText>
          </w:r>
          <w:r>
            <w:rPr>
              <w:rFonts w:hint="eastAsia"/>
            </w:rPr>
            <w:fldChar w:fldCharType="separate"/>
          </w:r>
          <w:r>
            <w:t>56</w:t>
          </w:r>
          <w:r>
            <w:rPr>
              <w:rFonts w:hint="eastAsia"/>
            </w:rPr>
            <w:fldChar w:fldCharType="end"/>
          </w:r>
          <w:r>
            <w:rPr>
              <w:rFonts w:hint="eastAsia"/>
            </w:rPr>
            <w:fldChar w:fldCharType="end"/>
          </w:r>
        </w:p>
        <w:p w14:paraId="5FDDD467">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"_Toc221108177" </w:instrText>
          </w:r>
          <w:r>
            <w:fldChar w:fldCharType="separate"/>
          </w:r>
          <w:r>
            <w:rPr>
              <w:rStyle w:val="17"/>
              <w:rFonts w:hint="eastAsia" w:cs="Times New Roman"/>
            </w:rPr>
            <w:t>Supplementary Fig. 32 | Simulation configurations for LiPF</w:t>
          </w:r>
          <w:r>
            <w:rPr>
              <w:rStyle w:val="17"/>
              <w:rFonts w:hint="eastAsia" w:cs="Times New Roman"/>
              <w:vertAlign w:val="subscript"/>
            </w:rPr>
            <w:t>6</w:t>
          </w:r>
          <w:r>
            <w:rPr>
              <w:rStyle w:val="17"/>
              <w:rFonts w:hint="eastAsia" w:cs="Times New Roman"/>
            </w:rPr>
            <w:t>:EC:DMC carbonate-based systems.</w:t>
          </w:r>
          <w:r>
            <w:rPr>
              <w:rFonts w:hint="eastAsia"/>
            </w:rPr>
            <w:tab/>
          </w:r>
          <w:r>
            <w:rPr>
              <w:rFonts w:hint="eastAsia"/>
            </w:rPr>
            <w:fldChar w:fldCharType="begin"/>
          </w:r>
          <w:r>
            <w:rPr>
              <w:rFonts w:hint="eastAsia"/>
            </w:rPr>
            <w:instrText xml:space="preserve"> </w:instrText>
          </w:r>
          <w:r>
            <w:instrText xml:space="preserve">PAGEREF _Toc221108177 \h</w:instrText>
          </w:r>
          <w:r>
            <w:rPr>
              <w:rFonts w:hint="eastAsia"/>
            </w:rPr>
            <w:instrText xml:space="preserve"> </w:instrText>
          </w:r>
          <w:r>
            <w:rPr>
              <w:rFonts w:hint="eastAsia"/>
            </w:rPr>
            <w:fldChar w:fldCharType="separate"/>
          </w:r>
          <w:r>
            <w:t>57</w:t>
          </w:r>
          <w:r>
            <w:rPr>
              <w:rFonts w:hint="eastAsia"/>
            </w:rPr>
            <w:fldChar w:fldCharType="end"/>
          </w:r>
          <w:r>
            <w:rPr>
              <w:rFonts w:hint="eastAsia"/>
            </w:rPr>
            <w:fldChar w:fldCharType="end"/>
          </w:r>
        </w:p>
        <w:p w14:paraId="5C2A5A11">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"_Toc221108178" </w:instrText>
          </w:r>
          <w:r>
            <w:fldChar w:fldCharType="separate"/>
          </w:r>
          <w:r>
            <w:rPr>
              <w:rStyle w:val="17"/>
              <w:rFonts w:hint="eastAsia" w:cs="Times New Roman"/>
            </w:rPr>
            <w:t>Supplementary Fig. 33 | Comparison of Li</w:t>
          </w:r>
          <w:r>
            <w:rPr>
              <w:rStyle w:val="17"/>
              <w:rFonts w:hint="eastAsia" w:cs="Times New Roman"/>
              <w:vertAlign w:val="superscript"/>
            </w:rPr>
            <w:t>+</w:t>
          </w:r>
          <w:r>
            <w:rPr>
              <w:rStyle w:val="17"/>
              <w:rFonts w:hint="eastAsia" w:cs="Times New Roman"/>
            </w:rPr>
            <w:t xml:space="preserve"> solvation structures and PF</w:t>
          </w:r>
          <w:r>
            <w:rPr>
              <w:rStyle w:val="17"/>
              <w:rFonts w:hint="eastAsia" w:cs="Times New Roman"/>
              <w:vertAlign w:val="subscript"/>
            </w:rPr>
            <w:t>6</w:t>
          </w:r>
          <w:r>
            <w:rPr>
              <w:rStyle w:val="17"/>
              <w:rFonts w:hint="eastAsia" w:cs="Times New Roman"/>
              <w:vertAlign w:val="superscript"/>
            </w:rPr>
            <w:t>-</w:t>
          </w:r>
          <w:r>
            <w:rPr>
              <w:rStyle w:val="17"/>
              <w:rFonts w:hint="eastAsia" w:cs="Times New Roman"/>
            </w:rPr>
            <w:t xml:space="preserve"> speciation in LiPF</w:t>
          </w:r>
          <w:r>
            <w:rPr>
              <w:rStyle w:val="17"/>
              <w:rFonts w:hint="eastAsia" w:cs="Times New Roman"/>
              <w:vertAlign w:val="subscript"/>
            </w:rPr>
            <w:t>6</w:t>
          </w:r>
          <w:r>
            <w:rPr>
              <w:rStyle w:val="17"/>
              <w:rFonts w:hint="eastAsia" w:cs="Times New Roman"/>
            </w:rPr>
            <w:t>:EC:DMC electrolytes.</w:t>
          </w:r>
          <w:r>
            <w:rPr>
              <w:rFonts w:hint="eastAsia"/>
            </w:rPr>
            <w:tab/>
          </w:r>
          <w:r>
            <w:rPr>
              <w:rFonts w:hint="eastAsia"/>
            </w:rPr>
            <w:fldChar w:fldCharType="begin"/>
          </w:r>
          <w:r>
            <w:rPr>
              <w:rFonts w:hint="eastAsia"/>
            </w:rPr>
            <w:instrText xml:space="preserve"> </w:instrText>
          </w:r>
          <w:r>
            <w:instrText xml:space="preserve">PAGEREF _Toc221108178 \h</w:instrText>
          </w:r>
          <w:r>
            <w:rPr>
              <w:rFonts w:hint="eastAsia"/>
            </w:rPr>
            <w:instrText xml:space="preserve"> </w:instrText>
          </w:r>
          <w:r>
            <w:rPr>
              <w:rFonts w:hint="eastAsia"/>
            </w:rPr>
            <w:fldChar w:fldCharType="separate"/>
          </w:r>
          <w:r>
            <w:t>58</w:t>
          </w:r>
          <w:r>
            <w:rPr>
              <w:rFonts w:hint="eastAsia"/>
            </w:rPr>
            <w:fldChar w:fldCharType="end"/>
          </w:r>
          <w:r>
            <w:rPr>
              <w:rFonts w:hint="eastAsia"/>
            </w:rPr>
            <w:fldChar w:fldCharType="end"/>
          </w:r>
        </w:p>
        <w:p w14:paraId="5FCE3888">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HYPERLINK \l "_Toc221108179" </w:instrText>
          </w:r>
          <w:r>
            <w:fldChar w:fldCharType="separate"/>
          </w:r>
          <w:r>
            <w:rPr>
              <w:rStyle w:val="17"/>
              <w:rFonts w:hint="eastAsia"/>
            </w:rPr>
            <w:t>Supplementary Note 9 | Polarization-Stabilized Aggregation in Fluorosulfonyl Electrolytes</w:t>
          </w:r>
          <w:r>
            <w:rPr>
              <w:rFonts w:hint="eastAsia"/>
            </w:rPr>
            <w:tab/>
          </w:r>
          <w:r>
            <w:rPr>
              <w:rFonts w:hint="eastAsia"/>
            </w:rPr>
            <w:fldChar w:fldCharType="begin"/>
          </w:r>
          <w:r>
            <w:rPr>
              <w:rFonts w:hint="eastAsia"/>
            </w:rPr>
            <w:instrText xml:space="preserve"> </w:instrText>
          </w:r>
          <w:r>
            <w:instrText xml:space="preserve">PAGEREF _Toc221108179 \h</w:instrText>
          </w:r>
          <w:r>
            <w:rPr>
              <w:rFonts w:hint="eastAsia"/>
            </w:rPr>
            <w:instrText xml:space="preserve"> </w:instrText>
          </w:r>
          <w:r>
            <w:rPr>
              <w:rFonts w:hint="eastAsia"/>
            </w:rPr>
            <w:fldChar w:fldCharType="separate"/>
          </w:r>
          <w:r>
            <w:t>59</w:t>
          </w:r>
          <w:r>
            <w:rPr>
              <w:rFonts w:hint="eastAsia"/>
            </w:rPr>
            <w:fldChar w:fldCharType="end"/>
          </w:r>
          <w:r>
            <w:rPr>
              <w:rFonts w:hint="eastAsia"/>
            </w:rPr>
            <w:fldChar w:fldCharType="end"/>
          </w:r>
        </w:p>
        <w:p w14:paraId="055BAB0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"_Toc221108180" </w:instrText>
          </w:r>
          <w:r>
            <w:fldChar w:fldCharType="separate"/>
          </w:r>
          <w:r>
            <w:rPr>
              <w:rStyle w:val="17"/>
              <w:rFonts w:hint="eastAsia" w:cs="Times New Roman"/>
            </w:rPr>
            <w:t>Supplementary Fig. 34 | Simulation configurations for LiFSI:PSF fluorosulfonyl-based systems.</w:t>
          </w:r>
          <w:r>
            <w:rPr>
              <w:rFonts w:hint="eastAsia"/>
            </w:rPr>
            <w:tab/>
          </w:r>
          <w:r>
            <w:rPr>
              <w:rFonts w:hint="eastAsia"/>
            </w:rPr>
            <w:fldChar w:fldCharType="begin"/>
          </w:r>
          <w:r>
            <w:rPr>
              <w:rFonts w:hint="eastAsia"/>
            </w:rPr>
            <w:instrText xml:space="preserve"> </w:instrText>
          </w:r>
          <w:r>
            <w:instrText xml:space="preserve">PAGEREF _Toc221108180 \h</w:instrText>
          </w:r>
          <w:r>
            <w:rPr>
              <w:rFonts w:hint="eastAsia"/>
            </w:rPr>
            <w:instrText xml:space="preserve"> </w:instrText>
          </w:r>
          <w:r>
            <w:rPr>
              <w:rFonts w:hint="eastAsia"/>
            </w:rPr>
            <w:fldChar w:fldCharType="separate"/>
          </w:r>
          <w:r>
            <w:t>59</w:t>
          </w:r>
          <w:r>
            <w:rPr>
              <w:rFonts w:hint="eastAsia"/>
            </w:rPr>
            <w:fldChar w:fldCharType="end"/>
          </w:r>
          <w:r>
            <w:rPr>
              <w:rFonts w:hint="eastAsia"/>
            </w:rPr>
            <w:fldChar w:fldCharType="end"/>
          </w:r>
        </w:p>
        <w:p w14:paraId="28BBE09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"_Toc221108181" </w:instrText>
          </w:r>
          <w:r>
            <w:fldChar w:fldCharType="separate"/>
          </w:r>
          <w:r>
            <w:rPr>
              <w:rStyle w:val="17"/>
              <w:rFonts w:hint="eastAsia" w:cs="Times New Roman"/>
            </w:rPr>
            <w:t>Supplementary Fig. 35 | Simulation configurations for LiFSI:TPSF fluorosulfonyl-based systems.</w:t>
          </w:r>
          <w:r>
            <w:rPr>
              <w:rFonts w:hint="eastAsia"/>
            </w:rPr>
            <w:tab/>
          </w:r>
          <w:r>
            <w:rPr>
              <w:rFonts w:hint="eastAsia"/>
            </w:rPr>
            <w:fldChar w:fldCharType="begin"/>
          </w:r>
          <w:r>
            <w:rPr>
              <w:rFonts w:hint="eastAsia"/>
            </w:rPr>
            <w:instrText xml:space="preserve"> </w:instrText>
          </w:r>
          <w:r>
            <w:instrText xml:space="preserve">PAGEREF _Toc221108181 \h</w:instrText>
          </w:r>
          <w:r>
            <w:rPr>
              <w:rFonts w:hint="eastAsia"/>
            </w:rPr>
            <w:instrText xml:space="preserve"> </w:instrText>
          </w:r>
          <w:r>
            <w:rPr>
              <w:rFonts w:hint="eastAsia"/>
            </w:rPr>
            <w:fldChar w:fldCharType="separate"/>
          </w:r>
          <w:r>
            <w:t>60</w:t>
          </w:r>
          <w:r>
            <w:rPr>
              <w:rFonts w:hint="eastAsia"/>
            </w:rPr>
            <w:fldChar w:fldCharType="end"/>
          </w:r>
          <w:r>
            <w:rPr>
              <w:rFonts w:hint="eastAsia"/>
            </w:rPr>
            <w:fldChar w:fldCharType="end"/>
          </w:r>
        </w:p>
        <w:p w14:paraId="4AA2CBAE">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"_Toc221108182" </w:instrText>
          </w:r>
          <w:r>
            <w:fldChar w:fldCharType="separate"/>
          </w:r>
          <w:r>
            <w:rPr>
              <w:rStyle w:val="17"/>
              <w:rFonts w:hint="eastAsia" w:cs="Times New Roman"/>
            </w:rPr>
            <w:t>Supplementary Fig. 36 | Comparison of FSI</w:t>
          </w:r>
          <w:r>
            <w:rPr>
              <w:rStyle w:val="17"/>
              <w:rFonts w:hint="eastAsia" w:cs="Times New Roman"/>
              <w:vertAlign w:val="superscript"/>
            </w:rPr>
            <w:t>-</w:t>
          </w:r>
          <w:r>
            <w:rPr>
              <w:rStyle w:val="17"/>
              <w:rFonts w:hint="eastAsia" w:cs="Times New Roman"/>
            </w:rPr>
            <w:t xml:space="preserve"> speciation in LiFSI:PSF and LiFSI:TPSF electrolytes.</w:t>
          </w:r>
          <w:r>
            <w:rPr>
              <w:rFonts w:hint="eastAsia"/>
            </w:rPr>
            <w:tab/>
          </w:r>
          <w:r>
            <w:rPr>
              <w:rFonts w:hint="eastAsia"/>
            </w:rPr>
            <w:fldChar w:fldCharType="begin"/>
          </w:r>
          <w:r>
            <w:rPr>
              <w:rFonts w:hint="eastAsia"/>
            </w:rPr>
            <w:instrText xml:space="preserve"> </w:instrText>
          </w:r>
          <w:r>
            <w:instrText xml:space="preserve">PAGEREF _Toc221108182 \h</w:instrText>
          </w:r>
          <w:r>
            <w:rPr>
              <w:rFonts w:hint="eastAsia"/>
            </w:rPr>
            <w:instrText xml:space="preserve"> </w:instrText>
          </w:r>
          <w:r>
            <w:rPr>
              <w:rFonts w:hint="eastAsia"/>
            </w:rPr>
            <w:fldChar w:fldCharType="separate"/>
          </w:r>
          <w:r>
            <w:t>61</w:t>
          </w:r>
          <w:r>
            <w:rPr>
              <w:rFonts w:hint="eastAsia"/>
            </w:rPr>
            <w:fldChar w:fldCharType="end"/>
          </w:r>
          <w:r>
            <w:rPr>
              <w:rFonts w:hint="eastAsia"/>
            </w:rPr>
            <w:fldChar w:fldCharType="end"/>
          </w:r>
        </w:p>
        <w:p w14:paraId="626CA41B">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"_Toc221108183" </w:instrText>
          </w:r>
          <w:r>
            <w:fldChar w:fldCharType="separate"/>
          </w:r>
          <w:r>
            <w:rPr>
              <w:rStyle w:val="17"/>
              <w:rFonts w:hint="eastAsia" w:cs="Times New Roman"/>
            </w:rPr>
            <w:t>Supplementary Fig. 37 | Decomposition of Li</w:t>
          </w:r>
          <w:r>
            <w:rPr>
              <w:rStyle w:val="17"/>
              <w:rFonts w:hint="eastAsia" w:cs="Times New Roman"/>
              <w:vertAlign w:val="superscript"/>
            </w:rPr>
            <w:t>+</w:t>
          </w:r>
          <w:r>
            <w:rPr>
              <w:rStyle w:val="17"/>
              <w:rFonts w:hint="eastAsia" w:cs="Times New Roman"/>
            </w:rPr>
            <w:t xml:space="preserve"> solvation in 1LiFSI:6.5PSF (298.15 K).</w:t>
          </w:r>
          <w:r>
            <w:rPr>
              <w:rFonts w:hint="eastAsia"/>
            </w:rPr>
            <w:tab/>
          </w:r>
          <w:r>
            <w:rPr>
              <w:rFonts w:hint="eastAsia"/>
            </w:rPr>
            <w:fldChar w:fldCharType="begin"/>
          </w:r>
          <w:r>
            <w:rPr>
              <w:rFonts w:hint="eastAsia"/>
            </w:rPr>
            <w:instrText xml:space="preserve"> </w:instrText>
          </w:r>
          <w:r>
            <w:instrText xml:space="preserve">PAGEREF _Toc221108183 \h</w:instrText>
          </w:r>
          <w:r>
            <w:rPr>
              <w:rFonts w:hint="eastAsia"/>
            </w:rPr>
            <w:instrText xml:space="preserve"> </w:instrText>
          </w:r>
          <w:r>
            <w:rPr>
              <w:rFonts w:hint="eastAsia"/>
            </w:rPr>
            <w:fldChar w:fldCharType="separate"/>
          </w:r>
          <w:r>
            <w:t>62</w:t>
          </w:r>
          <w:r>
            <w:rPr>
              <w:rFonts w:hint="eastAsia"/>
            </w:rPr>
            <w:fldChar w:fldCharType="end"/>
          </w:r>
          <w:r>
            <w:rPr>
              <w:rFonts w:hint="eastAsia"/>
            </w:rPr>
            <w:fldChar w:fldCharType="end"/>
          </w:r>
        </w:p>
        <w:p w14:paraId="7CE08E1A">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"_Toc221108184" </w:instrText>
          </w:r>
          <w:r>
            <w:fldChar w:fldCharType="separate"/>
          </w:r>
          <w:r>
            <w:rPr>
              <w:rStyle w:val="17"/>
              <w:rFonts w:hint="eastAsia" w:cs="Times New Roman"/>
            </w:rPr>
            <w:t>Supplementary Fig. 38 | Structural diversity of Li</w:t>
          </w:r>
          <w:r>
            <w:rPr>
              <w:rStyle w:val="17"/>
              <w:rFonts w:hint="eastAsia" w:cs="Times New Roman"/>
              <w:vertAlign w:val="superscript"/>
            </w:rPr>
            <w:t>+</w:t>
          </w:r>
          <w:r>
            <w:rPr>
              <w:rStyle w:val="17"/>
              <w:rFonts w:hint="eastAsia" w:cs="Times New Roman"/>
            </w:rPr>
            <w:t xml:space="preserve"> solvation in 1LiFSI:6.5PSF (298.15 K).</w:t>
          </w:r>
          <w:r>
            <w:rPr>
              <w:rFonts w:hint="eastAsia"/>
            </w:rPr>
            <w:tab/>
          </w:r>
          <w:r>
            <w:rPr>
              <w:rFonts w:hint="eastAsia"/>
            </w:rPr>
            <w:fldChar w:fldCharType="begin"/>
          </w:r>
          <w:r>
            <w:rPr>
              <w:rFonts w:hint="eastAsia"/>
            </w:rPr>
            <w:instrText xml:space="preserve"> </w:instrText>
          </w:r>
          <w:r>
            <w:instrText xml:space="preserve">PAGEREF _Toc221108184 \h</w:instrText>
          </w:r>
          <w:r>
            <w:rPr>
              <w:rFonts w:hint="eastAsia"/>
            </w:rPr>
            <w:instrText xml:space="preserve"> </w:instrText>
          </w:r>
          <w:r>
            <w:rPr>
              <w:rFonts w:hint="eastAsia"/>
            </w:rPr>
            <w:fldChar w:fldCharType="separate"/>
          </w:r>
          <w:r>
            <w:t>63</w:t>
          </w:r>
          <w:r>
            <w:rPr>
              <w:rFonts w:hint="eastAsia"/>
            </w:rPr>
            <w:fldChar w:fldCharType="end"/>
          </w:r>
          <w:r>
            <w:rPr>
              <w:rFonts w:hint="eastAsia"/>
            </w:rPr>
            <w:fldChar w:fldCharType="end"/>
          </w:r>
        </w:p>
        <w:p w14:paraId="4DB863AC">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"_Toc221108185" </w:instrText>
          </w:r>
          <w:r>
            <w:fldChar w:fldCharType="separate"/>
          </w:r>
          <w:r>
            <w:rPr>
              <w:rStyle w:val="17"/>
              <w:rFonts w:hint="eastAsia" w:cs="Times New Roman"/>
            </w:rPr>
            <w:t>Supplementary Fig. 39 | Decomposition of Li</w:t>
          </w:r>
          <w:r>
            <w:rPr>
              <w:rStyle w:val="17"/>
              <w:rFonts w:hint="eastAsia" w:cs="Times New Roman"/>
              <w:vertAlign w:val="superscript"/>
            </w:rPr>
            <w:t>+</w:t>
          </w:r>
          <w:r>
            <w:rPr>
              <w:rStyle w:val="17"/>
              <w:rFonts w:hint="eastAsia" w:cs="Times New Roman"/>
            </w:rPr>
            <w:t xml:space="preserve"> solvation in 1LiFSI:5TPSF (298.15 K).</w:t>
          </w:r>
          <w:r>
            <w:rPr>
              <w:rFonts w:hint="eastAsia"/>
            </w:rPr>
            <w:tab/>
          </w:r>
          <w:r>
            <w:rPr>
              <w:rFonts w:hint="eastAsia"/>
            </w:rPr>
            <w:fldChar w:fldCharType="begin"/>
          </w:r>
          <w:r>
            <w:rPr>
              <w:rFonts w:hint="eastAsia"/>
            </w:rPr>
            <w:instrText xml:space="preserve"> </w:instrText>
          </w:r>
          <w:r>
            <w:instrText xml:space="preserve">PAGEREF _Toc221108185 \h</w:instrText>
          </w:r>
          <w:r>
            <w:rPr>
              <w:rFonts w:hint="eastAsia"/>
            </w:rPr>
            <w:instrText xml:space="preserve"> </w:instrText>
          </w:r>
          <w:r>
            <w:rPr>
              <w:rFonts w:hint="eastAsia"/>
            </w:rPr>
            <w:fldChar w:fldCharType="separate"/>
          </w:r>
          <w:r>
            <w:t>64</w:t>
          </w:r>
          <w:r>
            <w:rPr>
              <w:rFonts w:hint="eastAsia"/>
            </w:rPr>
            <w:fldChar w:fldCharType="end"/>
          </w:r>
          <w:r>
            <w:rPr>
              <w:rFonts w:hint="eastAsia"/>
            </w:rPr>
            <w:fldChar w:fldCharType="end"/>
          </w:r>
        </w:p>
        <w:p w14:paraId="35D48A70">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"_Toc221108186" </w:instrText>
          </w:r>
          <w:r>
            <w:fldChar w:fldCharType="separate"/>
          </w:r>
          <w:r>
            <w:rPr>
              <w:rStyle w:val="17"/>
              <w:rFonts w:hint="eastAsia" w:cs="Times New Roman"/>
            </w:rPr>
            <w:t>Supplementary Fig. 40 | Structural diversity of Li</w:t>
          </w:r>
          <w:r>
            <w:rPr>
              <w:rStyle w:val="17"/>
              <w:rFonts w:hint="eastAsia" w:cs="Times New Roman"/>
              <w:vertAlign w:val="superscript"/>
            </w:rPr>
            <w:t>+</w:t>
          </w:r>
          <w:r>
            <w:rPr>
              <w:rStyle w:val="17"/>
              <w:rFonts w:hint="eastAsia" w:cs="Times New Roman"/>
            </w:rPr>
            <w:t xml:space="preserve"> solvation in 1LiFSI:5TPSF (298.15 K).</w:t>
          </w:r>
          <w:r>
            <w:rPr>
              <w:rFonts w:hint="eastAsia"/>
            </w:rPr>
            <w:tab/>
          </w:r>
          <w:r>
            <w:rPr>
              <w:rFonts w:hint="eastAsia"/>
            </w:rPr>
            <w:fldChar w:fldCharType="begin"/>
          </w:r>
          <w:r>
            <w:rPr>
              <w:rFonts w:hint="eastAsia"/>
            </w:rPr>
            <w:instrText xml:space="preserve"> </w:instrText>
          </w:r>
          <w:r>
            <w:instrText xml:space="preserve">PAGEREF _Toc221108186 \h</w:instrText>
          </w:r>
          <w:r>
            <w:rPr>
              <w:rFonts w:hint="eastAsia"/>
            </w:rPr>
            <w:instrText xml:space="preserve"> </w:instrText>
          </w:r>
          <w:r>
            <w:rPr>
              <w:rFonts w:hint="eastAsia"/>
            </w:rPr>
            <w:fldChar w:fldCharType="separate"/>
          </w:r>
          <w:r>
            <w:t>65</w:t>
          </w:r>
          <w:r>
            <w:rPr>
              <w:rFonts w:hint="eastAsia"/>
            </w:rPr>
            <w:fldChar w:fldCharType="end"/>
          </w:r>
          <w:r>
            <w:rPr>
              <w:rFonts w:hint="eastAsia"/>
            </w:rPr>
            <w:fldChar w:fldCharType="end"/>
          </w:r>
        </w:p>
        <w:p w14:paraId="35CFB312">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"_Toc221108187" </w:instrText>
          </w:r>
          <w:r>
            <w:fldChar w:fldCharType="separate"/>
          </w:r>
          <w:r>
            <w:rPr>
              <w:rStyle w:val="17"/>
              <w:rFonts w:hint="eastAsia" w:cs="Times New Roman"/>
            </w:rPr>
            <w:t>Supplementary Fig. 41 | Comparison of densities for LiFSI:PSF and LiFSI:TPSF electrolytes.</w:t>
          </w:r>
          <w:r>
            <w:rPr>
              <w:rFonts w:hint="eastAsia"/>
            </w:rPr>
            <w:tab/>
          </w:r>
          <w:r>
            <w:rPr>
              <w:rFonts w:hint="eastAsia"/>
            </w:rPr>
            <w:fldChar w:fldCharType="begin"/>
          </w:r>
          <w:r>
            <w:rPr>
              <w:rFonts w:hint="eastAsia"/>
            </w:rPr>
            <w:instrText xml:space="preserve"> </w:instrText>
          </w:r>
          <w:r>
            <w:instrText xml:space="preserve">PAGEREF _Toc221108187 \h</w:instrText>
          </w:r>
          <w:r>
            <w:rPr>
              <w:rFonts w:hint="eastAsia"/>
            </w:rPr>
            <w:instrText xml:space="preserve"> </w:instrText>
          </w:r>
          <w:r>
            <w:rPr>
              <w:rFonts w:hint="eastAsia"/>
            </w:rPr>
            <w:fldChar w:fldCharType="separate"/>
          </w:r>
          <w:r>
            <w:t>66</w:t>
          </w:r>
          <w:r>
            <w:rPr>
              <w:rFonts w:hint="eastAsia"/>
            </w:rPr>
            <w:fldChar w:fldCharType="end"/>
          </w:r>
          <w:r>
            <w:rPr>
              <w:rFonts w:hint="eastAsia"/>
            </w:rPr>
            <w:fldChar w:fldCharType="end"/>
          </w:r>
        </w:p>
        <w:p w14:paraId="7C157ED8">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HYPERLINK \l "_Toc221108188" </w:instrText>
          </w:r>
          <w:r>
            <w:fldChar w:fldCharType="separate"/>
          </w:r>
          <w:r>
            <w:rPr>
              <w:rStyle w:val="17"/>
              <w:rFonts w:hint="eastAsia"/>
            </w:rPr>
            <w:t>Supplementary Note 10 | Analysis of Transport Properties and Ionic Conductivity</w:t>
          </w:r>
          <w:r>
            <w:rPr>
              <w:rFonts w:hint="eastAsia"/>
            </w:rPr>
            <w:tab/>
          </w:r>
          <w:r>
            <w:rPr>
              <w:rFonts w:hint="eastAsia"/>
            </w:rPr>
            <w:fldChar w:fldCharType="begin"/>
          </w:r>
          <w:r>
            <w:rPr>
              <w:rFonts w:hint="eastAsia"/>
            </w:rPr>
            <w:instrText xml:space="preserve"> </w:instrText>
          </w:r>
          <w:r>
            <w:instrText xml:space="preserve">PAGEREF _Toc221108188 \h</w:instrText>
          </w:r>
          <w:r>
            <w:rPr>
              <w:rFonts w:hint="eastAsia"/>
            </w:rPr>
            <w:instrText xml:space="preserve"> </w:instrText>
          </w:r>
          <w:r>
            <w:rPr>
              <w:rFonts w:hint="eastAsia"/>
            </w:rPr>
            <w:fldChar w:fldCharType="separate"/>
          </w:r>
          <w:r>
            <w:t>67</w:t>
          </w:r>
          <w:r>
            <w:rPr>
              <w:rFonts w:hint="eastAsia"/>
            </w:rPr>
            <w:fldChar w:fldCharType="end"/>
          </w:r>
          <w:r>
            <w:rPr>
              <w:rFonts w:hint="eastAsia"/>
            </w:rPr>
            <w:fldChar w:fldCharType="end"/>
          </w:r>
        </w:p>
        <w:p w14:paraId="5FB02558">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"_Toc221108189" </w:instrText>
          </w:r>
          <w:r>
            <w:fldChar w:fldCharType="separate"/>
          </w:r>
          <w:r>
            <w:rPr>
              <w:rStyle w:val="17"/>
              <w:rFonts w:hint="eastAsia" w:cs="Times New Roman"/>
              <w:kern w:val="0"/>
              <w:lang w:eastAsia="en-US"/>
            </w:rPr>
            <w:t xml:space="preserve">Supplementary Fig. 42 | </w:t>
          </w:r>
          <w:r>
            <w:rPr>
              <w:rStyle w:val="17"/>
              <w:rFonts w:hint="eastAsia" w:cs="Times New Roman"/>
              <w:kern w:val="0"/>
            </w:rPr>
            <w:t>MSDs</w:t>
          </w:r>
          <w:r>
            <w:rPr>
              <w:rStyle w:val="17"/>
              <w:rFonts w:hint="eastAsia" w:cs="Times New Roman"/>
              <w:kern w:val="0"/>
              <w:lang w:eastAsia="en-US"/>
            </w:rPr>
            <w:t xml:space="preserve"> of species in 1LiFSI:1.4DME (333.15 K)</w:t>
          </w:r>
          <w:r>
            <w:rPr>
              <w:rStyle w:val="17"/>
              <w:rFonts w:hint="eastAsia" w:cs="Times New Roman"/>
              <w:kern w:val="0"/>
            </w:rPr>
            <w:t xml:space="preserve"> based on OPLS&amp;Pol</w:t>
          </w:r>
          <w:r>
            <w:rPr>
              <w:rStyle w:val="17"/>
              <w:rFonts w:hint="eastAsia" w:cs="Times New Roman"/>
              <w:kern w:val="0"/>
              <w:lang w:eastAsia="en-US"/>
            </w:rPr>
            <w:t>.</w:t>
          </w:r>
          <w:r>
            <w:rPr>
              <w:rFonts w:hint="eastAsia"/>
            </w:rPr>
            <w:tab/>
          </w:r>
          <w:r>
            <w:rPr>
              <w:rFonts w:hint="eastAsia"/>
            </w:rPr>
            <w:fldChar w:fldCharType="begin"/>
          </w:r>
          <w:r>
            <w:rPr>
              <w:rFonts w:hint="eastAsia"/>
            </w:rPr>
            <w:instrText xml:space="preserve"> </w:instrText>
          </w:r>
          <w:r>
            <w:instrText xml:space="preserve">PAGEREF _Toc221108189 \h</w:instrText>
          </w:r>
          <w:r>
            <w:rPr>
              <w:rFonts w:hint="eastAsia"/>
            </w:rPr>
            <w:instrText xml:space="preserve"> </w:instrText>
          </w:r>
          <w:r>
            <w:rPr>
              <w:rFonts w:hint="eastAsia"/>
            </w:rPr>
            <w:fldChar w:fldCharType="separate"/>
          </w:r>
          <w:r>
            <w:t>67</w:t>
          </w:r>
          <w:r>
            <w:rPr>
              <w:rFonts w:hint="eastAsia"/>
            </w:rPr>
            <w:fldChar w:fldCharType="end"/>
          </w:r>
          <w:r>
            <w:rPr>
              <w:rFonts w:hint="eastAsia"/>
            </w:rPr>
            <w:fldChar w:fldCharType="end"/>
          </w:r>
        </w:p>
        <w:p w14:paraId="03958AFF">
          <w:pPr>
            <w:pStyle w:val="9"/>
            <w:tabs>
              <w:tab w:val="right" w:leader="dot" w:pos="8638"/>
            </w:tabs>
            <w:rPr>
              <w:rFonts w:hint="eastAsia" w:asciiTheme="minorHAnsi" w:hAnsiTheme="minorHAnsi" w:eastAsiaTheme="minorEastAsia"/>
              <w:sz w:val="22"/>
              <w:szCs w:val="24"/>
              <w14:ligatures w14:val="standardContextual"/>
            </w:rPr>
          </w:pPr>
          <w:r>
            <w:fldChar w:fldCharType="begin"/>
          </w:r>
          <w:r>
            <w:instrText xml:space="preserve"> HYPERLINK \l "_Toc221108190" </w:instrText>
          </w:r>
          <w:r>
            <w:fldChar w:fldCharType="separate"/>
          </w:r>
          <w:r>
            <w:rPr>
              <w:rStyle w:val="17"/>
              <w:rFonts w:hint="eastAsia" w:cs="Times New Roman"/>
            </w:rPr>
            <w:t>Supplementary Fig. 43 | Dynamic properties of species in 1LiFSI:1.4DME (333.15 K).</w:t>
          </w:r>
          <w:r>
            <w:rPr>
              <w:rFonts w:hint="eastAsia"/>
            </w:rPr>
            <w:tab/>
          </w:r>
          <w:r>
            <w:rPr>
              <w:rFonts w:hint="eastAsia"/>
            </w:rPr>
            <w:fldChar w:fldCharType="begin"/>
          </w:r>
          <w:r>
            <w:rPr>
              <w:rFonts w:hint="eastAsia"/>
            </w:rPr>
            <w:instrText xml:space="preserve"> </w:instrText>
          </w:r>
          <w:r>
            <w:instrText xml:space="preserve">PAGEREF _Toc221108190 \h</w:instrText>
          </w:r>
          <w:r>
            <w:rPr>
              <w:rFonts w:hint="eastAsia"/>
            </w:rPr>
            <w:instrText xml:space="preserve"> </w:instrText>
          </w:r>
          <w:r>
            <w:rPr>
              <w:rFonts w:hint="eastAsia"/>
            </w:rPr>
            <w:fldChar w:fldCharType="separate"/>
          </w:r>
          <w:r>
            <w:t>68</w:t>
          </w:r>
          <w:r>
            <w:rPr>
              <w:rFonts w:hint="eastAsia"/>
            </w:rPr>
            <w:fldChar w:fldCharType="end"/>
          </w:r>
          <w:r>
            <w:rPr>
              <w:rFonts w:hint="eastAsia"/>
            </w:rPr>
            <w:fldChar w:fldCharType="end"/>
          </w:r>
        </w:p>
        <w:p w14:paraId="1B020CF0">
          <w:pPr>
            <w:pStyle w:val="8"/>
            <w:tabs>
              <w:tab w:val="right" w:leader="dot" w:pos="8638"/>
            </w:tabs>
            <w:rPr>
              <w:rFonts w:hint="eastAsia" w:asciiTheme="minorHAnsi" w:hAnsiTheme="minorHAnsi" w:eastAsiaTheme="minorEastAsia" w:cstheme="minorBidi"/>
              <w:b w:val="0"/>
              <w:bCs w:val="0"/>
              <w:sz w:val="22"/>
              <w:szCs w:val="24"/>
              <w:lang w:val="en-US"/>
              <w14:ligatures w14:val="standardContextual"/>
            </w:rPr>
          </w:pPr>
          <w:r>
            <w:fldChar w:fldCharType="begin"/>
          </w:r>
          <w:r>
            <w:instrText xml:space="preserve"> HYPERLINK \l "_Toc221108191" </w:instrText>
          </w:r>
          <w:r>
            <w:fldChar w:fldCharType="separate"/>
          </w:r>
          <w:r>
            <w:rPr>
              <w:rStyle w:val="17"/>
              <w:rFonts w:hint="eastAsia"/>
            </w:rPr>
            <w:t xml:space="preserve">Supplementary </w:t>
          </w:r>
          <w:r>
            <w:rPr>
              <w:rStyle w:val="17"/>
              <w:rFonts w:hint="eastAsia" w:eastAsia="宋体"/>
            </w:rPr>
            <w:t>References</w:t>
          </w:r>
          <w:r>
            <w:rPr>
              <w:rFonts w:hint="eastAsia"/>
            </w:rPr>
            <w:tab/>
          </w:r>
          <w:r>
            <w:rPr>
              <w:rFonts w:hint="eastAsia"/>
            </w:rPr>
            <w:fldChar w:fldCharType="begin"/>
          </w:r>
          <w:r>
            <w:rPr>
              <w:rFonts w:hint="eastAsia"/>
            </w:rPr>
            <w:instrText xml:space="preserve"> </w:instrText>
          </w:r>
          <w:r>
            <w:instrText xml:space="preserve">PAGEREF _Toc221108191 \h</w:instrText>
          </w:r>
          <w:r>
            <w:rPr>
              <w:rFonts w:hint="eastAsia"/>
            </w:rPr>
            <w:instrText xml:space="preserve"> </w:instrText>
          </w:r>
          <w:r>
            <w:rPr>
              <w:rFonts w:hint="eastAsia"/>
            </w:rPr>
            <w:fldChar w:fldCharType="separate"/>
          </w:r>
          <w:r>
            <w:t>69</w:t>
          </w:r>
          <w:r>
            <w:rPr>
              <w:rFonts w:hint="eastAsia"/>
            </w:rPr>
            <w:fldChar w:fldCharType="end"/>
          </w:r>
          <w:r>
            <w:rPr>
              <w:rFonts w:hint="eastAsia"/>
            </w:rPr>
            <w:fldChar w:fldCharType="end"/>
          </w:r>
        </w:p>
        <w:p w14:paraId="681EE4B7">
          <w:pPr>
            <w:rPr>
              <w:rFonts w:ascii="Times New Roman" w:hAnsi="Times New Roman" w:cs="Times New Roman"/>
            </w:rPr>
          </w:pPr>
          <w:r>
            <w:rPr>
              <w:rFonts w:ascii="Times New Roman" w:hAnsi="Times New Roman" w:cs="Times New Roman"/>
            </w:rPr>
            <w:fldChar w:fldCharType="end"/>
          </w:r>
        </w:p>
      </w:sdtContent>
    </w:sdt>
    <w:p w14:paraId="3DB01C89">
      <w:pPr>
        <w:widowControl/>
        <w:jc w:val="left"/>
        <w:rPr>
          <w:rFonts w:ascii="Times New Roman" w:hAnsi="Times New Roman" w:eastAsia="宋体" w:cs="Times New Roman"/>
          <w:sz w:val="24"/>
          <w:szCs w:val="24"/>
        </w:rPr>
      </w:pPr>
    </w:p>
    <w:p w14:paraId="0D44703F">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3F403A5B">
      <w:pPr>
        <w:pStyle w:val="2"/>
        <w:spacing w:after="156"/>
        <w:rPr>
          <w:rFonts w:cs="Times New Roman" w:eastAsiaTheme="minorEastAsia"/>
        </w:rPr>
      </w:pPr>
      <w:bookmarkStart w:id="3" w:name="_Toc221108125"/>
      <w:r>
        <w:rPr>
          <w:rFonts w:cs="Times New Roman" w:eastAsiaTheme="minorEastAsia"/>
        </w:rPr>
        <w:t xml:space="preserve">Supplementary Note 1 | Conventional </w:t>
      </w:r>
      <w:r>
        <w:rPr>
          <w:rFonts w:cs="Times New Roman"/>
        </w:rPr>
        <w:t>Force Field Functional Form</w:t>
      </w:r>
      <w:bookmarkEnd w:id="3"/>
    </w:p>
    <w:p w14:paraId="3DF42E07">
      <w:pPr>
        <w:widowControl/>
        <w:spacing w:line="480" w:lineRule="auto"/>
        <w:ind w:firstLine="480" w:firstLineChars="200"/>
        <w:rPr>
          <w:rFonts w:ascii="Times New Roman" w:hAnsi="Times New Roman" w:eastAsia="宋体" w:cs="Times New Roman"/>
          <w:kern w:val="0"/>
          <w:sz w:val="24"/>
          <w:szCs w:val="20"/>
          <w:lang w:eastAsia="en-US"/>
        </w:rPr>
      </w:pPr>
      <w:r>
        <w:rPr>
          <w:rFonts w:ascii="Times New Roman" w:hAnsi="Times New Roman" w:eastAsia="宋体" w:cs="Times New Roman"/>
          <w:kern w:val="0"/>
          <w:sz w:val="24"/>
          <w:szCs w:val="20"/>
          <w:lang w:eastAsia="en-US"/>
        </w:rPr>
        <w:t xml:space="preserve">In the </w:t>
      </w:r>
      <w:r>
        <w:rPr>
          <w:rFonts w:ascii="Times New Roman" w:hAnsi="Times New Roman" w:eastAsia="宋体" w:cs="Times New Roman"/>
          <w:kern w:val="0"/>
          <w:sz w:val="24"/>
          <w:szCs w:val="20"/>
        </w:rPr>
        <w:t>conventional force fields</w:t>
      </w:r>
      <w:r>
        <w:rPr>
          <w:rFonts w:ascii="Times New Roman" w:hAnsi="Times New Roman" w:eastAsia="宋体" w:cs="Times New Roman"/>
          <w:kern w:val="0"/>
          <w:sz w:val="24"/>
          <w:szCs w:val="20"/>
          <w:lang w:eastAsia="en-US"/>
        </w:rPr>
        <w:t xml:space="preserve"> </w:t>
      </w:r>
      <w:r>
        <w:rPr>
          <w:rFonts w:ascii="Times New Roman" w:hAnsi="Times New Roman" w:eastAsia="宋体" w:cs="Times New Roman"/>
          <w:kern w:val="0"/>
          <w:sz w:val="24"/>
          <w:szCs w:val="20"/>
        </w:rPr>
        <w:t>(</w:t>
      </w:r>
      <w:r>
        <w:rPr>
          <w:rFonts w:ascii="Times New Roman" w:hAnsi="Times New Roman" w:eastAsia="宋体" w:cs="Times New Roman"/>
          <w:kern w:val="0"/>
          <w:sz w:val="24"/>
          <w:szCs w:val="20"/>
          <w:lang w:eastAsia="en-US"/>
        </w:rPr>
        <w:t>CFF</w:t>
      </w:r>
      <w:r>
        <w:rPr>
          <w:rFonts w:ascii="Times New Roman" w:hAnsi="Times New Roman" w:eastAsia="宋体" w:cs="Times New Roman"/>
          <w:kern w:val="0"/>
          <w:sz w:val="24"/>
          <w:szCs w:val="20"/>
        </w:rPr>
        <w:t>)</w:t>
      </w:r>
      <w:r>
        <w:rPr>
          <w:rFonts w:ascii="Times New Roman" w:hAnsi="Times New Roman" w:eastAsia="宋体" w:cs="Times New Roman"/>
          <w:kern w:val="0"/>
          <w:sz w:val="24"/>
          <w:szCs w:val="20"/>
          <w:lang w:eastAsia="en-US"/>
        </w:rPr>
        <w:t xml:space="preserve"> formalism</w:t>
      </w:r>
      <w:r>
        <w:rPr>
          <w:rFonts w:ascii="Times New Roman" w:hAnsi="Times New Roman" w:eastAsia="宋体" w:cs="Times New Roman"/>
          <w:kern w:val="0"/>
          <w:sz w:val="24"/>
          <w:szCs w:val="20"/>
        </w:rPr>
        <w:t>, as exemplified by</w:t>
      </w:r>
      <w:r>
        <w:rPr>
          <w:rFonts w:ascii="Times New Roman" w:hAnsi="Times New Roman" w:eastAsia="宋体" w:cs="Times New Roman"/>
          <w:kern w:val="0"/>
          <w:sz w:val="24"/>
          <w:szCs w:val="20"/>
          <w:lang w:eastAsia="en-US"/>
        </w:rPr>
        <w:t xml:space="preserve"> all-atom optimized potentials for liquid simulations (OPLS-AA),</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{"citationID":"mxfmCMgl","properties":{"formattedCitation":"\\super 1\\nosupersub{}","plainCitation":"1","noteIndex":0},"citationItems":[{"id":1337,"uris":["http://zotero.org/users/17156447/items/YAQQI5Q4"],"itemData":{"id":1337,"type":"article-journal","abstract":"Our OPLS-2009IL force ﬁeld parameters (J. Chem. Theory Comput. 2009, 5, 1038−1050) were originally developed and tested on 68 unique ionic liquids featuring the 1-alkyl-3-methylimidazolium [RMIM], N-alkylpyridinium [RPyr], and choline cations. Experimental validation was limited to densities and a few, largely conﬂicting, heat of vaporization (ΔHvap) values reported in the literature at the time. Owing to the use of Monte Carlo as our sampling technique, it was also not possible to investigate the reproduction of dynamics. The [RMIM] OPLS-2009IL parameters have been revisited in this work and adapted for use in molecular dynamics (MD) simulations. In addition, new OPLS-AA parameters have been developed for multiple anions, i.e., AlCl4−, BF4−, Br−, Cl−, NO3−, PF6−, acetate, benzoate bis(pentaﬂuoroethylsulfonyl)amide, bis(triﬂuoroethylsulfonyl)amide, dicyanamide, formate, methylsulfate, perchlorate, propanoate, thiocyanate, tricyanomethanide, and triﬂuoromethanesulfonate. The computed solvent densities, heats of vaporization, viscosities, diﬀusion coeﬃcients, heat capacities, surface tensions, and other relevant solvent data compared favorably with experiment. A charge scaling of ±0.8 e was also investigated as a means to mimic polarization and charge transfer eﬀects. The 0.8-scaling led to signiﬁcant improvements for ΔHvap, surface tension, and self-diﬀusivity; however, a concern when scaling charges is the potential degradation of local intermolecular interactions at short ranges. Radial distribution functions (RDFs) were used to examine cation−anion interactions when employing 0.8*OPLS-2009IL and the scaled force ﬁeld accurately reproduced RDFs from ab initio MD simulations.","container-title":"Journal of Chemical Theory and Computation","DOI":"10.1021/acs.jctc.7b00520","ISSN":"1549-9618, 1549-9626","issue":"12","journalAbbreviation":"J. Chem. Theory Comput.","language":"en","license":"http://pubs.acs.org/page/policy/authorchoice_termsofuse.html","note":"472 citations (Crossref/DOI) [2025-11-02]\nTLDR: The computed solvent densities, heats of vaporization, viscosities, diffusion coefficients, heat capacities, surface tensions, and other relevant solvent data compared favorably with experiment and the scaled force field accurately reproduced RDFs from ab initio MD simulations.\nJCR分区: Q1\n5年影响因子: 6.4","page":"6131-6145","source":"DOI.org (Crossref)","title":"Revisiting OPLS force field parameters for ionic liquid simulations","volume":"13","author":[{"family":"Doherty","given":"Brian"},{"family":"Zhong","given":"Xiang"},{"family":"Gathiaka","given":"Symon"},{"family":"Li","given":"Bin"},{"family":"Acevedo","given":"Orlando"}],"issued":{"date-parts":[["2017",12,12]]}}}],"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1</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lang w:eastAsia="en-US"/>
        </w:rPr>
        <w:t xml:space="preserve"> the</w:t>
      </w:r>
      <w:r>
        <w:rPr>
          <w:rFonts w:ascii="Times New Roman" w:hAnsi="Times New Roman" w:eastAsia="宋体" w:cs="Times New Roman"/>
          <w:kern w:val="0"/>
          <w:sz w:val="24"/>
          <w:szCs w:val="20"/>
        </w:rPr>
        <w:t xml:space="preserve"> </w:t>
      </w:r>
      <w:r>
        <w:rPr>
          <w:rFonts w:ascii="Times New Roman" w:hAnsi="Times New Roman" w:eastAsia="宋体" w:cs="Times New Roman"/>
          <w:kern w:val="0"/>
          <w:sz w:val="24"/>
          <w:szCs w:val="20"/>
          <w:lang w:eastAsia="en-US"/>
        </w:rPr>
        <w:t>total potential energy</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total</w:t>
      </w:r>
      <w:r>
        <w:rPr>
          <w:rFonts w:ascii="Times New Roman" w:hAnsi="Times New Roman" w:eastAsia="宋体" w:cs="Times New Roman"/>
          <w:kern w:val="0"/>
          <w:sz w:val="24"/>
          <w:szCs w:val="20"/>
        </w:rPr>
        <w:t>)</w:t>
      </w:r>
      <w:r>
        <w:rPr>
          <w:rFonts w:ascii="Times New Roman" w:hAnsi="Times New Roman" w:eastAsia="宋体" w:cs="Times New Roman"/>
          <w:kern w:val="0"/>
          <w:sz w:val="24"/>
          <w:szCs w:val="20"/>
          <w:lang w:eastAsia="en-US"/>
        </w:rPr>
        <w:t xml:space="preserve"> is partitioned into bonded</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bonded</w:t>
      </w:r>
      <w:r>
        <w:rPr>
          <w:rFonts w:ascii="Times New Roman" w:hAnsi="Times New Roman" w:eastAsia="宋体" w:cs="Times New Roman"/>
          <w:kern w:val="0"/>
          <w:sz w:val="24"/>
          <w:szCs w:val="20"/>
        </w:rPr>
        <w:t>)</w:t>
      </w:r>
      <w:r>
        <w:rPr>
          <w:rFonts w:ascii="Times New Roman" w:hAnsi="Times New Roman" w:eastAsia="宋体" w:cs="Times New Roman"/>
          <w:kern w:val="0"/>
          <w:sz w:val="24"/>
          <w:szCs w:val="20"/>
          <w:lang w:eastAsia="en-US"/>
        </w:rPr>
        <w:t xml:space="preserve"> and nonbonded</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nonbonded</w:t>
      </w:r>
      <w:r>
        <w:rPr>
          <w:rFonts w:ascii="Times New Roman" w:hAnsi="Times New Roman" w:eastAsia="宋体" w:cs="Times New Roman"/>
          <w:kern w:val="0"/>
          <w:sz w:val="24"/>
          <w:szCs w:val="20"/>
        </w:rPr>
        <w:t>)</w:t>
      </w:r>
      <w:r>
        <w:rPr>
          <w:rFonts w:ascii="Times New Roman" w:hAnsi="Times New Roman" w:eastAsia="宋体" w:cs="Times New Roman"/>
          <w:kern w:val="0"/>
          <w:sz w:val="24"/>
          <w:szCs w:val="20"/>
          <w:lang w:eastAsia="en-US"/>
        </w:rPr>
        <w:t xml:space="preserve"> </w:t>
      </w:r>
      <w:r>
        <w:rPr>
          <w:rFonts w:ascii="Times New Roman" w:hAnsi="Times New Roman" w:eastAsia="宋体" w:cs="Times New Roman"/>
          <w:kern w:val="0"/>
          <w:sz w:val="24"/>
          <w:szCs w:val="20"/>
        </w:rPr>
        <w:t>components</w:t>
      </w:r>
      <w:r>
        <w:rPr>
          <w:rFonts w:ascii="Times New Roman" w:hAnsi="Times New Roman" w:eastAsia="宋体" w:cs="Times New Roman"/>
          <w:kern w:val="0"/>
          <w:sz w:val="24"/>
          <w:szCs w:val="20"/>
          <w:lang w:eastAsia="en-US"/>
        </w:rPr>
        <w:t>:</w:t>
      </w:r>
    </w:p>
    <w:p w14:paraId="5B9690EB">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12"/>
          <w:sz w:val="24"/>
          <w:szCs w:val="20"/>
          <w:lang w:eastAsia="en-US"/>
        </w:rPr>
        <w:object>
          <v:shape id="_x0000_i1025" o:spt="75" type="#_x0000_t75" style="height:17.7pt;width:119.7pt;" o:ole="t" filled="f" o:preferrelative="t" stroked="f" coordsize="21600,21600">
            <v:path/>
            <v:fill on="f" focussize="0,0"/>
            <v:stroke on="f" joinstyle="miter"/>
            <v:imagedata r:id="rId7" o:title=""/>
            <o:lock v:ext="edit" aspectratio="t"/>
            <w10:wrap type="none"/>
            <w10:anchorlock/>
          </v:shape>
          <o:OLEObject Type="Embed" ProgID="Equation.DSMT4" ShapeID="_x0000_i1025" DrawAspect="Content" ObjectID="_1468075725" r:id="rId6">
            <o:LockedField>false</o:LockedField>
          </o:OLEObject>
        </w:object>
      </w:r>
      <w:r>
        <w:rPr>
          <w:rFonts w:ascii="Times New Roman" w:hAnsi="Times New Roman" w:eastAsia="宋体" w:cs="Times New Roman"/>
          <w:kern w:val="0"/>
          <w:sz w:val="24"/>
          <w:szCs w:val="20"/>
        </w:rPr>
        <w:t xml:space="preserve">                         (1)</w:t>
      </w:r>
    </w:p>
    <w:p w14:paraId="3A426110">
      <w:pPr>
        <w:widowControl/>
        <w:spacing w:line="480" w:lineRule="auto"/>
        <w:ind w:firstLine="480" w:firstLineChars="200"/>
        <w:rPr>
          <w:rFonts w:ascii="Times New Roman" w:hAnsi="Times New Roman" w:eastAsia="宋体" w:cs="Times New Roman"/>
          <w:kern w:val="0"/>
          <w:sz w:val="24"/>
          <w:szCs w:val="20"/>
          <w:lang w:eastAsia="en-US"/>
        </w:rPr>
      </w:pPr>
      <w:r>
        <w:rPr>
          <w:rFonts w:ascii="Times New Roman" w:hAnsi="Times New Roman" w:eastAsia="宋体" w:cs="Times New Roman"/>
          <w:kern w:val="0"/>
          <w:sz w:val="24"/>
          <w:szCs w:val="20"/>
          <w:lang w:eastAsia="en-US"/>
        </w:rPr>
        <w:t xml:space="preserve">The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bonded</w:t>
      </w:r>
      <w:r>
        <w:rPr>
          <w:rFonts w:ascii="Times New Roman" w:hAnsi="Times New Roman" w:eastAsia="宋体" w:cs="Times New Roman"/>
          <w:kern w:val="0"/>
          <w:sz w:val="24"/>
          <w:szCs w:val="20"/>
          <w:lang w:eastAsia="en-US"/>
        </w:rPr>
        <w:t xml:space="preserve"> term describes the intramolecular interaction, encompassing two-body bond stretching, three-body angle bending, and four-body dihedral torsions:</w:t>
      </w:r>
    </w:p>
    <w:p w14:paraId="1F92668D">
      <w:pPr>
        <w:widowControl/>
        <w:spacing w:line="480" w:lineRule="auto"/>
        <w:jc w:val="right"/>
        <w:rPr>
          <w:rFonts w:ascii="Times New Roman" w:hAnsi="Times New Roman" w:eastAsia="宋体" w:cs="Times New Roman"/>
          <w:kern w:val="0"/>
          <w:sz w:val="24"/>
          <w:szCs w:val="20"/>
          <w:lang w:eastAsia="en-US"/>
        </w:rPr>
      </w:pPr>
      <w:r>
        <w:rPr>
          <w:rFonts w:ascii="Times New Roman" w:hAnsi="Times New Roman" w:eastAsia="宋体" w:cs="Times New Roman"/>
          <w:kern w:val="0"/>
          <w:position w:val="-24"/>
          <w:sz w:val="24"/>
          <w:szCs w:val="20"/>
          <w:lang w:eastAsia="en-US"/>
        </w:rPr>
        <w:object>
          <v:shape id="_x0000_i1026" o:spt="75" type="#_x0000_t75" style="height:34.1pt;width:402pt;" o:ole="t" filled="f" o:preferrelative="t" stroked="f" coordsize="21600,21600">
            <v:path/>
            <v:fill on="f" focussize="0,0"/>
            <v:stroke on="f" joinstyle="miter"/>
            <v:imagedata r:id="rId9" o:title=""/>
            <o:lock v:ext="edit" aspectratio="t"/>
            <w10:wrap type="none"/>
            <w10:anchorlock/>
          </v:shape>
          <o:OLEObject Type="Embed" ProgID="Equation.DSMT4" ShapeID="_x0000_i1026" DrawAspect="Content" ObjectID="_1468075726" r:id="rId8">
            <o:LockedField>false</o:LockedField>
          </o:OLEObject>
        </w:object>
      </w:r>
      <w:r>
        <w:rPr>
          <w:rFonts w:ascii="Times New Roman" w:hAnsi="Times New Roman" w:eastAsia="宋体" w:cs="Times New Roman"/>
          <w:kern w:val="0"/>
          <w:sz w:val="24"/>
          <w:szCs w:val="20"/>
        </w:rPr>
        <w:t xml:space="preserve"> (2)</w:t>
      </w:r>
    </w:p>
    <w:p w14:paraId="4E74EA7E">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lang w:eastAsia="en-US"/>
        </w:rPr>
        <w:t xml:space="preserve">Here, </w:t>
      </w:r>
      <w:r>
        <w:rPr>
          <w:rFonts w:ascii="Times New Roman" w:hAnsi="Times New Roman" w:eastAsia="宋体" w:cs="Times New Roman"/>
          <w:i/>
          <w:iCs/>
          <w:kern w:val="0"/>
          <w:sz w:val="24"/>
          <w:szCs w:val="20"/>
        </w:rPr>
        <w:t>i</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j</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k</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s</w:t>
      </w:r>
      <w:r>
        <w:rPr>
          <w:rFonts w:ascii="Times New Roman" w:hAnsi="Times New Roman" w:eastAsia="宋体" w:cs="Times New Roman"/>
          <w:kern w:val="0"/>
          <w:sz w:val="24"/>
          <w:szCs w:val="20"/>
          <w:lang w:eastAsia="en-US"/>
        </w:rPr>
        <w:t xml:space="preserve"> denote the atoms involved in the interactions</w:t>
      </w:r>
      <w:r>
        <w:rPr>
          <w:rFonts w:ascii="Times New Roman" w:hAnsi="Times New Roman" w:eastAsia="宋体" w:cs="Times New Roman"/>
          <w:kern w:val="0"/>
          <w:sz w:val="24"/>
          <w:szCs w:val="20"/>
        </w:rPr>
        <w:t xml:space="preserve">; the parameters </w:t>
      </w:r>
      <w:r>
        <w:rPr>
          <w:rFonts w:ascii="Times New Roman" w:hAnsi="Times New Roman" w:eastAsia="宋体" w:cs="Times New Roman"/>
          <w:i/>
          <w:iCs/>
          <w:kern w:val="0"/>
          <w:sz w:val="24"/>
          <w:szCs w:val="20"/>
        </w:rPr>
        <w:t>K</w:t>
      </w:r>
      <w:r>
        <w:rPr>
          <w:rFonts w:ascii="Times New Roman" w:hAnsi="Times New Roman" w:eastAsia="宋体" w:cs="Times New Roman"/>
          <w:i/>
          <w:iCs/>
          <w:kern w:val="0"/>
          <w:sz w:val="24"/>
          <w:szCs w:val="20"/>
          <w:vertAlign w:val="subscript"/>
          <w:lang w:eastAsia="en-US"/>
        </w:rPr>
        <w:t>b</w:t>
      </w:r>
      <w:r>
        <w:rPr>
          <w:rFonts w:ascii="Times New Roman" w:hAnsi="Times New Roman" w:eastAsia="宋体" w:cs="Times New Roman"/>
          <w:i/>
          <w:iCs/>
          <w:kern w:val="0"/>
          <w:sz w:val="24"/>
          <w:szCs w:val="20"/>
          <w:vertAlign w:val="superscript"/>
          <w:lang w:eastAsia="en-US"/>
        </w:rPr>
        <w:t>ij</w:t>
      </w:r>
      <w:r>
        <w:rPr>
          <w:rFonts w:ascii="Times New Roman" w:hAnsi="Times New Roman" w:eastAsia="宋体" w:cs="Times New Roman"/>
          <w:kern w:val="0"/>
          <w:sz w:val="24"/>
          <w:szCs w:val="20"/>
          <w:lang w:eastAsia="en-US"/>
        </w:rPr>
        <w:t xml:space="preserve">, </w:t>
      </w:r>
      <w:r>
        <w:rPr>
          <w:rFonts w:ascii="Times New Roman" w:hAnsi="Times New Roman" w:eastAsia="宋体" w:cs="Times New Roman"/>
          <w:i/>
          <w:iCs/>
          <w:kern w:val="0"/>
          <w:sz w:val="24"/>
          <w:szCs w:val="20"/>
        </w:rPr>
        <w:t>K</w:t>
      </w:r>
      <w:r>
        <w:rPr>
          <w:rFonts w:ascii="Times New Roman" w:hAnsi="Times New Roman" w:eastAsia="宋体" w:cs="Times New Roman"/>
          <w:i/>
          <w:iCs/>
          <w:kern w:val="0"/>
          <w:sz w:val="24"/>
          <w:szCs w:val="20"/>
          <w:vertAlign w:val="subscript"/>
          <w:lang w:eastAsia="en-US"/>
        </w:rPr>
        <w:t>θ</w:t>
      </w:r>
      <w:r>
        <w:rPr>
          <w:rFonts w:ascii="Times New Roman" w:hAnsi="Times New Roman" w:eastAsia="宋体" w:cs="Times New Roman"/>
          <w:i/>
          <w:iCs/>
          <w:kern w:val="0"/>
          <w:sz w:val="24"/>
          <w:szCs w:val="20"/>
          <w:vertAlign w:val="superscript"/>
          <w:lang w:eastAsia="en-US"/>
        </w:rPr>
        <w:t>ij</w:t>
      </w:r>
      <w:r>
        <w:rPr>
          <w:rFonts w:ascii="Times New Roman" w:hAnsi="Times New Roman" w:eastAsia="宋体" w:cs="Times New Roman"/>
          <w:i/>
          <w:iCs/>
          <w:kern w:val="0"/>
          <w:sz w:val="24"/>
          <w:szCs w:val="20"/>
          <w:vertAlign w:val="superscript"/>
        </w:rPr>
        <w:t>k</w:t>
      </w:r>
      <w:r>
        <w:rPr>
          <w:rFonts w:ascii="Times New Roman" w:hAnsi="Times New Roman" w:eastAsia="宋体" w:cs="Times New Roman"/>
          <w:kern w:val="0"/>
          <w:sz w:val="24"/>
          <w:szCs w:val="20"/>
          <w:lang w:eastAsia="en-US"/>
        </w:rPr>
        <w:t xml:space="preserve">, and </w:t>
      </w:r>
      <w:r>
        <w:rPr>
          <w:rFonts w:ascii="Times New Roman" w:hAnsi="Times New Roman" w:eastAsia="宋体" w:cs="Times New Roman"/>
          <w:i/>
          <w:iCs/>
          <w:kern w:val="0"/>
          <w:sz w:val="24"/>
          <w:szCs w:val="20"/>
        </w:rPr>
        <w:t>K</w:t>
      </w:r>
      <w:r>
        <w:rPr>
          <w:rFonts w:ascii="Times New Roman" w:hAnsi="Times New Roman" w:eastAsia="宋体" w:cs="Times New Roman"/>
          <w:i/>
          <w:iCs/>
          <w:kern w:val="0"/>
          <w:sz w:val="24"/>
          <w:szCs w:val="20"/>
          <w:vertAlign w:val="subscript"/>
        </w:rPr>
        <w:t>v</w:t>
      </w:r>
      <w:r>
        <w:rPr>
          <w:rFonts w:ascii="Times New Roman" w:hAnsi="Times New Roman" w:eastAsia="宋体" w:cs="Times New Roman"/>
          <w:i/>
          <w:iCs/>
          <w:kern w:val="0"/>
          <w:sz w:val="24"/>
          <w:szCs w:val="20"/>
          <w:vertAlign w:val="superscript"/>
          <w:lang w:eastAsia="en-US"/>
        </w:rPr>
        <w:t>ij</w:t>
      </w:r>
      <w:r>
        <w:rPr>
          <w:rFonts w:ascii="Times New Roman" w:hAnsi="Times New Roman" w:eastAsia="宋体" w:cs="Times New Roman"/>
          <w:i/>
          <w:iCs/>
          <w:kern w:val="0"/>
          <w:sz w:val="24"/>
          <w:szCs w:val="20"/>
          <w:vertAlign w:val="superscript"/>
        </w:rPr>
        <w:t>ks</w:t>
      </w:r>
      <w:r>
        <w:rPr>
          <w:rFonts w:ascii="Times New Roman" w:hAnsi="Times New Roman" w:eastAsia="宋体" w:cs="Times New Roman"/>
          <w:kern w:val="0"/>
          <w:sz w:val="24"/>
          <w:szCs w:val="20"/>
          <w:lang w:eastAsia="en-US"/>
        </w:rPr>
        <w:t xml:space="preserve"> </w:t>
      </w:r>
      <w:r>
        <w:rPr>
          <w:rFonts w:ascii="Times New Roman" w:hAnsi="Times New Roman" w:eastAsia="宋体" w:cs="Times New Roman"/>
          <w:kern w:val="0"/>
          <w:sz w:val="24"/>
          <w:szCs w:val="20"/>
        </w:rPr>
        <w:t>are the force constants for bond, angle, and dihedral terms, respectively;</w:t>
      </w:r>
      <w:r>
        <w:rPr>
          <w:rFonts w:ascii="Times New Roman" w:hAnsi="Times New Roman" w:eastAsia="宋体" w:cs="Times New Roman"/>
          <w:kern w:val="0"/>
          <w:sz w:val="24"/>
          <w:szCs w:val="20"/>
          <w:lang w:eastAsia="en-US"/>
        </w:rPr>
        <w:t xml:space="preserve"> </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vertAlign w:val="subscript"/>
        </w:rPr>
        <w:t>0</w:t>
      </w:r>
      <w:r>
        <w:rPr>
          <w:rFonts w:ascii="Times New Roman" w:hAnsi="Times New Roman" w:eastAsia="宋体" w:cs="Times New Roman"/>
          <w:i/>
          <w:iCs/>
          <w:kern w:val="0"/>
          <w:sz w:val="24"/>
          <w:szCs w:val="20"/>
          <w:vertAlign w:val="superscript"/>
          <w:lang w:eastAsia="en-US"/>
        </w:rPr>
        <w:t>ij</w:t>
      </w:r>
      <w:r>
        <w:rPr>
          <w:rFonts w:ascii="Times New Roman" w:hAnsi="Times New Roman" w:eastAsia="宋体" w:cs="Times New Roman"/>
          <w:kern w:val="0"/>
          <w:sz w:val="24"/>
          <w:szCs w:val="20"/>
        </w:rPr>
        <w:t xml:space="preserve"> and</w:t>
      </w:r>
      <w:r>
        <w:rPr>
          <w:rFonts w:ascii="Times New Roman" w:hAnsi="Times New Roman" w:eastAsia="宋体" w:cs="Times New Roman"/>
          <w:kern w:val="0"/>
          <w:sz w:val="24"/>
          <w:szCs w:val="20"/>
          <w:lang w:eastAsia="en-US"/>
        </w:rPr>
        <w:t xml:space="preserve"> </w:t>
      </w:r>
      <w:r>
        <w:rPr>
          <w:rFonts w:ascii="Times New Roman" w:hAnsi="Times New Roman" w:eastAsia="宋体" w:cs="Times New Roman"/>
          <w:i/>
          <w:iCs/>
          <w:kern w:val="0"/>
          <w:sz w:val="24"/>
          <w:szCs w:val="20"/>
          <w:lang w:eastAsia="en-US"/>
        </w:rPr>
        <w:t>θ</w:t>
      </w:r>
      <w:r>
        <w:rPr>
          <w:rFonts w:ascii="Times New Roman" w:hAnsi="Times New Roman" w:eastAsia="宋体" w:cs="Times New Roman"/>
          <w:kern w:val="0"/>
          <w:sz w:val="24"/>
          <w:szCs w:val="20"/>
          <w:vertAlign w:val="subscript"/>
        </w:rPr>
        <w:t>0</w:t>
      </w:r>
      <w:r>
        <w:rPr>
          <w:rFonts w:ascii="Times New Roman" w:hAnsi="Times New Roman" w:eastAsia="宋体" w:cs="Times New Roman"/>
          <w:i/>
          <w:iCs/>
          <w:kern w:val="0"/>
          <w:sz w:val="24"/>
          <w:szCs w:val="20"/>
          <w:vertAlign w:val="superscript"/>
          <w:lang w:eastAsia="en-US"/>
        </w:rPr>
        <w:t>ij</w:t>
      </w:r>
      <w:r>
        <w:rPr>
          <w:rFonts w:ascii="Times New Roman" w:hAnsi="Times New Roman" w:eastAsia="宋体" w:cs="Times New Roman"/>
          <w:i/>
          <w:iCs/>
          <w:kern w:val="0"/>
          <w:sz w:val="24"/>
          <w:szCs w:val="20"/>
          <w:vertAlign w:val="superscript"/>
        </w:rPr>
        <w:t>k</w:t>
      </w:r>
      <w:r>
        <w:rPr>
          <w:rFonts w:ascii="Times New Roman" w:hAnsi="Times New Roman" w:eastAsia="宋体" w:cs="Times New Roman"/>
          <w:kern w:val="0"/>
          <w:sz w:val="24"/>
          <w:szCs w:val="20"/>
          <w:lang w:eastAsia="en-US"/>
        </w:rPr>
        <w:t xml:space="preserve"> represent the equilibrium bond length and angle</w:t>
      </w:r>
      <w:r>
        <w:rPr>
          <w:rFonts w:ascii="Times New Roman" w:hAnsi="Times New Roman" w:eastAsia="宋体" w:cs="Times New Roman"/>
          <w:kern w:val="0"/>
          <w:sz w:val="24"/>
          <w:szCs w:val="20"/>
        </w:rPr>
        <w:t xml:space="preserve">, while </w:t>
      </w:r>
      <w:r>
        <w:rPr>
          <w:rFonts w:ascii="Times New Roman" w:hAnsi="Times New Roman" w:eastAsia="宋体" w:cs="Times New Roman"/>
          <w:i/>
          <w:iCs/>
          <w:kern w:val="0"/>
          <w:sz w:val="24"/>
          <w:szCs w:val="20"/>
        </w:rPr>
        <w:t>r</w:t>
      </w:r>
      <w:r>
        <w:rPr>
          <w:rFonts w:ascii="Times New Roman" w:hAnsi="Times New Roman" w:eastAsia="宋体" w:cs="Times New Roman"/>
          <w:i/>
          <w:iCs/>
          <w:kern w:val="0"/>
          <w:sz w:val="24"/>
          <w:szCs w:val="20"/>
          <w:vertAlign w:val="superscript"/>
          <w:lang w:eastAsia="en-US"/>
        </w:rPr>
        <w:t>ij</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lang w:eastAsia="en-US"/>
        </w:rPr>
        <w:t>θ</w:t>
      </w:r>
      <w:r>
        <w:rPr>
          <w:rFonts w:ascii="Times New Roman" w:hAnsi="Times New Roman" w:eastAsia="宋体" w:cs="Times New Roman"/>
          <w:i/>
          <w:iCs/>
          <w:kern w:val="0"/>
          <w:sz w:val="24"/>
          <w:szCs w:val="20"/>
          <w:vertAlign w:val="superscript"/>
          <w:lang w:eastAsia="en-US"/>
        </w:rPr>
        <w:t>ij</w:t>
      </w:r>
      <w:r>
        <w:rPr>
          <w:rFonts w:ascii="Times New Roman" w:hAnsi="Times New Roman" w:eastAsia="宋体" w:cs="Times New Roman"/>
          <w:i/>
          <w:iCs/>
          <w:kern w:val="0"/>
          <w:sz w:val="24"/>
          <w:szCs w:val="20"/>
          <w:vertAlign w:val="superscript"/>
        </w:rPr>
        <w:t>k</w:t>
      </w:r>
      <w:r>
        <w:rPr>
          <w:rFonts w:ascii="Times New Roman" w:hAnsi="Times New Roman" w:eastAsia="宋体" w:cs="Times New Roman"/>
          <w:kern w:val="0"/>
          <w:sz w:val="24"/>
          <w:szCs w:val="20"/>
        </w:rPr>
        <w:t xml:space="preserve"> and</w:t>
      </w:r>
      <w:r>
        <w:rPr>
          <w:rFonts w:ascii="Times New Roman" w:hAnsi="Times New Roman" w:eastAsia="宋体" w:cs="Times New Roman"/>
          <w:kern w:val="0"/>
          <w:sz w:val="24"/>
          <w:szCs w:val="20"/>
          <w:lang w:eastAsia="en-US"/>
        </w:rPr>
        <w:t xml:space="preserve"> </w:t>
      </w:r>
      <w:r>
        <w:rPr>
          <w:rFonts w:ascii="Times New Roman" w:hAnsi="Times New Roman" w:eastAsia="宋体" w:cs="Times New Roman"/>
          <w:i/>
          <w:iCs/>
          <w:kern w:val="0"/>
          <w:sz w:val="24"/>
          <w:szCs w:val="20"/>
          <w:lang w:eastAsia="en-US"/>
        </w:rPr>
        <w:t>φ</w:t>
      </w:r>
      <w:r>
        <w:rPr>
          <w:rFonts w:ascii="Times New Roman" w:hAnsi="Times New Roman" w:eastAsia="宋体" w:cs="Times New Roman"/>
          <w:i/>
          <w:iCs/>
          <w:kern w:val="0"/>
          <w:sz w:val="24"/>
          <w:szCs w:val="20"/>
          <w:vertAlign w:val="superscript"/>
          <w:lang w:eastAsia="en-US"/>
        </w:rPr>
        <w:t>ij</w:t>
      </w:r>
      <w:r>
        <w:rPr>
          <w:rFonts w:ascii="Times New Roman" w:hAnsi="Times New Roman" w:eastAsia="宋体" w:cs="Times New Roman"/>
          <w:i/>
          <w:iCs/>
          <w:kern w:val="0"/>
          <w:sz w:val="24"/>
          <w:szCs w:val="20"/>
          <w:vertAlign w:val="superscript"/>
        </w:rPr>
        <w:t>ks</w:t>
      </w:r>
      <w:r>
        <w:rPr>
          <w:rFonts w:ascii="Times New Roman" w:hAnsi="Times New Roman" w:eastAsia="宋体" w:cs="Times New Roman"/>
          <w:kern w:val="0"/>
          <w:sz w:val="24"/>
          <w:szCs w:val="20"/>
          <w:lang w:eastAsia="en-US"/>
        </w:rPr>
        <w:t xml:space="preserve"> correspond to the instantaneous bond length, angle, and dihedral angle</w:t>
      </w:r>
      <w:r>
        <w:rPr>
          <w:rFonts w:ascii="Times New Roman" w:hAnsi="Times New Roman" w:eastAsia="宋体" w:cs="Times New Roman"/>
          <w:kern w:val="0"/>
          <w:sz w:val="24"/>
          <w:szCs w:val="20"/>
        </w:rPr>
        <w:t>. Dihedral interactions are modeled using a Fourier series consisting of up to four cosine terms. The phase behavior is implicitly determined by the signs and magnitudes of the coefficients, obviating the need for an explicit phase shift parameter.</w:t>
      </w:r>
    </w:p>
    <w:p w14:paraId="7654B13F">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Nonbonded interactions in CFFs are described by van der Waals (vdW) and electrostatic terms, represented by the Lennard-Jones (LJ) and Coulomb potentials, respectively. Electronic polarization is incorporated implicitly </w:t>
      </w:r>
      <w:r>
        <w:rPr>
          <w:rFonts w:ascii="Times New Roman" w:hAnsi="Times New Roman" w:eastAsia="宋体" w:cs="Times New Roman"/>
          <w:i/>
          <w:iCs/>
          <w:kern w:val="0"/>
          <w:sz w:val="24"/>
          <w:szCs w:val="20"/>
        </w:rPr>
        <w:t>via</w:t>
      </w:r>
      <w:r>
        <w:rPr>
          <w:rFonts w:ascii="Times New Roman" w:hAnsi="Times New Roman" w:eastAsia="宋体" w:cs="Times New Roman"/>
          <w:kern w:val="0"/>
          <w:sz w:val="24"/>
          <w:szCs w:val="20"/>
        </w:rPr>
        <w:t xml:space="preserve"> two approximations: (i) in the LJ potential, where parametrization captures dispersion and repulsion in a mean-field polarized environment, and (ii) in the electrostatic term, through uniform scaling of atomic partial charges to approximate electronic screening. </w:t>
      </w:r>
      <w:r>
        <w:rPr>
          <w:rFonts w:ascii="Times New Roman" w:hAnsi="Times New Roman" w:eastAsia="宋体" w:cs="Times New Roman"/>
          <w:kern w:val="0"/>
          <w:sz w:val="24"/>
          <w:szCs w:val="20"/>
          <w:lang w:eastAsia="en-US"/>
        </w:rPr>
        <w:t xml:space="preserve">The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nonbonded</w:t>
      </w:r>
      <w:r>
        <w:rPr>
          <w:rFonts w:ascii="Times New Roman" w:hAnsi="Times New Roman" w:eastAsia="宋体" w:cs="Times New Roman"/>
          <w:kern w:val="0"/>
          <w:sz w:val="24"/>
          <w:szCs w:val="20"/>
        </w:rPr>
        <w:t xml:space="preserve"> term is expressed as:</w:t>
      </w:r>
    </w:p>
    <w:p w14:paraId="2A20B70C">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40"/>
          <w:sz w:val="24"/>
          <w:szCs w:val="20"/>
          <w:lang w:eastAsia="en-US"/>
        </w:rPr>
        <w:object>
          <v:shape id="_x0000_i1027" o:spt="75" type="#_x0000_t75" style="height:42pt;width:282pt;" o:ole="t" filled="f" o:preferrelative="t" stroked="f" coordsize="21600,21600">
            <v:path/>
            <v:fill on="f" focussize="0,0"/>
            <v:stroke on="f" joinstyle="miter"/>
            <v:imagedata r:id="rId11" o:title=""/>
            <o:lock v:ext="edit" aspectratio="t"/>
            <w10:wrap type="none"/>
            <w10:anchorlock/>
          </v:shape>
          <o:OLEObject Type="Embed" ProgID="Equation.DSMT4" ShapeID="_x0000_i1027" DrawAspect="Content" ObjectID="_1468075727" r:id="rId10">
            <o:LockedField>false</o:LockedField>
          </o:OLEObject>
        </w:object>
      </w:r>
      <w:r>
        <w:rPr>
          <w:rFonts w:ascii="Times New Roman" w:hAnsi="Times New Roman" w:eastAsia="宋体" w:cs="Times New Roman"/>
          <w:kern w:val="0"/>
          <w:sz w:val="24"/>
          <w:szCs w:val="20"/>
        </w:rPr>
        <w:t xml:space="preserve">         (3)</w:t>
      </w:r>
    </w:p>
    <w:p w14:paraId="441B1642">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Here, </w:t>
      </w:r>
      <w:r>
        <w:rPr>
          <w:rFonts w:ascii="Times New Roman" w:hAnsi="Times New Roman" w:eastAsia="宋体" w:cs="Times New Roman"/>
          <w:i/>
          <w:iCs/>
          <w:kern w:val="0"/>
          <w:sz w:val="24"/>
          <w:szCs w:val="20"/>
        </w:rPr>
        <w:t>ε</w:t>
      </w:r>
      <w:r>
        <w:rPr>
          <w:rFonts w:ascii="Times New Roman" w:hAnsi="Times New Roman" w:eastAsia="宋体" w:cs="Times New Roman"/>
          <w:kern w:val="0"/>
          <w:sz w:val="24"/>
          <w:szCs w:val="20"/>
          <w:vertAlign w:val="subscript"/>
        </w:rPr>
        <w:t>0</w:t>
      </w:r>
      <w:r>
        <w:rPr>
          <w:rFonts w:ascii="Times New Roman" w:hAnsi="Times New Roman" w:eastAsia="宋体" w:cs="Times New Roman"/>
          <w:kern w:val="0"/>
          <w:sz w:val="24"/>
          <w:szCs w:val="20"/>
        </w:rPr>
        <w:t xml:space="preserve"> is the vacuum permittivity; </w:t>
      </w:r>
      <w:r>
        <w:rPr>
          <w:rFonts w:ascii="Times New Roman" w:hAnsi="Times New Roman" w:eastAsia="宋体" w:cs="Times New Roman"/>
          <w:i/>
          <w:iCs/>
          <w:kern w:val="0"/>
          <w:sz w:val="24"/>
          <w:szCs w:val="20"/>
        </w:rPr>
        <w:t>r</w:t>
      </w:r>
      <w:r>
        <w:rPr>
          <w:rFonts w:ascii="Times New Roman" w:hAnsi="Times New Roman" w:eastAsia="宋体" w:cs="Times New Roman"/>
          <w:i/>
          <w:iCs/>
          <w:kern w:val="0"/>
          <w:sz w:val="24"/>
          <w:szCs w:val="20"/>
          <w:vertAlign w:val="superscript"/>
          <w:lang w:eastAsia="en-US"/>
        </w:rPr>
        <w:t>ij</w:t>
      </w:r>
      <w:r>
        <w:rPr>
          <w:rFonts w:ascii="Times New Roman" w:hAnsi="Times New Roman" w:eastAsia="宋体" w:cs="Times New Roman"/>
          <w:kern w:val="0"/>
          <w:sz w:val="24"/>
          <w:szCs w:val="20"/>
        </w:rPr>
        <w:t xml:space="preserve"> is the interatomic distance; </w:t>
      </w:r>
      <w:r>
        <w:rPr>
          <w:rFonts w:ascii="Times New Roman" w:hAnsi="Times New Roman" w:eastAsia="宋体" w:cs="Times New Roman"/>
          <w:i/>
          <w:iCs/>
          <w:kern w:val="0"/>
          <w:sz w:val="24"/>
          <w:szCs w:val="20"/>
        </w:rPr>
        <w:t>σ</w:t>
      </w:r>
      <w:r>
        <w:rPr>
          <w:rFonts w:ascii="Times New Roman" w:hAnsi="Times New Roman" w:eastAsia="宋体" w:cs="Times New Roman"/>
          <w:i/>
          <w:iCs/>
          <w:kern w:val="0"/>
          <w:sz w:val="24"/>
          <w:szCs w:val="20"/>
          <w:vertAlign w:val="superscript"/>
        </w:rPr>
        <w:t>ij</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ε</w:t>
      </w:r>
      <w:r>
        <w:rPr>
          <w:rFonts w:ascii="Times New Roman" w:hAnsi="Times New Roman" w:eastAsia="宋体" w:cs="Times New Roman"/>
          <w:i/>
          <w:iCs/>
          <w:kern w:val="0"/>
          <w:sz w:val="24"/>
          <w:szCs w:val="20"/>
          <w:vertAlign w:val="superscript"/>
        </w:rPr>
        <w:t>ij</w:t>
      </w:r>
      <w:r>
        <w:rPr>
          <w:rFonts w:ascii="Times New Roman" w:hAnsi="Times New Roman" w:eastAsia="宋体" w:cs="Times New Roman"/>
          <w:kern w:val="0"/>
          <w:sz w:val="24"/>
          <w:szCs w:val="20"/>
        </w:rPr>
        <w:t xml:space="preserve"> are the LJ collision diameter and well depth parameters; </w:t>
      </w:r>
      <w:r>
        <w:rPr>
          <w:rFonts w:ascii="Times New Roman" w:hAnsi="Times New Roman" w:eastAsia="宋体" w:cs="Times New Roman"/>
          <w:i/>
          <w:iCs/>
          <w:kern w:val="0"/>
          <w:sz w:val="24"/>
          <w:szCs w:val="20"/>
        </w:rPr>
        <w:t>q</w:t>
      </w:r>
      <w:r>
        <w:rPr>
          <w:rFonts w:ascii="Times New Roman" w:hAnsi="Times New Roman" w:eastAsia="宋体" w:cs="Times New Roman"/>
          <w:i/>
          <w:iCs/>
          <w:kern w:val="0"/>
          <w:sz w:val="24"/>
          <w:szCs w:val="20"/>
          <w:vertAlign w:val="superscript"/>
          <w:lang w:eastAsia="en-US"/>
        </w:rPr>
        <w:t>i</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q</w:t>
      </w:r>
      <w:r>
        <w:rPr>
          <w:rFonts w:ascii="Times New Roman" w:hAnsi="Times New Roman" w:eastAsia="宋体" w:cs="Times New Roman"/>
          <w:i/>
          <w:iCs/>
          <w:kern w:val="0"/>
          <w:sz w:val="24"/>
          <w:szCs w:val="20"/>
          <w:vertAlign w:val="superscript"/>
          <w:lang w:eastAsia="en-US"/>
        </w:rPr>
        <w:t>j</w:t>
      </w:r>
      <w:r>
        <w:rPr>
          <w:rFonts w:ascii="Times New Roman" w:hAnsi="Times New Roman" w:eastAsia="宋体" w:cs="Times New Roman"/>
          <w:kern w:val="0"/>
          <w:sz w:val="24"/>
          <w:szCs w:val="20"/>
        </w:rPr>
        <w:t xml:space="preserve"> represent the atomic partial charges. The empirical charge scaling factor, </w:t>
      </w:r>
      <w:r>
        <w:rPr>
          <w:rFonts w:ascii="Times New Roman" w:hAnsi="Times New Roman" w:eastAsia="宋体" w:cs="Times New Roman"/>
          <w:i/>
          <w:iCs/>
          <w:kern w:val="0"/>
          <w:sz w:val="24"/>
          <w:szCs w:val="20"/>
        </w:rPr>
        <w:t>F</w:t>
      </w:r>
      <w:r>
        <w:rPr>
          <w:rFonts w:ascii="Times New Roman" w:hAnsi="Times New Roman" w:eastAsia="宋体" w:cs="Times New Roman"/>
          <w:i/>
          <w:iCs/>
          <w:kern w:val="0"/>
          <w:sz w:val="24"/>
          <w:szCs w:val="20"/>
          <w:vertAlign w:val="subscript"/>
        </w:rPr>
        <w:t>q</w:t>
      </w:r>
      <w:r>
        <w:rPr>
          <w:rFonts w:ascii="Times New Roman" w:hAnsi="Times New Roman" w:eastAsia="宋体" w:cs="Times New Roman"/>
          <w:kern w:val="0"/>
          <w:sz w:val="24"/>
          <w:szCs w:val="20"/>
        </w:rPr>
        <w:t>, are defined as:</w:t>
      </w:r>
    </w:p>
    <w:p w14:paraId="5E31C614">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30"/>
          <w:sz w:val="24"/>
          <w:szCs w:val="20"/>
        </w:rPr>
        <w:object>
          <v:shape id="_x0000_i1028" o:spt="75" type="#_x0000_t75" style="height:36pt;width:102pt;" o:ole="t" filled="f" o:preferrelative="t" stroked="f" coordsize="21600,21600">
            <v:path/>
            <v:fill on="f" focussize="0,0"/>
            <v:stroke on="f" joinstyle="miter"/>
            <v:imagedata r:id="rId13" o:title=""/>
            <o:lock v:ext="edit" aspectratio="t"/>
            <w10:wrap type="none"/>
            <w10:anchorlock/>
          </v:shape>
          <o:OLEObject Type="Embed" ProgID="Equation.DSMT4" ShapeID="_x0000_i1028" DrawAspect="Content" ObjectID="_1468075728" r:id="rId12">
            <o:LockedField>false</o:LockedField>
          </o:OLEObject>
        </w:object>
      </w:r>
      <w:r>
        <w:rPr>
          <w:rFonts w:ascii="Times New Roman" w:hAnsi="Times New Roman" w:eastAsia="宋体" w:cs="Times New Roman"/>
          <w:kern w:val="0"/>
          <w:sz w:val="24"/>
          <w:szCs w:val="20"/>
        </w:rPr>
        <w:t xml:space="preserve">                        (4)</w:t>
      </w:r>
    </w:p>
    <w:p w14:paraId="3688E0E2">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The LJ parameters for unlike atoms are obtained using the geometric mixing rules:</w:t>
      </w:r>
    </w:p>
    <w:p w14:paraId="18C10A0B">
      <w:pPr>
        <w:pStyle w:val="39"/>
        <w:ind w:firstLine="0"/>
        <w:jc w:val="right"/>
        <w:rPr>
          <w:rFonts w:ascii="Times New Roman" w:hAnsi="Times New Roman"/>
          <w:lang w:eastAsia="zh-CN"/>
        </w:rPr>
      </w:pPr>
      <w:r>
        <w:rPr>
          <w:rFonts w:ascii="Times New Roman" w:hAnsi="Times New Roman"/>
          <w:position w:val="-8"/>
          <w:lang w:eastAsia="zh-CN"/>
        </w:rPr>
        <w:object>
          <v:shape id="_x0000_i1029" o:spt="75" type="#_x0000_t75" style="height:21.45pt;width:63.45pt;" o:ole="t" filled="f" o:preferrelative="t" stroked="f" coordsize="21600,21600">
            <v:path/>
            <v:fill on="f" focussize="0,0"/>
            <v:stroke on="f" joinstyle="miter"/>
            <v:imagedata r:id="rId15" o:title=""/>
            <o:lock v:ext="edit" aspectratio="t"/>
            <w10:wrap type="none"/>
            <w10:anchorlock/>
          </v:shape>
          <o:OLEObject Type="Embed" ProgID="Equation.DSMT4" ShapeID="_x0000_i1029" DrawAspect="Content" ObjectID="_1468075729" r:id="rId14">
            <o:LockedField>false</o:LockedField>
          </o:OLEObject>
        </w:object>
      </w:r>
      <w:r>
        <w:rPr>
          <w:rFonts w:ascii="Times New Roman" w:hAnsi="Times New Roman"/>
          <w:lang w:eastAsia="zh-CN"/>
        </w:rPr>
        <w:t xml:space="preserve">                           (5)</w:t>
      </w:r>
    </w:p>
    <w:p w14:paraId="40AAFCE5">
      <w:pPr>
        <w:pStyle w:val="39"/>
        <w:ind w:firstLine="0"/>
        <w:jc w:val="right"/>
        <w:rPr>
          <w:rFonts w:ascii="Times New Roman" w:hAnsi="Times New Roman"/>
          <w:lang w:eastAsia="zh-CN"/>
        </w:rPr>
      </w:pPr>
      <w:r>
        <w:rPr>
          <w:rFonts w:ascii="Times New Roman" w:hAnsi="Times New Roman"/>
          <w:position w:val="-8"/>
          <w:lang w:eastAsia="zh-CN"/>
        </w:rPr>
        <w:object>
          <v:shape id="_x0000_i1030" o:spt="75" type="#_x0000_t75" style="height:21.45pt;width:58.1pt;" o:ole="t" filled="f" o:preferrelative="t" stroked="f" coordsize="21600,21600">
            <v:path/>
            <v:fill on="f" focussize="0,0"/>
            <v:stroke on="f" joinstyle="miter"/>
            <v:imagedata r:id="rId17" o:title=""/>
            <o:lock v:ext="edit" aspectratio="t"/>
            <w10:wrap type="none"/>
            <w10:anchorlock/>
          </v:shape>
          <o:OLEObject Type="Embed" ProgID="Equation.DSMT4" ShapeID="_x0000_i1030" DrawAspect="Content" ObjectID="_1468075730" r:id="rId16">
            <o:LockedField>false</o:LockedField>
          </o:OLEObject>
        </w:object>
      </w:r>
      <w:r>
        <w:rPr>
          <w:rFonts w:ascii="Times New Roman" w:hAnsi="Times New Roman"/>
          <w:lang w:eastAsia="zh-CN"/>
        </w:rPr>
        <w:t xml:space="preserve">                            (6)</w:t>
      </w:r>
    </w:p>
    <w:p w14:paraId="64FB1A76">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To prevent double-counting of nonbonded interactions between atoms in close covalent proximity, a scaling scheme is applied based on topological separation. The weighting coefficient </w:t>
      </w:r>
      <w:r>
        <w:rPr>
          <w:rFonts w:ascii="Times New Roman" w:hAnsi="Times New Roman" w:eastAsia="宋体" w:cs="Times New Roman"/>
          <w:i/>
          <w:iCs/>
          <w:kern w:val="0"/>
          <w:sz w:val="24"/>
          <w:szCs w:val="20"/>
        </w:rPr>
        <w:t>w</w:t>
      </w:r>
      <w:r>
        <w:rPr>
          <w:rFonts w:ascii="Times New Roman" w:hAnsi="Times New Roman" w:eastAsia="宋体" w:cs="Times New Roman"/>
          <w:i/>
          <w:iCs/>
          <w:kern w:val="0"/>
          <w:sz w:val="24"/>
          <w:szCs w:val="20"/>
          <w:vertAlign w:val="superscript"/>
        </w:rPr>
        <w:t>ij</w:t>
      </w:r>
      <w:r>
        <w:rPr>
          <w:rFonts w:ascii="Times New Roman" w:hAnsi="Times New Roman" w:eastAsia="宋体" w:cs="Times New Roman"/>
          <w:kern w:val="0"/>
          <w:sz w:val="24"/>
          <w:szCs w:val="20"/>
        </w:rPr>
        <w:t xml:space="preserve"> is introduced as follows:</w:t>
      </w:r>
    </w:p>
    <w:p w14:paraId="1032FCE2">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50"/>
          <w:sz w:val="24"/>
          <w:szCs w:val="20"/>
        </w:rPr>
        <w:object>
          <v:shape id="_x0000_i1031" o:spt="75" type="#_x0000_t75" style="height:60pt;width:144pt;" o:ole="t" filled="f" o:preferrelative="t" stroked="f" coordsize="21600,21600">
            <v:path/>
            <v:fill on="f" focussize="0,0"/>
            <v:stroke on="f" joinstyle="miter"/>
            <v:imagedata r:id="rId19" o:title=""/>
            <o:lock v:ext="edit" aspectratio="t"/>
            <w10:wrap type="none"/>
            <w10:anchorlock/>
          </v:shape>
          <o:OLEObject Type="Embed" ProgID="Equation.DSMT4" ShapeID="_x0000_i1031" DrawAspect="Content" ObjectID="_1468075731" r:id="rId18">
            <o:LockedField>false</o:LockedField>
          </o:OLEObject>
        </w:object>
      </w:r>
      <w:r>
        <w:rPr>
          <w:rFonts w:ascii="Times New Roman" w:hAnsi="Times New Roman" w:eastAsia="宋体" w:cs="Times New Roman"/>
          <w:kern w:val="0"/>
          <w:sz w:val="24"/>
          <w:szCs w:val="20"/>
        </w:rPr>
        <w:t xml:space="preserve">                  (7)</w:t>
      </w:r>
    </w:p>
    <w:p w14:paraId="0F1C1FAE">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lang w:eastAsia="en-US"/>
        </w:rPr>
        <w:t xml:space="preserve">Here, </w:t>
      </w:r>
      <w:r>
        <w:rPr>
          <w:rFonts w:ascii="Times New Roman" w:hAnsi="Times New Roman" w:eastAsia="宋体" w:cs="Times New Roman"/>
          <w:i/>
          <w:iCs/>
          <w:kern w:val="0"/>
          <w:sz w:val="24"/>
          <w:szCs w:val="20"/>
        </w:rPr>
        <w:t>b</w:t>
      </w:r>
      <w:r>
        <w:rPr>
          <w:rFonts w:ascii="Times New Roman" w:hAnsi="Times New Roman" w:eastAsia="宋体" w:cs="Times New Roman"/>
          <w:kern w:val="0"/>
          <w:sz w:val="24"/>
          <w:szCs w:val="20"/>
          <w:vertAlign w:val="subscript"/>
        </w:rPr>
        <w:t>1</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a</w:t>
      </w:r>
      <w:r>
        <w:rPr>
          <w:rFonts w:ascii="Times New Roman" w:hAnsi="Times New Roman" w:eastAsia="宋体" w:cs="Times New Roman"/>
          <w:kern w:val="0"/>
          <w:sz w:val="24"/>
          <w:szCs w:val="20"/>
          <w:vertAlign w:val="subscript"/>
        </w:rPr>
        <w:t>2</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d</w:t>
      </w:r>
      <w:r>
        <w:rPr>
          <w:rFonts w:ascii="Times New Roman" w:hAnsi="Times New Roman" w:eastAsia="宋体" w:cs="Times New Roman"/>
          <w:kern w:val="0"/>
          <w:sz w:val="24"/>
          <w:szCs w:val="20"/>
          <w:vertAlign w:val="subscript"/>
        </w:rPr>
        <w:t>3</w:t>
      </w:r>
      <w:r>
        <w:rPr>
          <w:rFonts w:ascii="Times New Roman" w:hAnsi="Times New Roman" w:eastAsia="宋体" w:cs="Times New Roman"/>
          <w:kern w:val="0"/>
          <w:sz w:val="24"/>
          <w:szCs w:val="20"/>
        </w:rPr>
        <w:t xml:space="preserve"> indicate atoms separated by one, two, and three bonds, respectively.</w:t>
      </w:r>
    </w:p>
    <w:p w14:paraId="5AE750A0">
      <w:pPr>
        <w:widowControl/>
        <w:jc w:val="left"/>
        <w:rPr>
          <w:rFonts w:ascii="Times New Roman" w:hAnsi="Times New Roman" w:eastAsia="宋体" w:cs="Times New Roman"/>
          <w:kern w:val="0"/>
          <w:sz w:val="24"/>
          <w:szCs w:val="20"/>
        </w:rPr>
      </w:pPr>
      <w:r>
        <w:rPr>
          <w:rFonts w:ascii="Times New Roman" w:hAnsi="Times New Roman" w:eastAsia="宋体" w:cs="Times New Roman"/>
          <w:kern w:val="0"/>
          <w:sz w:val="24"/>
          <w:szCs w:val="20"/>
        </w:rPr>
        <w:br w:type="page"/>
      </w:r>
    </w:p>
    <w:p w14:paraId="53F35344">
      <w:pPr>
        <w:pStyle w:val="2"/>
        <w:spacing w:after="156"/>
        <w:rPr>
          <w:rFonts w:cs="Times New Roman"/>
        </w:rPr>
      </w:pPr>
      <w:bookmarkStart w:id="4" w:name="_Toc221108126"/>
      <w:r>
        <w:rPr>
          <w:rFonts w:cs="Times New Roman" w:eastAsiaTheme="minorEastAsia"/>
        </w:rPr>
        <w:t xml:space="preserve">Supplementary Note 2 | </w:t>
      </w:r>
      <w:r>
        <w:rPr>
          <w:rFonts w:eastAsia="宋体" w:cs="Times New Roman"/>
          <w:kern w:val="0"/>
          <w:szCs w:val="20"/>
        </w:rPr>
        <w:t>Polarizable Force Field</w:t>
      </w:r>
      <w:r>
        <w:rPr>
          <w:rFonts w:cs="Times New Roman"/>
        </w:rPr>
        <w:t xml:space="preserve"> Functional Form</w:t>
      </w:r>
      <w:bookmarkEnd w:id="4"/>
    </w:p>
    <w:p w14:paraId="79DD9F03">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In the polarizable force field (PFF) formalism based on the Drude oscillator model, </w:t>
      </w:r>
      <w:r>
        <w:rPr>
          <w:rFonts w:ascii="Times New Roman" w:hAnsi="Times New Roman" w:eastAsia="宋体" w:cs="Times New Roman"/>
          <w:kern w:val="0"/>
          <w:sz w:val="24"/>
          <w:szCs w:val="20"/>
          <w:lang w:eastAsia="en-US"/>
        </w:rPr>
        <w:t>the</w:t>
      </w:r>
      <w:r>
        <w:rPr>
          <w:rFonts w:ascii="Times New Roman" w:hAnsi="Times New Roman" w:eastAsia="宋体" w:cs="Times New Roman"/>
          <w:kern w:val="0"/>
          <w:sz w:val="24"/>
          <w:szCs w:val="20"/>
        </w:rPr>
        <w:t xml:space="preserve"> </w:t>
      </w:r>
      <w:r>
        <w:rPr>
          <w:rFonts w:ascii="Times New Roman" w:hAnsi="Times New Roman" w:eastAsia="宋体" w:cs="Times New Roman"/>
          <w:kern w:val="0"/>
          <w:sz w:val="24"/>
          <w:szCs w:val="20"/>
          <w:lang w:eastAsia="en-US"/>
        </w:rPr>
        <w:t>total potential energy</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total</w:t>
      </w:r>
      <w:r>
        <w:rPr>
          <w:rFonts w:ascii="Times New Roman" w:hAnsi="Times New Roman" w:eastAsia="宋体" w:cs="Times New Roman"/>
          <w:kern w:val="0"/>
          <w:sz w:val="24"/>
          <w:szCs w:val="20"/>
          <w:vertAlign w:val="superscript"/>
        </w:rPr>
        <w:t>pol</w:t>
      </w:r>
      <w:r>
        <w:rPr>
          <w:rFonts w:ascii="Times New Roman" w:hAnsi="Times New Roman" w:eastAsia="宋体" w:cs="Times New Roman"/>
          <w:kern w:val="0"/>
          <w:sz w:val="24"/>
          <w:szCs w:val="20"/>
        </w:rPr>
        <w:t xml:space="preserve">) </w:t>
      </w:r>
      <w:r>
        <w:rPr>
          <w:rFonts w:ascii="Times New Roman" w:hAnsi="Times New Roman" w:eastAsia="宋体" w:cs="Times New Roman"/>
          <w:kern w:val="0"/>
          <w:sz w:val="24"/>
          <w:szCs w:val="20"/>
          <w:lang w:eastAsia="en-US"/>
        </w:rPr>
        <w:t>is similarly composed of bonded</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bonded</w:t>
      </w:r>
      <w:r>
        <w:rPr>
          <w:rFonts w:ascii="Times New Roman" w:hAnsi="Times New Roman" w:eastAsia="宋体" w:cs="Times New Roman"/>
          <w:kern w:val="0"/>
          <w:sz w:val="24"/>
          <w:szCs w:val="20"/>
          <w:vertAlign w:val="superscript"/>
        </w:rPr>
        <w:t>pol</w:t>
      </w:r>
      <w:r>
        <w:rPr>
          <w:rFonts w:ascii="Times New Roman" w:hAnsi="Times New Roman" w:eastAsia="宋体" w:cs="Times New Roman"/>
          <w:kern w:val="0"/>
          <w:sz w:val="24"/>
          <w:szCs w:val="20"/>
        </w:rPr>
        <w:t>)</w:t>
      </w:r>
      <w:r>
        <w:rPr>
          <w:rFonts w:ascii="Times New Roman" w:hAnsi="Times New Roman" w:eastAsia="宋体" w:cs="Times New Roman"/>
          <w:kern w:val="0"/>
          <w:sz w:val="24"/>
          <w:szCs w:val="20"/>
          <w:lang w:eastAsia="en-US"/>
        </w:rPr>
        <w:t xml:space="preserve"> and nonbonded</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nonbonded</w:t>
      </w:r>
      <w:r>
        <w:rPr>
          <w:rFonts w:ascii="Times New Roman" w:hAnsi="Times New Roman" w:eastAsia="宋体" w:cs="Times New Roman"/>
          <w:kern w:val="0"/>
          <w:sz w:val="24"/>
          <w:szCs w:val="20"/>
          <w:vertAlign w:val="superscript"/>
        </w:rPr>
        <w:t>pol</w:t>
      </w:r>
      <w:r>
        <w:rPr>
          <w:rFonts w:ascii="Times New Roman" w:hAnsi="Times New Roman" w:eastAsia="宋体" w:cs="Times New Roman"/>
          <w:kern w:val="0"/>
          <w:sz w:val="24"/>
          <w:szCs w:val="20"/>
        </w:rPr>
        <w:t>) components:</w:t>
      </w:r>
    </w:p>
    <w:p w14:paraId="462A352B">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12"/>
          <w:sz w:val="24"/>
          <w:szCs w:val="20"/>
          <w:lang w:eastAsia="en-US"/>
        </w:rPr>
        <w:object>
          <v:shape id="_x0000_i1032" o:spt="75" type="#_x0000_t75" style="height:17.7pt;width:149.7pt;" o:ole="t" filled="f" o:preferrelative="t" stroked="f" coordsize="21600,21600">
            <v:path/>
            <v:fill on="f" focussize="0,0"/>
            <v:stroke on="f" joinstyle="miter"/>
            <v:imagedata r:id="rId21" o:title=""/>
            <o:lock v:ext="edit" aspectratio="t"/>
            <w10:wrap type="none"/>
            <w10:anchorlock/>
          </v:shape>
          <o:OLEObject Type="Embed" ProgID="Equation.DSMT4" ShapeID="_x0000_i1032" DrawAspect="Content" ObjectID="_1468075732" r:id="rId20">
            <o:LockedField>false</o:LockedField>
          </o:OLEObject>
        </w:object>
      </w:r>
      <w:r>
        <w:rPr>
          <w:rFonts w:ascii="Times New Roman" w:hAnsi="Times New Roman" w:eastAsia="宋体" w:cs="Times New Roman"/>
          <w:kern w:val="0"/>
          <w:sz w:val="24"/>
          <w:szCs w:val="20"/>
        </w:rPr>
        <w:t xml:space="preserve">                    (8)</w:t>
      </w:r>
    </w:p>
    <w:p w14:paraId="5C468EDB">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Each polarizable heavy atom is modeled as a pair of charged particles: a Drude core (DC) carrying nearly the full atomic mass, and a negatively charged Drude particle (DP, mass 0.4 g·mol</w:t>
      </w:r>
      <w:r>
        <w:rPr>
          <w:rFonts w:ascii="Times New Roman" w:hAnsi="Times New Roman" w:eastAsia="宋体" w:cs="Times New Roman"/>
          <w:kern w:val="0"/>
          <w:sz w:val="24"/>
          <w:szCs w:val="20"/>
          <w:vertAlign w:val="superscript"/>
        </w:rPr>
        <w:t>-1</w:t>
      </w:r>
      <w:r>
        <w:rPr>
          <w:rFonts w:ascii="Times New Roman" w:hAnsi="Times New Roman" w:eastAsia="宋体" w:cs="Times New Roman"/>
          <w:kern w:val="0"/>
          <w:sz w:val="24"/>
          <w:szCs w:val="20"/>
        </w:rPr>
        <w:t>)</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{"citationID":"7Hc2VbEf","properties":{"formattedCitation":"\\super 2,3\\nosupersub{}","plainCitation":"2,3","noteIndex":0},"citationItems":[{"id":1061,"uris":["http://zotero.org/users/17156447/items/PIFYUP5F"],"itemData":{"id":1061,"type":"article-journal","abstract":"A simple polarizable water model is developed and optimized for molecular dynamics simulations of the liquid phase under ambient conditions. The permanent charge distribution of the water molecule is represented by three point charges: two hydrogen sites and one additional M site positioned along the HOH bisector. Electronic induction is represented by introducing a classical charged Drude particle attached to the oxygen by a harmonic spring. The oxygen site carries an equal and opposite charge, and is the center of an intermolecular Lennard-Jones interaction. The HOH gas-phase experimental geometry is maintained rigidly and the dipole of the isolated molecule is 1.85 D, in accord with experiment. The model is simulated by considering the dynamics of an extended Lagrangian in which a small mass is attributed to the Drude particles. It is parametrized to reproduce the salient properties of liquid water under ambient conditions. The optimal model, refered to as SWM4-DP for “simple water model with four sites and Drude polarizability,” yields a vaporization enthalpy of 10.52 kcal/mol, a molecular volume of 29.93 Å3, a static dielectric constant of 79±5, a self-diffusion constant of (2.30±0.04)×10−5 cm2/s, and an air/water surface tension of 66.9±0.9 dyn/cm, all in excellent accord with experiments. The energy of the water dimer is −5.18 kcal/mol, in good accord with estimates from experiments and high level ab initio calculations. The polarizability of the optimal model is 1.04 Å3, which is smaller than the experimental value of 1.44 Å3 in the gas phase. It is likely that such a reduced molecular polarizability, which is essential to reproduce the properties of the liquid, arises from the energy cost of overlapping electronic clouds in the condensed phase due to Pauli’s exclusion principle opposing induction.","container-title":"Journal of Chemical Physics","DOI":"10.1063/1.1598191","ISSN":"0021-9606, 1089-7690","issue":"10","journalAbbreviation":"J. Chem. Phys.","language":"en","note":"616 citations (Crossref/DOI) [2025-06-19]\nJCR分区: Q2\n5年影响因子: 3.8","page":"5185-5197","source":"DOI.org (Crossref)","title":"A simple polarizable model of water based on classical drude oscillators","volume":"119","author":[{"family":"Lamoureux","given":"Guillaume"},{"family":"MacKerell","given":"Alexander D."},{"family":"Roux","given":"Benoı̂t"}],"issued":{"date-parts":[["2003",9,8]]}}},{"id":1097,"uris":["http://zotero.org/users/17156447/items/HS8W7EV9"],"itemData":{"id":1097,"type":"article-journal","abstract":"A simple treatment for incorporating induced polarization in computer simulations is formulated on the basis of the classical Drude oscillator model. In this model, electronic induction is represented by the displacement of a charge-carrying massless particle attached to a polarizable atom under the influence of the local electric field. The traditional self-consistent field (SCF) regime of induced polarization is reproduced if these auxiliary particles are allowed to relax instantaneously to their local energy minima for any given fixed configuration of the atoms in the system. In practice, such treatment is computationally prohibitive for generating molecular dynamics trajectories because the electric field must be recalculated several times iteratively to satisfy the SCF condition, and it is important to seek a more efficient way to simulate the classical Drude oscillator model. It is demonstrated that a close approximation to the SCF regime can be simulated efficiently by considering the dynamics of an extended Lagrangian in which a small mass is attributed to the auxiliary particles, and the amplitude of their oscillations away from the local energy minimum is controlled with a low-temperature thermostat. A simulation algorithm in this modified two-temperature isobaric–isothermal ensemble is developed. The algorithm is tested and illustrated using a rigid three-site water model with one additional Drude particle attached to the oxygen which is closely related to the polarizable SPC model of Ahlström et al. [Mol. Phys. 68, 563 (1989)]. The tests with the extended Lagrangian show that stable and accurate molecular dynamics trajectories for large integration time steps (1 or 2 fs) can be generated and that liquid properties equivalent to SCF molecular dynamics can be reproduced at a fraction of the computational cost.","container-title":"Journal of Chemical Physics","DOI":"10.1063/1.1589749","ISSN":"0021-9606, 1089-7690","issue":"6","journalAbbreviation":"J. Chem. Phys.","language":"en","note":"607 citations (Crossref/DOI) [2025-06-24]\nJCR分区: Q2\n5年影响因子: 3.8","page":"3025-3039","source":"DOI.org (Crossref)","title":"Modeling induced polarization with classical drude oscillators: theory and molecular dynamics simulation algorithm","title-short":"Modeling induced polarization with classical drude oscillators","volume":"119","author":[{"family":"Lamoureux","given":"Guillaume"},{"family":"Roux","given":"Benoı̂t"}],"issued":{"date-parts":[["2003",8,8]]}}}],"schema":"https://github.com/citation-style-language/schema/raw/master/csl-citation.json"}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2,3</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xml:space="preserve"> representing the induced electron cloud. The DP is harmonically tethered to its DC by an isotropic spring, introducing a polarization energy term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D</w:t>
      </w:r>
      <w:r>
        <w:rPr>
          <w:rFonts w:ascii="Times New Roman" w:hAnsi="Times New Roman" w:eastAsia="宋体" w:cs="Times New Roman"/>
          <w:kern w:val="0"/>
          <w:sz w:val="24"/>
          <w:szCs w:val="20"/>
        </w:rPr>
        <w:t>):</w:t>
      </w:r>
    </w:p>
    <w:p w14:paraId="19E35867">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22"/>
          <w:sz w:val="24"/>
          <w:szCs w:val="20"/>
        </w:rPr>
        <w:object>
          <v:shape id="_x0000_i1033" o:spt="75" type="#_x0000_t75" style="height:24.3pt;width:114pt;" o:ole="t" filled="f" o:preferrelative="t" stroked="f" coordsize="21600,21600">
            <v:path/>
            <v:fill on="f" focussize="0,0"/>
            <v:stroke on="f" joinstyle="miter"/>
            <v:imagedata r:id="rId23" o:title=""/>
            <o:lock v:ext="edit" aspectratio="t"/>
            <w10:wrap type="none"/>
            <w10:anchorlock/>
          </v:shape>
          <o:OLEObject Type="Embed" ProgID="Equation.DSMT4" ShapeID="_x0000_i1033" DrawAspect="Content" ObjectID="_1468075733" r:id="rId22">
            <o:LockedField>false</o:LockedField>
          </o:OLEObject>
        </w:object>
      </w:r>
      <w:r>
        <w:rPr>
          <w:rFonts w:ascii="Times New Roman" w:hAnsi="Times New Roman" w:eastAsia="宋体" w:cs="Times New Roman"/>
          <w:kern w:val="0"/>
          <w:sz w:val="24"/>
          <w:szCs w:val="20"/>
        </w:rPr>
        <w:t xml:space="preserve">                      (9)</w:t>
      </w:r>
    </w:p>
    <w:p w14:paraId="41C33006">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lang w:eastAsia="en-US"/>
        </w:rPr>
        <w:t xml:space="preserve">Here, </w:t>
      </w:r>
      <w:r>
        <w:rPr>
          <w:rFonts w:ascii="Times New Roman" w:hAnsi="Times New Roman" w:eastAsia="宋体" w:cs="Times New Roman"/>
          <w:i/>
          <w:iCs/>
          <w:kern w:val="0"/>
          <w:sz w:val="24"/>
          <w:szCs w:val="20"/>
        </w:rPr>
        <w:t>k</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m</w:t>
      </w:r>
      <w:r>
        <w:rPr>
          <w:rFonts w:ascii="Times New Roman" w:hAnsi="Times New Roman" w:eastAsia="宋体" w:cs="Times New Roman"/>
          <w:kern w:val="0"/>
          <w:sz w:val="24"/>
          <w:szCs w:val="20"/>
          <w:lang w:eastAsia="en-US"/>
        </w:rPr>
        <w:t xml:space="preserve"> denote the</w:t>
      </w:r>
      <w:r>
        <w:rPr>
          <w:rFonts w:ascii="Times New Roman" w:hAnsi="Times New Roman" w:eastAsia="宋体" w:cs="Times New Roman"/>
          <w:kern w:val="0"/>
          <w:sz w:val="24"/>
          <w:szCs w:val="20"/>
        </w:rPr>
        <w:t xml:space="preserve"> DC and its bound DP, respectively; </w:t>
      </w:r>
      <w:r>
        <w:rPr>
          <w:rFonts w:ascii="Times New Roman" w:hAnsi="Times New Roman" w:eastAsia="宋体" w:cs="Times New Roman"/>
          <w:i/>
          <w:iCs/>
          <w:kern w:val="0"/>
          <w:sz w:val="24"/>
          <w:szCs w:val="20"/>
        </w:rPr>
        <w:t>r</w:t>
      </w:r>
      <w:r>
        <w:rPr>
          <w:rFonts w:ascii="Times New Roman" w:hAnsi="Times New Roman" w:eastAsia="宋体" w:cs="Times New Roman"/>
          <w:i/>
          <w:iCs/>
          <w:kern w:val="0"/>
          <w:sz w:val="24"/>
          <w:szCs w:val="20"/>
          <w:vertAlign w:val="superscript"/>
        </w:rPr>
        <w:t>km</w:t>
      </w:r>
      <w:r>
        <w:rPr>
          <w:rFonts w:ascii="Times New Roman" w:hAnsi="Times New Roman" w:eastAsia="宋体" w:cs="Times New Roman"/>
          <w:kern w:val="0"/>
          <w:sz w:val="24"/>
          <w:szCs w:val="20"/>
        </w:rPr>
        <w:t xml:space="preserve"> denotes the magnitude of the displacement vector between them, which is initialized at approximately 0.1 Å; </w:t>
      </w:r>
      <w:r>
        <w:rPr>
          <w:rFonts w:ascii="Times New Roman" w:hAnsi="Times New Roman" w:eastAsia="宋体" w:cs="Times New Roman"/>
          <w:i/>
          <w:iCs/>
          <w:kern w:val="0"/>
          <w:sz w:val="24"/>
          <w:szCs w:val="20"/>
        </w:rPr>
        <w:t>K</w:t>
      </w:r>
      <w:r>
        <w:rPr>
          <w:rFonts w:ascii="Times New Roman" w:hAnsi="Times New Roman" w:eastAsia="宋体" w:cs="Times New Roman"/>
          <w:i/>
          <w:iCs/>
          <w:kern w:val="0"/>
          <w:sz w:val="24"/>
          <w:szCs w:val="20"/>
          <w:vertAlign w:val="subscript"/>
        </w:rPr>
        <w:t>D</w:t>
      </w:r>
      <w:r>
        <w:rPr>
          <w:rFonts w:ascii="Times New Roman" w:hAnsi="Times New Roman" w:eastAsia="宋体" w:cs="Times New Roman"/>
          <w:kern w:val="0"/>
          <w:sz w:val="24"/>
          <w:szCs w:val="20"/>
        </w:rPr>
        <w:t xml:space="preserve"> is the force constant, which is set as 500 kcal·mol</w:t>
      </w:r>
      <w:r>
        <w:rPr>
          <w:rFonts w:ascii="Times New Roman" w:hAnsi="Times New Roman" w:eastAsia="宋体" w:cs="Times New Roman"/>
          <w:kern w:val="0"/>
          <w:sz w:val="24"/>
          <w:szCs w:val="20"/>
          <w:vertAlign w:val="superscript"/>
        </w:rPr>
        <w:t>-1</w:t>
      </w:r>
      <w:r>
        <w:rPr>
          <w:rFonts w:ascii="Times New Roman" w:hAnsi="Times New Roman" w:eastAsia="宋体" w:cs="Times New Roman"/>
          <w:kern w:val="0"/>
          <w:sz w:val="24"/>
          <w:szCs w:val="20"/>
        </w:rPr>
        <w:t>·Å</w:t>
      </w:r>
      <w:r>
        <w:rPr>
          <w:rFonts w:ascii="Times New Roman" w:hAnsi="Times New Roman" w:eastAsia="宋体" w:cs="Times New Roman"/>
          <w:kern w:val="0"/>
          <w:sz w:val="24"/>
          <w:szCs w:val="20"/>
          <w:vertAlign w:val="superscript"/>
        </w:rPr>
        <w:t>-2</w:t>
      </w:r>
      <w:r>
        <w:rPr>
          <w:rFonts w:ascii="Times New Roman" w:hAnsi="Times New Roman" w:eastAsia="宋体" w:cs="Times New Roman"/>
          <w:kern w:val="0"/>
          <w:sz w:val="24"/>
          <w:szCs w:val="20"/>
          <w:lang w:eastAsia="en-US"/>
        </w:rPr>
        <w:t>, following the standard parametrization by Lamoureux et al</w:t>
      </w:r>
      <w:r>
        <w:rPr>
          <w:rFonts w:ascii="Times New Roman" w:hAnsi="Times New Roman" w:eastAsia="宋体" w:cs="Times New Roman"/>
          <w:kern w:val="0"/>
          <w:sz w:val="24"/>
          <w:szCs w:val="20"/>
        </w:rPr>
        <w:t>.</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{"citationID":"XfyLoabW","properties":{"formattedCitation":"\\super 2,3\\nosupersub{}","plainCitation":"2,3","noteIndex":0},"citationItems":[{"id":1061,"uris":["http://zotero.org/users/17156447/items/PIFYUP5F"],"itemData":{"id":1061,"type":"article-journal","abstract":"A simple polarizable water model is developed and optimized for molecular dynamics simulations of the liquid phase under ambient conditions. The permanent charge distribution of the water molecule is represented by three point charges: two hydrogen sites and one additional M site positioned along the HOH bisector. Electronic induction is represented by introducing a classical charged Drude particle attached to the oxygen by a harmonic spring. The oxygen site carries an equal and opposite charge, and is the center of an intermolecular Lennard-Jones interaction. The HOH gas-phase experimental geometry is maintained rigidly and the dipole of the isolated molecule is 1.85 D, in accord with experiment. The model is simulated by considering the dynamics of an extended Lagrangian in which a small mass is attributed to the Drude particles. It is parametrized to reproduce the salient properties of liquid water under ambient conditions. The optimal model, refered to as SWM4-DP for “simple water model with four sites and Drude polarizability,” yields a vaporization enthalpy of 10.52 kcal/mol, a molecular volume of 29.93 Å3, a static dielectric constant of 79±5, a self-diffusion constant of (2.30±0.04)×10−5 cm2/s, and an air/water surface tension of 66.9±0.9 dyn/cm, all in excellent accord with experiments. The energy of the water dimer is −5.18 kcal/mol, in good accord with estimates from experiments and high level ab initio calculations. The polarizability of the optimal model is 1.04 Å3, which is smaller than the experimental value of 1.44 Å3 in the gas phase. It is likely that such a reduced molecular polarizability, which is essential to reproduce the properties of the liquid, arises from the energy cost of overlapping electronic clouds in the condensed phase due to Pauli’s exclusion principle opposing induction.","container-title":"Journal of Chemical Physics","DOI":"10.1063/1.1598191","ISSN":"0021-9606, 1089-7690","issue":"10","journalAbbreviation":"J. Chem. Phys.","language":"en","note":"616 citations (Crossref/DOI) [2025-06-19]\nJCR分区: Q2\n5年影响因子: 3.8","page":"5185-5197","source":"DOI.org (Crossref)","title":"A simple polarizable model of water based on classical drude oscillators","volume":"119","author":[{"family":"Lamoureux","given":"Guillaume"},{"family":"MacKerell","given":"Alexander D."},{"family":"Roux","given":"Benoı̂t"}],"issued":{"date-parts":[["2003",9,8]]}}},{"id":1097,"uris":["http://zotero.org/users/17156447/items/HS8W7EV9"],"itemData":{"id":1097,"type":"article-journal","abstract":"A simple treatment for incorporating induced polarization in computer simulations is formulated on the basis of the classical Drude oscillator model. In this model, electronic induction is represented by the displacement of a charge-carrying massless particle attached to a polarizable atom under the influence of the local electric field. The traditional self-consistent field (SCF) regime of induced polarization is reproduced if these auxiliary particles are allowed to relax instantaneously to their local energy minima for any given fixed configuration of the atoms in the system. In practice, such treatment is computationally prohibitive for generating molecular dynamics trajectories because the electric field must be recalculated several times iteratively to satisfy the SCF condition, and it is important to seek a more efficient way to simulate the classical Drude oscillator model. It is demonstrated that a close approximation to the SCF regime can be simulated efficiently by considering the dynamics of an extended Lagrangian in which a small mass is attributed to the auxiliary particles, and the amplitude of their oscillations away from the local energy minimum is controlled with a low-temperature thermostat. A simulation algorithm in this modified two-temperature isobaric–isothermal ensemble is developed. The algorithm is tested and illustrated using a rigid three-site water model with one additional Drude particle attached to the oxygen which is closely related to the polarizable SPC model of Ahlström et al. [Mol. Phys. 68, 563 (1989)]. The tests with the extended Lagrangian show that stable and accurate molecular dynamics trajectories for large integration time steps (1 or 2 fs) can be generated and that liquid properties equivalent to SCF molecular dynamics can be reproduced at a fraction of the computational cost.","container-title":"Journal of Chemical Physics","DOI":"10.1063/1.1589749","ISSN":"0021-9606, 1089-7690","issue":"6","journalAbbreviation":"J. Chem. Phys.","language":"en","note":"607 citations (Crossref/DOI) [2025-06-24]\nJCR分区: Q2\n5年影响因子: 3.8","page":"3025-3039","source":"DOI.org (Crossref)","title":"Modeling induced polarization with classical drude oscillators: theory and molecular dynamics simulation algorithm","title-short":"Modeling induced polarization with classical drude oscillators","volume":"119","author":[{"family":"Lamoureux","given":"Guillaume"},{"family":"Roux","given":"Benoı̂t"}],"issued":{"date-parts":[["2003",8,8]]}}}],"schema":"https://github.com/citation-style-language/schema/raw/master/csl-citation.json"}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2,3</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xml:space="preserve"> Accordingly, the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bonded</w:t>
      </w:r>
      <w:r>
        <w:rPr>
          <w:rFonts w:ascii="Times New Roman" w:hAnsi="Times New Roman" w:eastAsia="宋体" w:cs="Times New Roman"/>
          <w:kern w:val="0"/>
          <w:sz w:val="24"/>
          <w:szCs w:val="20"/>
          <w:vertAlign w:val="superscript"/>
        </w:rPr>
        <w:t>pol</w:t>
      </w:r>
      <w:r>
        <w:rPr>
          <w:rFonts w:ascii="Times New Roman" w:hAnsi="Times New Roman" w:eastAsia="宋体" w:cs="Times New Roman"/>
          <w:kern w:val="0"/>
          <w:sz w:val="24"/>
          <w:szCs w:val="20"/>
        </w:rPr>
        <w:t xml:space="preserve"> term of the PFF extends the CFF expression (</w:t>
      </w:r>
      <w:r>
        <w:rPr>
          <w:rFonts w:ascii="Times New Roman" w:hAnsi="Times New Roman" w:eastAsia="宋体" w:cs="Times New Roman"/>
          <w:b/>
          <w:bCs/>
          <w:kern w:val="0"/>
          <w:sz w:val="24"/>
          <w:szCs w:val="20"/>
        </w:rPr>
        <w:t>Eq. 2</w:t>
      </w:r>
      <w:r>
        <w:rPr>
          <w:rFonts w:ascii="Times New Roman" w:hAnsi="Times New Roman" w:eastAsia="宋体" w:cs="Times New Roman"/>
          <w:kern w:val="0"/>
          <w:sz w:val="24"/>
          <w:szCs w:val="20"/>
        </w:rPr>
        <w:t>) by aggregating contributions from all Drude oscillators:</w:t>
      </w:r>
    </w:p>
    <w:p w14:paraId="78163064">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12"/>
          <w:sz w:val="24"/>
          <w:szCs w:val="20"/>
          <w:lang w:eastAsia="en-US"/>
        </w:rPr>
        <w:object>
          <v:shape id="_x0000_i1034" o:spt="75" type="#_x0000_t75" style="height:17.7pt;width:108.3pt;" o:ole="t" filled="f" o:preferrelative="t" stroked="f" coordsize="21600,21600">
            <v:path/>
            <v:fill on="f" focussize="0,0"/>
            <v:stroke on="f" joinstyle="miter"/>
            <v:imagedata r:id="rId25" o:title=""/>
            <o:lock v:ext="edit" aspectratio="t"/>
            <w10:wrap type="none"/>
            <w10:anchorlock/>
          </v:shape>
          <o:OLEObject Type="Embed" ProgID="Equation.DSMT4" ShapeID="_x0000_i1034" DrawAspect="Content" ObjectID="_1468075734" r:id="rId24">
            <o:LockedField>false</o:LockedField>
          </o:OLEObject>
        </w:object>
      </w:r>
      <w:r>
        <w:rPr>
          <w:rFonts w:ascii="Times New Roman" w:hAnsi="Times New Roman" w:eastAsia="宋体" w:cs="Times New Roman"/>
          <w:kern w:val="0"/>
          <w:sz w:val="24"/>
          <w:szCs w:val="20"/>
        </w:rPr>
        <w:t xml:space="preserve">                       (10)</w:t>
      </w:r>
    </w:p>
    <w:p w14:paraId="064B60D8">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To distinguish the formalisms, a given atomic partial charge in the CFF (</w:t>
      </w:r>
      <w:r>
        <w:rPr>
          <w:rFonts w:ascii="Times New Roman" w:hAnsi="Times New Roman" w:eastAsia="宋体" w:cs="Times New Roman"/>
          <w:i/>
          <w:iCs/>
          <w:kern w:val="0"/>
          <w:sz w:val="24"/>
          <w:szCs w:val="20"/>
        </w:rPr>
        <w:t>q</w:t>
      </w:r>
      <w:r>
        <w:rPr>
          <w:rFonts w:ascii="Times New Roman" w:hAnsi="Times New Roman" w:eastAsia="宋体" w:cs="Times New Roman"/>
          <w:kern w:val="0"/>
          <w:sz w:val="24"/>
          <w:szCs w:val="20"/>
        </w:rPr>
        <w:t xml:space="preserve">) is denoted as </w:t>
      </w:r>
      <w:r>
        <w:rPr>
          <w:rFonts w:ascii="Times New Roman" w:hAnsi="Times New Roman" w:eastAsia="宋体" w:cs="Times New Roman"/>
          <w:i/>
          <w:iCs/>
          <w:kern w:val="0"/>
          <w:sz w:val="24"/>
          <w:szCs w:val="20"/>
        </w:rPr>
        <w:t>q</w:t>
      </w:r>
      <w:r>
        <w:rPr>
          <w:rFonts w:ascii="Times New Roman" w:hAnsi="Times New Roman" w:eastAsia="宋体" w:cs="Times New Roman"/>
          <w:kern w:val="0"/>
          <w:sz w:val="24"/>
          <w:szCs w:val="20"/>
        </w:rPr>
        <w:t xml:space="preserve">’ in the PFF. The </w:t>
      </w:r>
      <w:r>
        <w:rPr>
          <w:rFonts w:ascii="Times New Roman" w:hAnsi="Times New Roman" w:eastAsia="宋体" w:cs="Times New Roman"/>
          <w:i/>
          <w:iCs/>
          <w:kern w:val="0"/>
          <w:sz w:val="24"/>
          <w:szCs w:val="20"/>
        </w:rPr>
        <w:t>q</w:t>
      </w:r>
      <w:r>
        <w:rPr>
          <w:rFonts w:ascii="Times New Roman" w:hAnsi="Times New Roman" w:eastAsia="宋体" w:cs="Times New Roman"/>
          <w:kern w:val="0"/>
          <w:sz w:val="24"/>
          <w:szCs w:val="20"/>
        </w:rPr>
        <w:t>’ is partitioned between the DC (</w:t>
      </w:r>
      <w:r>
        <w:rPr>
          <w:rFonts w:ascii="Times New Roman" w:hAnsi="Times New Roman" w:eastAsia="宋体" w:cs="Times New Roman"/>
          <w:i/>
          <w:iCs/>
          <w:kern w:val="0"/>
          <w:sz w:val="24"/>
          <w:szCs w:val="20"/>
          <w:lang w:eastAsia="en-US"/>
        </w:rPr>
        <w:t>q</w:t>
      </w:r>
      <w:r>
        <w:rPr>
          <w:rFonts w:ascii="Times New Roman" w:hAnsi="Times New Roman" w:eastAsia="宋体" w:cs="Times New Roman"/>
          <w:kern w:val="0"/>
          <w:sz w:val="24"/>
          <w:szCs w:val="20"/>
          <w:vertAlign w:val="subscript"/>
        </w:rPr>
        <w:t>DC</w:t>
      </w:r>
      <w:r>
        <w:rPr>
          <w:rFonts w:ascii="Times New Roman" w:hAnsi="Times New Roman" w:eastAsia="宋体" w:cs="Times New Roman"/>
          <w:kern w:val="0"/>
          <w:sz w:val="24"/>
          <w:szCs w:val="20"/>
        </w:rPr>
        <w:t>) and its corresponding DP (</w:t>
      </w:r>
      <w:r>
        <w:rPr>
          <w:rFonts w:ascii="Times New Roman" w:hAnsi="Times New Roman" w:eastAsia="宋体" w:cs="Times New Roman"/>
          <w:i/>
          <w:iCs/>
          <w:kern w:val="0"/>
          <w:sz w:val="24"/>
          <w:szCs w:val="20"/>
          <w:lang w:eastAsia="en-US"/>
        </w:rPr>
        <w:t>q</w:t>
      </w:r>
      <w:r>
        <w:rPr>
          <w:rFonts w:ascii="Times New Roman" w:hAnsi="Times New Roman" w:eastAsia="宋体" w:cs="Times New Roman"/>
          <w:kern w:val="0"/>
          <w:sz w:val="24"/>
          <w:szCs w:val="20"/>
          <w:vertAlign w:val="subscript"/>
        </w:rPr>
        <w:t>DP</w:t>
      </w:r>
      <w:r>
        <w:rPr>
          <w:rFonts w:ascii="Times New Roman" w:hAnsi="Times New Roman" w:eastAsia="宋体" w:cs="Times New Roman"/>
          <w:kern w:val="0"/>
          <w:sz w:val="24"/>
          <w:szCs w:val="20"/>
        </w:rPr>
        <w:t>):</w:t>
      </w:r>
    </w:p>
    <w:p w14:paraId="56B7551E">
      <w:pPr>
        <w:pStyle w:val="39"/>
        <w:ind w:firstLine="0"/>
        <w:jc w:val="right"/>
        <w:rPr>
          <w:rFonts w:ascii="Times New Roman" w:hAnsi="Times New Roman"/>
          <w:lang w:eastAsia="zh-CN"/>
        </w:rPr>
      </w:pPr>
      <w:r>
        <w:rPr>
          <w:rFonts w:ascii="Times New Roman" w:hAnsi="Times New Roman"/>
          <w:position w:val="-12"/>
          <w:lang w:eastAsia="zh-CN"/>
        </w:rPr>
        <w:object>
          <v:shape id="_x0000_i1035" o:spt="75" type="#_x0000_t75" style="height:17.7pt;width:64.1pt;" o:ole="t" filled="f" o:preferrelative="t" stroked="f" coordsize="21600,21600">
            <v:path/>
            <v:fill on="f" focussize="0,0"/>
            <v:stroke on="f" joinstyle="miter"/>
            <v:imagedata r:id="rId27" o:title=""/>
            <o:lock v:ext="edit" aspectratio="t"/>
            <w10:wrap type="none"/>
            <w10:anchorlock/>
          </v:shape>
          <o:OLEObject Type="Embed" ProgID="Equation.DSMT4" ShapeID="_x0000_i1035" DrawAspect="Content" ObjectID="_1468075735" r:id="rId26">
            <o:LockedField>false</o:LockedField>
          </o:OLEObject>
        </w:object>
      </w:r>
      <w:r>
        <w:rPr>
          <w:rFonts w:ascii="Times New Roman" w:hAnsi="Times New Roman"/>
          <w:lang w:eastAsia="zh-CN"/>
        </w:rPr>
        <w:t xml:space="preserve">                            (11)</w:t>
      </w:r>
    </w:p>
    <w:p w14:paraId="52493744">
      <w:pPr>
        <w:pStyle w:val="39"/>
        <w:ind w:firstLine="0"/>
        <w:jc w:val="right"/>
        <w:rPr>
          <w:rFonts w:ascii="Times New Roman" w:hAnsi="Times New Roman"/>
          <w:lang w:eastAsia="zh-CN"/>
        </w:rPr>
      </w:pPr>
      <w:r>
        <w:rPr>
          <w:rFonts w:ascii="Times New Roman" w:hAnsi="Times New Roman"/>
          <w:position w:val="-12"/>
          <w:lang w:eastAsia="zh-CN"/>
        </w:rPr>
        <w:object>
          <v:shape id="_x0000_i1036" o:spt="75" type="#_x0000_t75" style="height:17.7pt;width:51.45pt;" o:ole="t" filled="f" o:preferrelative="t" stroked="f" coordsize="21600,21600">
            <v:path/>
            <v:fill on="f" focussize="0,0"/>
            <v:stroke on="f" joinstyle="miter"/>
            <v:imagedata r:id="rId29" o:title=""/>
            <o:lock v:ext="edit" aspectratio="t"/>
            <w10:wrap type="none"/>
            <w10:anchorlock/>
          </v:shape>
          <o:OLEObject Type="Embed" ProgID="Equation.DSMT4" ShapeID="_x0000_i1036" DrawAspect="Content" ObjectID="_1468075736" r:id="rId28">
            <o:LockedField>false</o:LockedField>
          </o:OLEObject>
        </w:object>
      </w:r>
      <w:r>
        <w:rPr>
          <w:rFonts w:ascii="Times New Roman" w:hAnsi="Times New Roman"/>
          <w:lang w:eastAsia="zh-CN"/>
        </w:rPr>
        <w:t xml:space="preserve">                             (12)</w:t>
      </w:r>
    </w:p>
    <w:p w14:paraId="64BF8495">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Here, </w:t>
      </w:r>
      <w:r>
        <w:rPr>
          <w:rFonts w:ascii="Times New Roman" w:hAnsi="Times New Roman" w:eastAsia="宋体" w:cs="Times New Roman"/>
          <w:i/>
          <w:iCs/>
          <w:kern w:val="0"/>
          <w:sz w:val="24"/>
          <w:szCs w:val="20"/>
          <w:lang w:eastAsia="en-US"/>
        </w:rPr>
        <w:t>q</w:t>
      </w:r>
      <w:r>
        <w:rPr>
          <w:rFonts w:ascii="Times New Roman" w:hAnsi="Times New Roman" w:eastAsia="宋体" w:cs="Times New Roman"/>
          <w:kern w:val="0"/>
          <w:sz w:val="24"/>
          <w:szCs w:val="20"/>
          <w:vertAlign w:val="subscript"/>
        </w:rPr>
        <w:t>D</w:t>
      </w:r>
      <w:r>
        <w:rPr>
          <w:rFonts w:ascii="Times New Roman" w:hAnsi="Times New Roman" w:eastAsia="宋体" w:cs="Times New Roman"/>
          <w:kern w:val="0"/>
          <w:sz w:val="24"/>
          <w:szCs w:val="20"/>
        </w:rPr>
        <w:t xml:space="preserve"> is the absolute value of the charge associated with the induced dipole, related to the atomic polarizability (</w:t>
      </w:r>
      <w:r>
        <w:rPr>
          <w:rFonts w:ascii="Times New Roman" w:hAnsi="Times New Roman" w:eastAsia="宋体" w:cs="Times New Roman"/>
          <w:i/>
          <w:iCs/>
          <w:kern w:val="0"/>
          <w:sz w:val="24"/>
          <w:szCs w:val="20"/>
        </w:rPr>
        <w:t>α</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via</w:t>
      </w:r>
      <w:r>
        <w:rPr>
          <w:rFonts w:ascii="Times New Roman" w:hAnsi="Times New Roman" w:eastAsia="宋体" w:cs="Times New Roman"/>
          <w:kern w:val="0"/>
          <w:sz w:val="24"/>
          <w:szCs w:val="20"/>
        </w:rPr>
        <w:t>:</w:t>
      </w:r>
    </w:p>
    <w:p w14:paraId="224E2485">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14"/>
          <w:sz w:val="24"/>
          <w:szCs w:val="20"/>
        </w:rPr>
        <w:object>
          <v:shape id="_x0000_i1037" o:spt="75" type="#_x0000_t75" style="height:21.45pt;width:63.45pt;" o:ole="t" filled="f" o:preferrelative="t" stroked="f" coordsize="21600,21600">
            <v:path/>
            <v:fill on="f" focussize="0,0"/>
            <v:stroke on="f" joinstyle="miter"/>
            <v:imagedata r:id="rId31" o:title=""/>
            <o:lock v:ext="edit" aspectratio="t"/>
            <w10:wrap type="none"/>
            <w10:anchorlock/>
          </v:shape>
          <o:OLEObject Type="Embed" ProgID="Equation.DSMT4" ShapeID="_x0000_i1037" DrawAspect="Content" ObjectID="_1468075737" r:id="rId30">
            <o:LockedField>false</o:LockedField>
          </o:OLEObject>
        </w:object>
      </w:r>
      <w:r>
        <w:rPr>
          <w:rFonts w:ascii="Times New Roman" w:hAnsi="Times New Roman" w:eastAsia="宋体" w:cs="Times New Roman"/>
          <w:kern w:val="0"/>
          <w:sz w:val="24"/>
          <w:szCs w:val="20"/>
        </w:rPr>
        <w:t xml:space="preserve">                         (13)</w:t>
      </w:r>
    </w:p>
    <w:p w14:paraId="2ADBB45F">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Explicit polarizability is assigned exclusively to non-hydrogen atoms, with the </w:t>
      </w:r>
      <w:r>
        <w:rPr>
          <w:rFonts w:ascii="Times New Roman" w:hAnsi="Times New Roman" w:eastAsia="宋体" w:cs="Times New Roman"/>
          <w:i/>
          <w:iCs/>
          <w:kern w:val="0"/>
          <w:sz w:val="24"/>
          <w:szCs w:val="20"/>
        </w:rPr>
        <w:t>α</w:t>
      </w:r>
      <w:r>
        <w:rPr>
          <w:rFonts w:ascii="Times New Roman" w:hAnsi="Times New Roman" w:eastAsia="宋体" w:cs="Times New Roman"/>
          <w:kern w:val="0"/>
          <w:sz w:val="24"/>
          <w:szCs w:val="20"/>
        </w:rPr>
        <w:t xml:space="preserve"> of each H atom lumped into that of its bonded heavy atom.</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{"citationID":"JK0biiK1","properties":{"formattedCitation":"\\super 4\\uc0\\u8211{}6\\nosupersub{}","plainCitation":"4–6","noteIndex":0},"citationItems":[{"id":1055,"uris":["http://zotero.org/users/17156447/items/87X24NZM"],"itemData":{"id":1055,"type":"article-journal","abstract":"A general, transferable, polarizable force ﬁeld for molecular simulation of ionic liquids (ILs) and their mixtures with molecular compounds is developed. This polarizable model is derived from the widely used CL&amp;P ﬁxed-charge force ﬁeld that describes most families of ILs, in a form compatible with OPLS-AA, one of the major force ﬁelds for organic compounds. Models for ILs with ﬁxed, integer-ionic charges lead to pathologically slow dynamics, a problem that is corrected when polarization eﬀects are included explicitly. In the model proposed here, Drude-induced dipoles are used with parameters determined from atomic polarizabilities. The CL&amp;P force ﬁeld is modiﬁed upon inclusion of the Drude dipoles to avoid double-counting of polarization eﬀects. This modiﬁcation is based on ﬁrst-principles calculations of the dispersion and induction contributions to the van der Waals interactions using symmetry-adapted perturbation theory (SAPT) for a set of dimers composed of positive, negative, and neutral fragments representative of a wide variety of ILs. The fragment approach provides transferability, allowing the representation of a multitude of cation and anion families, including diﬀerent functional groups, without the need to reparametrize. Because SAPT calculations are expensive, an alternative predictive scheme was devised, requiring only molecular properties with a clear physical meaning, namely, dipole moments and atomic polarizabilities. The new polarizable force ﬁeld, CL&amp;Pol, describes a broad set of ILs and their mixtures with molecular compounds and is validated by comparisons with experimental data on density, ion diﬀusion coeﬃcients, and viscosity. The approaches proposed here can also be applied to the conversion of other ﬁxed-charge force ﬁelds into polarizable versions.","container-title":"Journal of Chemical Theory and Computation","DOI":"10.1021/acs.jctc.9b00689","ISSN":"1549-9618, 1549-9626","issue":"11","journalAbbreviation":"J. Chem. Theory Comput.","language":"en","license":"https://doi.org/10.15223/policy-029","note":"149 citations (Crossref/DOI) [2025-06-19]\nJCR分区: Q1\n5年影响因子: 6.4","page":"5858-5871","source":"DOI.org (Crossref)","title":"Transferable, polarizable force field for ionic liquids","volume":"15","author":[{"family":"Goloviznina","given":"Kateryna"},{"family":"Canongia Lopes","given":"José N."},{"family":"Costa Gomes","given":"Margarida"},{"family":"Pádua","given":"Agílio A. H."}],"issued":{"date-parts":[["2019",11,12]]}}},{"id":722,"uris":["http://zotero.org/users/17156447/items/C6V6N67J"],"itemData":{"id":722,"type":"article-journal","abstract":"Molecular dynamics (MD) simulation, and theoretical chemistry in general, have been central tools in the study of ionic liquids (ILs) and eutectic solvents, both of which are fluid phases dominated by ionic interactions and strong hydrogen bonds. These systems are still relatively recent, so the amount of experimental information given their enormous diversity is still scarce. Computational studies have produced several important discoveries, besides helping in the interpretation of experimental findings. Here we review the latest developments in the models describing the interactions and conformations of IL phases with atomic detail, in particular polarizable force fields. In these allatom models, the response of electron clouds to their electrostatic environment is represented by induced dipoles, therefore moving beyond the pair-wise additivity of fixed-charge force fields. Most of the conceptual framework to develop polarizable force fields has been available and implemented in major MD codes, so the main challenge to develop a useful polarizable model for ILs and eutectic solvents is how to handle their diversity in chemical structures and interactions, in order to build a model that can represent solutions, mixtures and interfaces with materials, and that is not too difficult to extend to new systems. As is often the case, force field development is not only science but it is also an art! The ingredients of successful force fields are often the result of pragmatism and heuristics, rather than mathematical complexity and absolutely rigorous physics (although retaining a sound physical basis in the parameters definitely helps). We focus on the CL&amp;Pol polarizable force field for ILs, protic ionic liquids, and eutectic solvents, improving on previousgeneration fixed charge models. The CL&amp;Pol force field is built as a detailed but extendable and transferable model offering more reliable predictions of thermodynamic, structural, and transport properties, which should contribute to the advancement of the field and towards the design of better solvents, electrolytes, lubricants, and so on.","container-title":"WIREs Computational Molecular Science","DOI":"10.1002/wcms.1572","ISSN":"1759-0876, 1759-0884","issue":"3","journalAbbreviation":"WIREs Comput. Mol. Sci.","language":"en","note":"37 citations (Crossref/DOI) [2025-05-22]\nGSCC: 0000369 2025-05-19T01:53:40.568Z 2.31 \n37 citations (Crossref/DOI) [2025-05-16]","page":"e1572","source":"DOI.org (Crossref)","title":"The CL&amp;pol polarizable force field for the simulation of ionic liquids and eutectic solvents","volume":"12","author":[{"family":"Goloviznina","given":"Kateryna"},{"family":"Gong","given":"Zheng"},{"family":"Padua","given":"Agilio A. H."}],"issued":{"date-parts":[["2022",5]]}}},{"id":1053,"uris":["http://zotero.org/users/17156447/items/FCYUD9JI"],"itemData":{"id":1053,"type":"article-journal","abstract":"The polarizable CL&amp;Pol force ﬁeld presented in our previous study, Transferable, Polarizable Force Field for Ionic Liquids (J. Chem. Theory Comput. 2019, 15, 5858, DOI: http://doi.org/10.1021/acs.jctc.9b0068910.1021/ acs.jctc.9b00689), is extended to electrolytes, protic ionic liquids (PIL), deep eutectic solvents (DES), and glycols. These systems are problematic in polarizable simulations because they contain either small, highly charged ions or strong hydrogen bonds, which cause trajectory instabilities due to the pull exerted on the induced dipoles. We use a Tang−Toennies (TT) function to dampen, or smear, the interactions between charges and induced dipole at a short range involving small, highly charged atoms (such as hydrogen or lithium), thus preventing the “polarization catastrophe”. The new force ﬁeld gives stable trajectories and is validated through comparison with experimental data on density, viscosity, and ion diﬀusion coeﬃcients of liquid systems of the above-mentioned classes. The results also shed light on the hydrogen-bonding pattern in ethylammonium nitrate, a PIL, for which the literature contains conﬂicting views. We describe the implementation of the TT damping function, of the temperature-grouped Nosé−Hoover thermostat for polarizable molecular dynamics (MD) and of the periodic perturbation method for viscosity evaluation from nonequilibrium trajectories in the LAMMPS MD code. The main result of this work is the wider applicability of the CL&amp;Pol polarizable force ﬁeld to new, important classes of ﬂuids, achieving robust trajectories and a good description of equilibrium and transport properties in challenging systems. The fragment-based approach of CL&amp;Pol will allow ready extension to a wide variety of PILs, DES, and electrolytes.","container-title":"Journal of Chemical Theory and Computation","DOI":"10.1021/acs.jctc.0c01002","ISSN":"1549-9618, 1549-9626","issue":"3","journalAbbreviation":"J. Chem. Theory Comput.","language":"en","license":"https://doi.org/10.15223/policy-029","note":"75 citations (Crossref/DOI) [2025-06-19]\nJCR分区: Q1\n5年影响因子: 6.4","page":"1606-1617","source":"DOI.org (Crossref)","title":"Extension of the CL&amp;pol polarizable force field to electrolytes, protic ionic liquids, and deep eutectic solvents","volume":"17","author":[{"family":"Goloviznina","given":"Kateryna"},{"family":"Gong","given":"Zheng"},{"family":"Costa Gomes","given":"Margarida F."},{"family":"Pádua","given":"Agílio A. H."}],"issued":{"date-parts":[["2021",3,9]]}}}],"schema":"https://github.com/citation-style-language/schema/raw/master/csl-citation.json"}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4–6</w:t>
      </w:r>
      <w:r>
        <w:rPr>
          <w:rFonts w:ascii="Times New Roman" w:hAnsi="Times New Roman" w:eastAsia="宋体" w:cs="Times New Roman"/>
          <w:kern w:val="0"/>
          <w:sz w:val="24"/>
          <w:szCs w:val="20"/>
        </w:rPr>
        <w:fldChar w:fldCharType="end"/>
      </w:r>
    </w:p>
    <w:p w14:paraId="49A360E0">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Within the Drude oscillator model, DPs interact exclusively </w:t>
      </w:r>
      <w:r>
        <w:rPr>
          <w:rFonts w:ascii="Times New Roman" w:hAnsi="Times New Roman" w:eastAsia="宋体" w:cs="Times New Roman"/>
          <w:i/>
          <w:iCs/>
          <w:kern w:val="0"/>
          <w:sz w:val="24"/>
          <w:szCs w:val="20"/>
        </w:rPr>
        <w:t>via</w:t>
      </w:r>
      <w:r>
        <w:rPr>
          <w:rFonts w:ascii="Times New Roman" w:hAnsi="Times New Roman" w:eastAsia="宋体" w:cs="Times New Roman"/>
          <w:kern w:val="0"/>
          <w:sz w:val="24"/>
          <w:szCs w:val="20"/>
        </w:rPr>
        <w:t xml:space="preserve"> electrostatics, whereas DCs and H atoms participate in both Coulombic and LJ interactions. Although baseline LJ parameters are adapted from OPLS-AA, the corresponding LJ terms in the PFF must be rescaled to eliminate the double-counting of polarization effects implicitly embedded in the CFF parameterization. To address this, the pair-specific scaling factor (</w:t>
      </w:r>
      <w:r>
        <w:rPr>
          <w:rFonts w:ascii="Times New Roman" w:hAnsi="Times New Roman" w:eastAsia="宋体" w:cs="Times New Roman"/>
          <w:i/>
          <w:iCs/>
          <w:kern w:val="0"/>
          <w:sz w:val="24"/>
          <w:szCs w:val="20"/>
        </w:rPr>
        <w:t>K</w:t>
      </w:r>
      <w:r>
        <w:rPr>
          <w:rFonts w:ascii="Times New Roman" w:hAnsi="Times New Roman" w:eastAsia="宋体" w:cs="Times New Roman"/>
          <w:kern w:val="0"/>
          <w:sz w:val="24"/>
          <w:szCs w:val="20"/>
          <w:vertAlign w:val="subscript"/>
        </w:rPr>
        <w:t>LJ</w:t>
      </w:r>
      <w:r>
        <w:rPr>
          <w:rFonts w:ascii="Times New Roman" w:hAnsi="Times New Roman" w:eastAsia="宋体" w:cs="Times New Roman"/>
          <w:kern w:val="0"/>
          <w:sz w:val="24"/>
          <w:szCs w:val="20"/>
        </w:rPr>
        <w:t>) is applied following the scheme proposed by Goloviznina et al.</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{"citationID":"9N3T2oZm","properties":{"formattedCitation":"\\super 4\\uc0\\u8211{}6\\nosupersub{}","plainCitation":"4–6","noteIndex":0},"citationItems":[{"id":1055,"uris":["http://zotero.org/users/17156447/items/87X24NZM"],"itemData":{"id":1055,"type":"article-journal","abstract":"A general, transferable, polarizable force ﬁeld for molecular simulation of ionic liquids (ILs) and their mixtures with molecular compounds is developed. This polarizable model is derived from the widely used CL&amp;P ﬁxed-charge force ﬁeld that describes most families of ILs, in a form compatible with OPLS-AA, one of the major force ﬁelds for organic compounds. Models for ILs with ﬁxed, integer-ionic charges lead to pathologically slow dynamics, a problem that is corrected when polarization eﬀects are included explicitly. In the model proposed here, Drude-induced dipoles are used with parameters determined from atomic polarizabilities. The CL&amp;P force ﬁeld is modiﬁed upon inclusion of the Drude dipoles to avoid double-counting of polarization eﬀects. This modiﬁcation is based on ﬁrst-principles calculations of the dispersion and induction contributions to the van der Waals interactions using symmetry-adapted perturbation theory (SAPT) for a set of dimers composed of positive, negative, and neutral fragments representative of a wide variety of ILs. The fragment approach provides transferability, allowing the representation of a multitude of cation and anion families, including diﬀerent functional groups, without the need to reparametrize. Because SAPT calculations are expensive, an alternative predictive scheme was devised, requiring only molecular properties with a clear physical meaning, namely, dipole moments and atomic polarizabilities. The new polarizable force ﬁeld, CL&amp;Pol, describes a broad set of ILs and their mixtures with molecular compounds and is validated by comparisons with experimental data on density, ion diﬀusion coeﬃcients, and viscosity. The approaches proposed here can also be applied to the conversion of other ﬁxed-charge force ﬁelds into polarizable versions.","container-title":"Journal of Chemical Theory and Computation","DOI":"10.1021/acs.jctc.9b00689","ISSN":"1549-9618, 1549-9626","issue":"11","journalAbbreviation":"J. Chem. Theory Comput.","language":"en","license":"https://doi.org/10.15223/policy-029","note":"149 citations (Crossref/DOI) [2025-06-19]\nJCR分区: Q1\n5年影响因子: 6.4","page":"5858-5871","source":"DOI.org (Crossref)","title":"Transferable, polarizable force field for ionic liquids","volume":"15","author":[{"family":"Goloviznina","given":"Kateryna"},{"family":"Canongia Lopes","given":"José N."},{"family":"Costa Gomes","given":"Margarida"},{"family":"Pádua","given":"Agílio A. H."}],"issued":{"date-parts":[["2019",11,12]]}}},{"id":722,"uris":["http://zotero.org/users/17156447/items/C6V6N67J"],"itemData":{"id":722,"type":"article-journal","abstract":"Molecular dynamics (MD) simulation, and theoretical chemistry in general, have been central tools in the study of ionic liquids (ILs) and eutectic solvents, both of which are fluid phases dominated by ionic interactions and strong hydrogen bonds. These systems are still relatively recent, so the amount of experimental information given their enormous diversity is still scarce. Computational studies have produced several important discoveries, besides helping in the interpretation of experimental findings. Here we review the latest developments in the models describing the interactions and conformations of IL phases with atomic detail, in particular polarizable force fields. In these allatom models, the response of electron clouds to their electrostatic environment is represented by induced dipoles, therefore moving beyond the pair-wise additivity of fixed-charge force fields. Most of the conceptual framework to develop polarizable force fields has been available and implemented in major MD codes, so the main challenge to develop a useful polarizable model for ILs and eutectic solvents is how to handle their diversity in chemical structures and interactions, in order to build a model that can represent solutions, mixtures and interfaces with materials, and that is not too difficult to extend to new systems. As is often the case, force field development is not only science but it is also an art! The ingredients of successful force fields are often the result of pragmatism and heuristics, rather than mathematical complexity and absolutely rigorous physics (although retaining a sound physical basis in the parameters definitely helps). We focus on the CL&amp;Pol polarizable force field for ILs, protic ionic liquids, and eutectic solvents, improving on previousgeneration fixed charge models. The CL&amp;Pol force field is built as a detailed but extendable and transferable model offering more reliable predictions of thermodynamic, structural, and transport properties, which should contribute to the advancement of the field and towards the design of better solvents, electrolytes, lubricants, and so on.","container-title":"WIREs Computational Molecular Science","DOI":"10.1002/wcms.1572","ISSN":"1759-0876, 1759-0884","issue":"3","journalAbbreviation":"WIREs Comput. Mol. Sci.","language":"en","note":"37 citations (Crossref/DOI) [2025-05-22]\nGSCC: 0000369 2025-05-19T01:53:40.568Z 2.31 \n37 citations (Crossref/DOI) [2025-05-16]","page":"e1572","source":"DOI.org (Crossref)","title":"The CL&amp;pol polarizable force field for the simulation of ionic liquids and eutectic solvents","volume":"12","author":[{"family":"Goloviznina","given":"Kateryna"},{"family":"Gong","given":"Zheng"},{"family":"Padua","given":"Agilio A. H."}],"issued":{"date-parts":[["2022",5]]}}},{"id":1053,"uris":["http://zotero.org/users/17156447/items/FCYUD9JI"],"itemData":{"id":1053,"type":"article-journal","abstract":"The polarizable CL&amp;Pol force ﬁeld presented in our previous study, Transferable, Polarizable Force Field for Ionic Liquids (J. Chem. Theory Comput. 2019, 15, 5858, DOI: http://doi.org/10.1021/acs.jctc.9b0068910.1021/ acs.jctc.9b00689), is extended to electrolytes, protic ionic liquids (PIL), deep eutectic solvents (DES), and glycols. These systems are problematic in polarizable simulations because they contain either small, highly charged ions or strong hydrogen bonds, which cause trajectory instabilities due to the pull exerted on the induced dipoles. We use a Tang−Toennies (TT) function to dampen, or smear, the interactions between charges and induced dipole at a short range involving small, highly charged atoms (such as hydrogen or lithium), thus preventing the “polarization catastrophe”. The new force ﬁeld gives stable trajectories and is validated through comparison with experimental data on density, viscosity, and ion diﬀusion coeﬃcients of liquid systems of the above-mentioned classes. The results also shed light on the hydrogen-bonding pattern in ethylammonium nitrate, a PIL, for which the literature contains conﬂicting views. We describe the implementation of the TT damping function, of the temperature-grouped Nosé−Hoover thermostat for polarizable molecular dynamics (MD) and of the periodic perturbation method for viscosity evaluation from nonequilibrium trajectories in the LAMMPS MD code. The main result of this work is the wider applicability of the CL&amp;Pol polarizable force ﬁeld to new, important classes of ﬂuids, achieving robust trajectories and a good description of equilibrium and transport properties in challenging systems. The fragment-based approach of CL&amp;Pol will allow ready extension to a wide variety of PILs, DES, and electrolytes.","container-title":"Journal of Chemical Theory and Computation","DOI":"10.1021/acs.jctc.0c01002","ISSN":"1549-9618, 1549-9626","issue":"3","journalAbbreviation":"J. Chem. Theory Comput.","language":"en","license":"https://doi.org/10.15223/policy-029","note":"75 citations (Crossref/DOI) [2025-06-19]\nJCR分区: Q1\n5年影响因子: 6.4","page":"1606-1617","source":"DOI.org (Crossref)","title":"Extension of the CL&amp;pol polarizable force field to electrolytes, protic ionic liquids, and deep eutectic solvents","volume":"17","author":[{"family":"Goloviznina","given":"Kateryna"},{"family":"Gong","given":"Zheng"},{"family":"Costa Gomes","given":"Margarida F."},{"family":"Pádua","given":"Agílio A. H."}],"issued":{"date-parts":[["2021",3,9]]}}}],"schema":"https://github.com/citation-style-language/schema/raw/master/csl-citation.json"}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4–6</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computed as:</w:t>
      </w:r>
    </w:p>
    <w:p w14:paraId="1BC84C57">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32"/>
          <w:sz w:val="24"/>
          <w:szCs w:val="20"/>
        </w:rPr>
        <w:object>
          <v:shape id="_x0000_i1038" o:spt="75" type="#_x0000_t75" style="height:42pt;width:324pt;" o:ole="t" filled="f" o:preferrelative="t" stroked="f" coordsize="21600,21600">
            <v:path/>
            <v:fill on="f" focussize="0,0"/>
            <v:stroke on="f" joinstyle="miter"/>
            <v:imagedata r:id="rId33" o:title=""/>
            <o:lock v:ext="edit" aspectratio="t"/>
            <w10:wrap type="none"/>
            <w10:anchorlock/>
          </v:shape>
          <o:OLEObject Type="Embed" ProgID="Equation.DSMT4" ShapeID="_x0000_i1038" DrawAspect="Content" ObjectID="_1468075738" r:id="rId32">
            <o:LockedField>false</o:LockedField>
          </o:OLEObject>
        </w:object>
      </w:r>
      <w:r>
        <w:rPr>
          <w:rFonts w:ascii="Times New Roman" w:hAnsi="Times New Roman" w:eastAsia="宋体" w:cs="Times New Roman"/>
          <w:kern w:val="0"/>
          <w:sz w:val="24"/>
          <w:szCs w:val="20"/>
        </w:rPr>
        <w:t xml:space="preserve">     (14)</w:t>
      </w:r>
    </w:p>
    <w:p w14:paraId="6E256CB6">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Here, </w:t>
      </w:r>
      <w:r>
        <w:rPr>
          <w:rFonts w:ascii="Times New Roman" w:hAnsi="Times New Roman" w:eastAsia="宋体" w:cs="Times New Roman"/>
          <w:i/>
          <w:iCs/>
          <w:kern w:val="0"/>
          <w:sz w:val="24"/>
          <w:szCs w:val="20"/>
        </w:rPr>
        <w:t>k</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s</w:t>
      </w:r>
      <w:r>
        <w:rPr>
          <w:rFonts w:ascii="Times New Roman" w:hAnsi="Times New Roman" w:eastAsia="宋体" w:cs="Times New Roman"/>
          <w:kern w:val="0"/>
          <w:sz w:val="24"/>
          <w:szCs w:val="20"/>
        </w:rPr>
        <w:t xml:space="preserve"> denote a pair of interacting particles (i.e., two DCs, a DC and an H atom, or two H atoms); </w:t>
      </w:r>
      <w:r>
        <w:rPr>
          <w:rFonts w:ascii="Times New Roman" w:hAnsi="Times New Roman" w:eastAsia="宋体" w:cs="Times New Roman"/>
          <w:i/>
          <w:iCs/>
          <w:kern w:val="0"/>
          <w:sz w:val="24"/>
          <w:szCs w:val="20"/>
        </w:rPr>
        <w:t>Q</w:t>
      </w:r>
      <w:r>
        <w:rPr>
          <w:rFonts w:ascii="Times New Roman" w:hAnsi="Times New Roman" w:eastAsia="宋体" w:cs="Times New Roman"/>
          <w:i/>
          <w:iCs/>
          <w:kern w:val="0"/>
          <w:sz w:val="24"/>
          <w:szCs w:val="20"/>
          <w:vertAlign w:val="superscript"/>
        </w:rPr>
        <w:t>k</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A</w:t>
      </w:r>
      <w:r>
        <w:rPr>
          <w:rFonts w:ascii="Times New Roman" w:hAnsi="Times New Roman" w:eastAsia="宋体" w:cs="Times New Roman"/>
          <w:i/>
          <w:iCs/>
          <w:kern w:val="0"/>
          <w:sz w:val="24"/>
          <w:szCs w:val="20"/>
          <w:vertAlign w:val="superscript"/>
        </w:rPr>
        <w:t>k</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μ</w:t>
      </w:r>
      <w:r>
        <w:rPr>
          <w:rFonts w:ascii="Times New Roman" w:hAnsi="Times New Roman" w:eastAsia="宋体" w:cs="Times New Roman"/>
          <w:i/>
          <w:iCs/>
          <w:kern w:val="0"/>
          <w:sz w:val="24"/>
          <w:szCs w:val="20"/>
          <w:vertAlign w:val="superscript"/>
        </w:rPr>
        <w:t>k</w:t>
      </w:r>
      <w:r>
        <w:rPr>
          <w:rFonts w:ascii="Times New Roman" w:hAnsi="Times New Roman" w:eastAsia="宋体" w:cs="Times New Roman"/>
          <w:kern w:val="0"/>
          <w:sz w:val="24"/>
          <w:szCs w:val="20"/>
        </w:rPr>
        <w:t xml:space="preserve"> represent the net charge, total polarizability, and dipole moment of the molecule or ion containing the atom </w:t>
      </w:r>
      <w:r>
        <w:rPr>
          <w:rFonts w:ascii="Times New Roman" w:hAnsi="Times New Roman" w:eastAsia="宋体" w:cs="Times New Roman"/>
          <w:i/>
          <w:iCs/>
          <w:kern w:val="0"/>
          <w:sz w:val="24"/>
          <w:szCs w:val="20"/>
        </w:rPr>
        <w:t>k</w:t>
      </w:r>
      <w:r>
        <w:rPr>
          <w:rFonts w:ascii="Times New Roman" w:hAnsi="Times New Roman" w:eastAsia="宋体" w:cs="Times New Roman"/>
          <w:kern w:val="0"/>
          <w:sz w:val="24"/>
          <w:szCs w:val="20"/>
        </w:rPr>
        <w:t xml:space="preserve">, respectively. </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vertAlign w:val="subscript"/>
        </w:rPr>
        <w:t>CoM</w:t>
      </w:r>
      <w:r>
        <w:rPr>
          <w:rFonts w:ascii="Times New Roman" w:hAnsi="Times New Roman" w:eastAsia="宋体" w:cs="Times New Roman"/>
          <w:i/>
          <w:iCs/>
          <w:kern w:val="0"/>
          <w:sz w:val="24"/>
          <w:szCs w:val="20"/>
          <w:vertAlign w:val="superscript"/>
        </w:rPr>
        <w:t>ks</w:t>
      </w:r>
      <w:r>
        <w:rPr>
          <w:rFonts w:ascii="Times New Roman" w:hAnsi="Times New Roman" w:eastAsia="宋体" w:cs="Times New Roman"/>
          <w:kern w:val="0"/>
          <w:sz w:val="24"/>
          <w:szCs w:val="20"/>
        </w:rPr>
        <w:t xml:space="preserve"> is the equilibrium center-of-mass (CoM) distance between the species.</w:t>
      </w:r>
      <w:r>
        <w:rPr>
          <w:rFonts w:ascii="Times New Roman" w:hAnsi="Times New Roman" w:eastAsia="宋体" w:cs="Times New Roman"/>
          <w:kern w:val="0"/>
          <w:sz w:val="24"/>
          <w:szCs w:val="24"/>
        </w:rPr>
        <w:t xml:space="preserve"> </w:t>
      </w:r>
      <w:r>
        <w:rPr>
          <w:rFonts w:ascii="Times New Roman" w:hAnsi="Times New Roman" w:eastAsia="宋体" w:cs="Times New Roman"/>
          <w:kern w:val="0"/>
          <w:sz w:val="24"/>
          <w:szCs w:val="20"/>
        </w:rPr>
        <w:t xml:space="preserve">The coefficients </w:t>
      </w:r>
      <w:r>
        <w:rPr>
          <w:rFonts w:ascii="Times New Roman" w:hAnsi="Times New Roman" w:eastAsia="宋体" w:cs="Times New Roman"/>
          <w:i/>
          <w:iCs/>
          <w:kern w:val="0"/>
          <w:sz w:val="24"/>
          <w:szCs w:val="20"/>
        </w:rPr>
        <w:t>c</w:t>
      </w:r>
      <w:r>
        <w:rPr>
          <w:rFonts w:ascii="Times New Roman" w:hAnsi="Times New Roman" w:eastAsia="宋体" w:cs="Times New Roman"/>
          <w:kern w:val="0"/>
          <w:sz w:val="24"/>
          <w:szCs w:val="20"/>
          <w:vertAlign w:val="subscript"/>
        </w:rPr>
        <w:t>0</w:t>
      </w:r>
      <w:r>
        <w:rPr>
          <w:rFonts w:ascii="Times New Roman" w:hAnsi="Times New Roman" w:eastAsia="宋体" w:cs="Times New Roman"/>
          <w:kern w:val="0"/>
          <w:sz w:val="24"/>
          <w:szCs w:val="20"/>
        </w:rPr>
        <w:t xml:space="preserve"> = 0.25 and </w:t>
      </w:r>
      <w:r>
        <w:rPr>
          <w:rFonts w:ascii="Times New Roman" w:hAnsi="Times New Roman" w:eastAsia="宋体" w:cs="Times New Roman"/>
          <w:i/>
          <w:iCs/>
          <w:kern w:val="0"/>
          <w:sz w:val="24"/>
          <w:szCs w:val="20"/>
        </w:rPr>
        <w:t>c</w:t>
      </w:r>
      <w:r>
        <w:rPr>
          <w:rFonts w:ascii="Times New Roman" w:hAnsi="Times New Roman" w:eastAsia="宋体" w:cs="Times New Roman"/>
          <w:kern w:val="0"/>
          <w:sz w:val="24"/>
          <w:szCs w:val="20"/>
          <w:vertAlign w:val="subscript"/>
        </w:rPr>
        <w:t>1</w:t>
      </w:r>
      <w:r>
        <w:rPr>
          <w:rFonts w:ascii="Times New Roman" w:hAnsi="Times New Roman" w:eastAsia="宋体" w:cs="Times New Roman"/>
          <w:kern w:val="0"/>
          <w:sz w:val="24"/>
          <w:szCs w:val="20"/>
        </w:rPr>
        <w:t xml:space="preserve"> = 0.11 were adopted from the scheme proposed by Goloviznina et al.,</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{"citationID":"lpqvj2UD","properties":{"formattedCitation":"\\super 4,5\\nosupersub{}","plainCitation":"4,5","noteIndex":0},"citationItems":[{"id":1055,"uris":["http://zotero.org/users/17156447/items/87X24NZM"],"itemData":{"id":1055,"type":"article-journal","abstract":"A general, transferable, polarizable force ﬁeld for molecular simulation of ionic liquids (ILs) and their mixtures with molecular compounds is developed. This polarizable model is derived from the widely used CL&amp;P ﬁxed-charge force ﬁeld that describes most families of ILs, in a form compatible with OPLS-AA, one of the major force ﬁelds for organic compounds. Models for ILs with ﬁxed, integer-ionic charges lead to pathologically slow dynamics, a problem that is corrected when polarization eﬀects are included explicitly. In the model proposed here, Drude-induced dipoles are used with parameters determined from atomic polarizabilities. The CL&amp;P force ﬁeld is modiﬁed upon inclusion of the Drude dipoles to avoid double-counting of polarization eﬀects. This modiﬁcation is based on ﬁrst-principles calculations of the dispersion and induction contributions to the van der Waals interactions using symmetry-adapted perturbation theory (SAPT) for a set of dimers composed of positive, negative, and neutral fragments representative of a wide variety of ILs. The fragment approach provides transferability, allowing the representation of a multitude of cation and anion families, including diﬀerent functional groups, without the need to reparametrize. Because SAPT calculations are expensive, an alternative predictive scheme was devised, requiring only molecular properties with a clear physical meaning, namely, dipole moments and atomic polarizabilities. The new polarizable force ﬁeld, CL&amp;Pol, describes a broad set of ILs and their mixtures with molecular compounds and is validated by comparisons with experimental data on density, ion diﬀusion coeﬃcients, and viscosity. The approaches proposed here can also be applied to the conversion of other ﬁxed-charge force ﬁelds into polarizable versions.","container-title":"Journal of Chemical Theory and Computation","DOI":"10.1021/acs.jctc.9b00689","ISSN":"1549-9618, 1549-9626","issue":"11","journalAbbreviation":"J. Chem. Theory Comput.","language":"en","license":"https://doi.org/10.15223/policy-029","note":"149 citations (Crossref/DOI) [2025-06-19]\nJCR分区: Q1\n5年影响因子: 6.4","page":"5858-5871","source":"DOI.org (Crossref)","title":"Transferable, polarizable force field for ionic liquids","volume":"15","author":[{"family":"Goloviznina","given":"Kateryna"},{"family":"Canongia Lopes","given":"José N."},{"family":"Costa Gomes","given":"Margarida"},{"family":"Pádua","given":"Agílio A. H."}],"issued":{"date-parts":[["2019",11,12]]}}},{"id":722,"uris":["http://zotero.org/users/17156447/items/C6V6N67J"],"itemData":{"id":722,"type":"article-journal","abstract":"Molecular dynamics (MD) simulation, and theoretical chemistry in general, have been central tools in the study of ionic liquids (ILs) and eutectic solvents, both of which are fluid phases dominated by ionic interactions and strong hydrogen bonds. These systems are still relatively recent, so the amount of experimental information given their enormous diversity is still scarce. Computational studies have produced several important discoveries, besides helping in the interpretation of experimental findings. Here we review the latest developments in the models describing the interactions and conformations of IL phases with atomic detail, in particular polarizable force fields. In these allatom models, the response of electron clouds to their electrostatic environment is represented by induced dipoles, therefore moving beyond the pair-wise additivity of fixed-charge force fields. Most of the conceptual framework to develop polarizable force fields has been available and implemented in major MD codes, so the main challenge to develop a useful polarizable model for ILs and eutectic solvents is how to handle their diversity in chemical structures and interactions, in order to build a model that can represent solutions, mixtures and interfaces with materials, and that is not too difficult to extend to new systems. As is often the case, force field development is not only science but it is also an art! The ingredients of successful force fields are often the result of pragmatism and heuristics, rather than mathematical complexity and absolutely rigorous physics (although retaining a sound physical basis in the parameters definitely helps). We focus on the CL&amp;Pol polarizable force field for ILs, protic ionic liquids, and eutectic solvents, improving on previousgeneration fixed charge models. The CL&amp;Pol force field is built as a detailed but extendable and transferable model offering more reliable predictions of thermodynamic, structural, and transport properties, which should contribute to the advancement of the field and towards the design of better solvents, electrolytes, lubricants, and so on.","container-title":"WIREs Computational Molecular Science","DOI":"10.1002/wcms.1572","ISSN":"1759-0876, 1759-0884","issue":"3","journalAbbreviation":"WIREs Comput. Mol. Sci.","language":"en","note":"37 citations (Crossref/DOI) [2025-05-22]\nGSCC: 0000369 2025-05-19T01:53:40.568Z 2.31 \n37 citations (Crossref/DOI) [2025-05-16]","page":"e1572","source":"DOI.org (Crossref)","title":"The CL&amp;pol polarizable force field for the simulation of ionic liquids and eutectic solvents","volume":"12","author":[{"family":"Goloviznina","given":"Kateryna"},{"family":"Gong","given":"Zheng"},{"family":"Padua","given":"Agilio A. H."}],"issued":{"date-parts":[["2022",5]]}}}],"schema":"https://github.com/citation-style-language/schema/raw/master/csl-citation.json"}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4,5</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xml:space="preserve"> which was parameterized for systems encompassing both neutral and charged species.</w:t>
      </w:r>
    </w:p>
    <w:p w14:paraId="2CC86A6B">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A well-known challenge in MD simulations using Drude oscillators is “polarization catastrophe”,</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{"citationID":"TftG9PI3","properties":{"formattedCitation":"\\super 7\\nosupersub{}","plainCitation":"7","noteIndex":0},"citationItems":[{"id":1346,"uris":["http://zotero.org/users/17156447/items/DGBKK2CY"],"itemData":{"id":1346,"type":"article-journal","abstract":"Point-induced dipoles are used to mimic electronic degrees of freedom in molecular dynamics simulations. Ultrashort distance interactions of these induced dipoles are damped by the so-called Thole functions to avoid the “polarization catastrophe.” This study aims at the overall impact of Thole functions on structure as well as single-particle and collective dynamics of the ionic liquid 1-ethyl-3-methylimidazolium trifluoromethylsulfonate and thereby extends common studies of the effect of Thole functions on energy minimized geometries.","container-title":"Journal of Chemical Physics","DOI":"10.1063/1.4807093","ISSN":"0021-9606, 1089-7690","issue":"20","journalAbbreviation":"J. Chem. Phys.","language":"en","note":"19 citations (Crossref/DOI) [2025-11-05]\nTLDR: This study aims at the overall impact of Thole functions on structure as well as single-particle and collective dynamics of the ionic liquid 1-ethyl-3-methylimidazolium trifluoromethylsulfonate and thereby extends common studies of the effect of Tholes on energy minimized geometries.\nJCR分区: Q2\n5年影响因子: 3.8","page":"204119","source":"DOI.org (Crossref)","title":"The effect of thole functions on the simulation of ionic liquids with point induced dipoles at various densities","volume":"138","author":[{"family":"Taylor","given":"Thomas"},{"family":"Schmollngruber","given":"Michael"},{"family":"Schröder","given":"Christian"},{"family":"Steinhauser","given":"Othmar"}],"issued":{"date-parts":[["2013",5,28]]}}}],"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7</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xml:space="preserve"> a numerical instability arising from overly strong short-range dipole-dipole interactions, which can cause induced dipoles to collapse. To mitigate this, the Thole damping function, </w:t>
      </w:r>
      <w:r>
        <w:rPr>
          <w:rFonts w:ascii="Times New Roman" w:hAnsi="Times New Roman" w:eastAsia="宋体" w:cs="Times New Roman"/>
          <w:i/>
          <w:iCs/>
          <w:kern w:val="0"/>
          <w:sz w:val="24"/>
          <w:szCs w:val="20"/>
        </w:rPr>
        <w:t>S</w:t>
      </w:r>
      <w:r>
        <w:rPr>
          <w:rFonts w:ascii="Times New Roman" w:hAnsi="Times New Roman" w:eastAsia="宋体" w:cs="Times New Roman"/>
          <w:kern w:val="0"/>
          <w:sz w:val="24"/>
          <w:szCs w:val="20"/>
        </w:rPr>
        <w:t>(</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rPr>
        <w:t>),</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{"citationID":"IG4sQTBb","properties":{"formattedCitation":"\\super 8\\nosupersub{}","plainCitation":"8","noteIndex":0},"citationItems":[{"id":1101,"uris":["http://zotero.org/users/17156447/items/IBJCXK8I"],"itemData":{"id":1101,"type":"article-journal","container-title":"Chemical Physics","issue":"3","journalAbbreviation":"Chem. Phys.","language":"en","page":"341-350","source":"Zotero","title":"Molecular polarizabilities calculated with a modified dipole interaction","volume":"59","author":[{"family":"Thole","given":"B T"}],"issued":{"date-parts":[["1981"]]}}}],"schema":"https://github.com/citation-style-language/schema/raw/master/csl-citation.json"}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8</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xml:space="preserve"> is employed to temper these short-range electrostatic interactions:</w:t>
      </w:r>
    </w:p>
    <w:p w14:paraId="1FA75EB8">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32"/>
          <w:sz w:val="24"/>
          <w:szCs w:val="20"/>
        </w:rPr>
        <w:object>
          <v:shape id="_x0000_i1039" o:spt="75" type="#_x0000_t75" style="height:35.35pt;width:186pt;" o:ole="t" filled="f" o:preferrelative="t" stroked="f" coordsize="21600,21600">
            <v:path/>
            <v:fill on="f" focussize="0,0"/>
            <v:stroke on="f" joinstyle="miter"/>
            <v:imagedata r:id="rId35" o:title=""/>
            <o:lock v:ext="edit" aspectratio="t"/>
            <w10:wrap type="none"/>
            <w10:anchorlock/>
          </v:shape>
          <o:OLEObject Type="Embed" ProgID="Equation.DSMT4" ShapeID="_x0000_i1039" DrawAspect="Content" ObjectID="_1468075739" r:id="rId34">
            <o:LockedField>false</o:LockedField>
          </o:OLEObject>
        </w:object>
      </w:r>
      <w:r>
        <w:rPr>
          <w:rFonts w:ascii="Times New Roman" w:hAnsi="Times New Roman" w:eastAsia="宋体" w:cs="Times New Roman"/>
          <w:kern w:val="0"/>
          <w:sz w:val="24"/>
          <w:szCs w:val="20"/>
        </w:rPr>
        <w:t xml:space="preserve">                 (15)</w:t>
      </w:r>
    </w:p>
    <w:p w14:paraId="72E97622">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The scaling parameter (</w:t>
      </w:r>
      <w:r>
        <w:rPr>
          <w:rFonts w:ascii="Times New Roman" w:hAnsi="Times New Roman" w:eastAsia="宋体" w:cs="Times New Roman"/>
          <w:i/>
          <w:iCs/>
          <w:kern w:val="0"/>
          <w:sz w:val="24"/>
          <w:szCs w:val="20"/>
        </w:rPr>
        <w:t>s</w:t>
      </w:r>
      <w:r>
        <w:rPr>
          <w:rFonts w:ascii="Times New Roman" w:hAnsi="Times New Roman" w:eastAsia="宋体" w:cs="Times New Roman"/>
          <w:i/>
          <w:iCs/>
          <w:kern w:val="0"/>
          <w:sz w:val="24"/>
          <w:szCs w:val="20"/>
          <w:vertAlign w:val="superscript"/>
        </w:rPr>
        <w:t>ks</w:t>
      </w:r>
      <w:r>
        <w:rPr>
          <w:rFonts w:ascii="Times New Roman" w:hAnsi="Times New Roman" w:eastAsia="宋体" w:cs="Times New Roman"/>
          <w:kern w:val="0"/>
          <w:sz w:val="24"/>
          <w:szCs w:val="20"/>
        </w:rPr>
        <w:t>) is determined by the atomic polarizabilities (</w:t>
      </w:r>
      <w:r>
        <w:rPr>
          <w:rFonts w:ascii="Times New Roman" w:hAnsi="Times New Roman" w:eastAsia="宋体" w:cs="Times New Roman"/>
          <w:i/>
          <w:iCs/>
          <w:kern w:val="0"/>
          <w:sz w:val="24"/>
          <w:szCs w:val="20"/>
        </w:rPr>
        <w:t>α</w:t>
      </w:r>
      <w:r>
        <w:rPr>
          <w:rFonts w:ascii="Times New Roman" w:hAnsi="Times New Roman" w:eastAsia="宋体" w:cs="Times New Roman"/>
          <w:i/>
          <w:iCs/>
          <w:kern w:val="0"/>
          <w:sz w:val="24"/>
          <w:szCs w:val="20"/>
          <w:vertAlign w:val="superscript"/>
        </w:rPr>
        <w:t>k</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α</w:t>
      </w:r>
      <w:r>
        <w:rPr>
          <w:rFonts w:ascii="Times New Roman" w:hAnsi="Times New Roman" w:eastAsia="宋体" w:cs="Times New Roman"/>
          <w:i/>
          <w:iCs/>
          <w:kern w:val="0"/>
          <w:sz w:val="24"/>
          <w:szCs w:val="20"/>
          <w:vertAlign w:val="superscript"/>
        </w:rPr>
        <w:t>s</w:t>
      </w:r>
      <w:r>
        <w:rPr>
          <w:rFonts w:ascii="Times New Roman" w:hAnsi="Times New Roman" w:eastAsia="宋体" w:cs="Times New Roman"/>
          <w:kern w:val="0"/>
          <w:sz w:val="24"/>
          <w:szCs w:val="20"/>
        </w:rPr>
        <w:t>) and damping parameters (</w:t>
      </w:r>
      <w:r>
        <w:rPr>
          <w:rFonts w:ascii="Times New Roman" w:hAnsi="Times New Roman" w:eastAsia="宋体" w:cs="Times New Roman"/>
          <w:i/>
          <w:iCs/>
          <w:kern w:val="0"/>
          <w:sz w:val="24"/>
          <w:szCs w:val="20"/>
        </w:rPr>
        <w:t>a</w:t>
      </w:r>
      <w:r>
        <w:rPr>
          <w:rFonts w:ascii="Times New Roman" w:hAnsi="Times New Roman" w:eastAsia="宋体" w:cs="Times New Roman"/>
          <w:i/>
          <w:iCs/>
          <w:kern w:val="0"/>
          <w:sz w:val="24"/>
          <w:szCs w:val="20"/>
          <w:vertAlign w:val="superscript"/>
        </w:rPr>
        <w:t>k</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a</w:t>
      </w:r>
      <w:r>
        <w:rPr>
          <w:rFonts w:ascii="Times New Roman" w:hAnsi="Times New Roman" w:eastAsia="宋体" w:cs="Times New Roman"/>
          <w:i/>
          <w:iCs/>
          <w:kern w:val="0"/>
          <w:sz w:val="24"/>
          <w:szCs w:val="20"/>
          <w:vertAlign w:val="superscript"/>
        </w:rPr>
        <w:t>s</w:t>
      </w:r>
      <w:r>
        <w:rPr>
          <w:rFonts w:ascii="Times New Roman" w:hAnsi="Times New Roman" w:eastAsia="宋体" w:cs="Times New Roman"/>
          <w:kern w:val="0"/>
          <w:sz w:val="24"/>
          <w:szCs w:val="20"/>
        </w:rPr>
        <w:t xml:space="preserve">) using mixing rules: a geometric mean for </w:t>
      </w:r>
      <w:r>
        <w:rPr>
          <w:rFonts w:ascii="Times New Roman" w:hAnsi="Times New Roman" w:eastAsia="宋体" w:cs="Times New Roman"/>
          <w:i/>
          <w:iCs/>
          <w:kern w:val="0"/>
          <w:sz w:val="24"/>
          <w:szCs w:val="20"/>
        </w:rPr>
        <w:t>α</w:t>
      </w:r>
      <w:r>
        <w:rPr>
          <w:rFonts w:ascii="Times New Roman" w:hAnsi="Times New Roman" w:eastAsia="宋体" w:cs="Times New Roman"/>
          <w:kern w:val="0"/>
          <w:sz w:val="24"/>
          <w:szCs w:val="20"/>
        </w:rPr>
        <w:t xml:space="preserve">, and an arithmetic mean for </w:t>
      </w:r>
      <w:r>
        <w:rPr>
          <w:rFonts w:ascii="Times New Roman" w:hAnsi="Times New Roman" w:eastAsia="宋体" w:cs="Times New Roman"/>
          <w:i/>
          <w:iCs/>
          <w:kern w:val="0"/>
          <w:sz w:val="24"/>
          <w:szCs w:val="20"/>
        </w:rPr>
        <w:t>a</w:t>
      </w:r>
      <w:r>
        <w:rPr>
          <w:rFonts w:ascii="Times New Roman" w:hAnsi="Times New Roman" w:eastAsia="宋体" w:cs="Times New Roman"/>
          <w:kern w:val="0"/>
          <w:sz w:val="24"/>
          <w:szCs w:val="20"/>
        </w:rPr>
        <w:t xml:space="preserve">. The resulting expression for </w:t>
      </w:r>
      <w:r>
        <w:rPr>
          <w:rFonts w:ascii="Times New Roman" w:hAnsi="Times New Roman" w:eastAsia="宋体" w:cs="Times New Roman"/>
          <w:i/>
          <w:iCs/>
          <w:kern w:val="0"/>
          <w:sz w:val="24"/>
          <w:szCs w:val="20"/>
        </w:rPr>
        <w:t>s</w:t>
      </w:r>
      <w:r>
        <w:rPr>
          <w:rFonts w:ascii="Times New Roman" w:hAnsi="Times New Roman" w:eastAsia="宋体" w:cs="Times New Roman"/>
          <w:i/>
          <w:iCs/>
          <w:kern w:val="0"/>
          <w:sz w:val="24"/>
          <w:szCs w:val="20"/>
          <w:vertAlign w:val="superscript"/>
        </w:rPr>
        <w:t>ks</w:t>
      </w:r>
      <w:r>
        <w:rPr>
          <w:rFonts w:ascii="Times New Roman" w:hAnsi="Times New Roman" w:eastAsia="宋体" w:cs="Times New Roman"/>
          <w:kern w:val="0"/>
          <w:sz w:val="24"/>
          <w:szCs w:val="20"/>
        </w:rPr>
        <w:t xml:space="preserve"> is:</w:t>
      </w:r>
    </w:p>
    <w:p w14:paraId="0165E686">
      <w:pPr>
        <w:widowControl/>
        <w:spacing w:line="480" w:lineRule="auto"/>
        <w:ind w:right="119"/>
        <w:jc w:val="right"/>
        <w:rPr>
          <w:rFonts w:ascii="Times New Roman" w:hAnsi="Times New Roman" w:eastAsia="宋体" w:cs="Times New Roman"/>
          <w:kern w:val="0"/>
          <w:sz w:val="24"/>
          <w:szCs w:val="20"/>
        </w:rPr>
      </w:pPr>
      <w:r>
        <w:rPr>
          <w:rFonts w:ascii="Times New Roman" w:hAnsi="Times New Roman" w:eastAsia="宋体" w:cs="Times New Roman"/>
          <w:kern w:val="0"/>
          <w:position w:val="-28"/>
          <w:sz w:val="24"/>
          <w:szCs w:val="20"/>
        </w:rPr>
        <w:object>
          <v:shape id="_x0000_i1040" o:spt="75" type="#_x0000_t75" style="height:36.65pt;width:132pt;" o:ole="t" filled="f" o:preferrelative="t" stroked="f" coordsize="21600,21600">
            <v:path/>
            <v:fill on="f" focussize="0,0"/>
            <v:stroke on="f" joinstyle="miter"/>
            <v:imagedata r:id="rId37" o:title=""/>
            <o:lock v:ext="edit" aspectratio="t"/>
            <w10:wrap type="none"/>
            <w10:anchorlock/>
          </v:shape>
          <o:OLEObject Type="Embed" ProgID="Equation.DSMT4" ShapeID="_x0000_i1040" DrawAspect="Content" ObjectID="_1468075740" r:id="rId36">
            <o:LockedField>false</o:LockedField>
          </o:OLEObject>
        </w:object>
      </w:r>
      <w:r>
        <w:rPr>
          <w:rFonts w:ascii="Times New Roman" w:hAnsi="Times New Roman" w:eastAsia="宋体" w:cs="Times New Roman"/>
          <w:kern w:val="0"/>
          <w:sz w:val="24"/>
          <w:szCs w:val="20"/>
        </w:rPr>
        <w:t xml:space="preserve">                    (16)</w:t>
      </w:r>
    </w:p>
    <w:p w14:paraId="3D495302">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In this work, the damping parameter </w:t>
      </w:r>
      <w:r>
        <w:rPr>
          <w:rFonts w:ascii="Times New Roman" w:hAnsi="Times New Roman" w:eastAsia="宋体" w:cs="Times New Roman"/>
          <w:i/>
          <w:iCs/>
          <w:kern w:val="0"/>
          <w:sz w:val="24"/>
          <w:szCs w:val="20"/>
        </w:rPr>
        <w:t>a</w:t>
      </w:r>
      <w:r>
        <w:rPr>
          <w:rFonts w:ascii="Times New Roman" w:hAnsi="Times New Roman" w:eastAsia="宋体" w:cs="Times New Roman"/>
          <w:kern w:val="0"/>
          <w:sz w:val="24"/>
          <w:szCs w:val="20"/>
        </w:rPr>
        <w:t xml:space="preserve"> was universally set to 2.6 for all polarizable particles,</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{"citationID":"8Pw6K00b","properties":{"formattedCitation":"\\super 9\\nosupersub{}","plainCitation":"9","noteIndex":0},"citationItems":[{"id":1348,"uris":["http://zotero.org/users/17156447/items/SPRHGLR8"],"itemData":{"id":1348,"type":"article-journal","container-title":"Journal of Physical Chemistry B","DOI":"10.1021/jp045438q","ISSN":"1520-6106, 1520-5207","issue":"14","journalAbbreviation":"J. Phys. Chem. B","language":"en","note":"290 citations (Crossref/DOI) [2025-11-06]\nJCR分区: Q3\n5年影响因子: 2.9\nTLDR: To investigate the structural organization of hydrophobic hydration in water-ethanol mixtures, molecular dynamics simulations based on detailed atomic models are used and the calculated dielectric constant for the various water-alcohol mixtures is in excellent agreement with experimental data.","page":"6705-6713","source":"DOI.org (Crossref)","title":"Molecular dynamics study of hydration in ethanol−water mixtures using a polarizable force field","volume":"109","author":[{"family":"Noskov","given":"Sergei Yu."},{"family":"Lamoureux","given":"Guillaume"},{"family":"Roux","given":"Benoît"}],"issued":{"date-parts":[["2005",4,1]]}}}],"schema":"https://github.com/citation-style-language/schema/raw/master/csl-citation.json"}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9</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xml:space="preserve"> with interactions truncated at 1.2 nm. The </w:t>
      </w:r>
      <w:r>
        <w:rPr>
          <w:rFonts w:ascii="Times New Roman" w:hAnsi="Times New Roman" w:eastAsia="宋体" w:cs="Times New Roman"/>
          <w:i/>
          <w:iCs/>
          <w:kern w:val="0"/>
          <w:sz w:val="24"/>
          <w:szCs w:val="20"/>
        </w:rPr>
        <w:t>S</w:t>
      </w:r>
      <w:r>
        <w:rPr>
          <w:rFonts w:ascii="Times New Roman" w:hAnsi="Times New Roman" w:eastAsia="宋体" w:cs="Times New Roman"/>
          <w:kern w:val="0"/>
          <w:sz w:val="24"/>
          <w:szCs w:val="20"/>
        </w:rPr>
        <w:t>(</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rPr>
        <w:t>) is applied to all Drude oscillators (DC-DC, DP-DP, DC-DP) regardless of connectivity, effectively regulating the interactions between the DP charge (-</w:t>
      </w:r>
      <w:r>
        <w:rPr>
          <w:rFonts w:ascii="Times New Roman" w:hAnsi="Times New Roman" w:eastAsia="宋体" w:cs="Times New Roman"/>
          <w:i/>
          <w:iCs/>
          <w:kern w:val="0"/>
          <w:sz w:val="24"/>
          <w:szCs w:val="20"/>
          <w:lang w:eastAsia="en-US"/>
        </w:rPr>
        <w:t>q</w:t>
      </w:r>
      <w:r>
        <w:rPr>
          <w:rFonts w:ascii="Times New Roman" w:hAnsi="Times New Roman" w:eastAsia="宋体" w:cs="Times New Roman"/>
          <w:kern w:val="0"/>
          <w:sz w:val="24"/>
          <w:szCs w:val="20"/>
          <w:vertAlign w:val="subscript"/>
        </w:rPr>
        <w:t>D</w:t>
      </w:r>
      <w:r>
        <w:rPr>
          <w:rFonts w:ascii="Times New Roman" w:hAnsi="Times New Roman" w:eastAsia="宋体" w:cs="Times New Roman"/>
          <w:kern w:val="0"/>
          <w:sz w:val="24"/>
          <w:szCs w:val="20"/>
        </w:rPr>
        <w:t>) and the Drude component of the DC charge (</w:t>
      </w:r>
      <w:r>
        <w:rPr>
          <w:rFonts w:ascii="Times New Roman" w:hAnsi="Times New Roman" w:eastAsia="宋体" w:cs="Times New Roman"/>
          <w:i/>
          <w:iCs/>
          <w:kern w:val="0"/>
          <w:sz w:val="24"/>
          <w:szCs w:val="20"/>
          <w:lang w:eastAsia="en-US"/>
        </w:rPr>
        <w:t>q</w:t>
      </w:r>
      <w:r>
        <w:rPr>
          <w:rFonts w:ascii="Times New Roman" w:hAnsi="Times New Roman" w:eastAsia="宋体" w:cs="Times New Roman"/>
          <w:kern w:val="0"/>
          <w:sz w:val="24"/>
          <w:szCs w:val="20"/>
          <w:vertAlign w:val="subscript"/>
        </w:rPr>
        <w:t>D</w:t>
      </w:r>
      <w:r>
        <w:rPr>
          <w:rFonts w:ascii="Times New Roman" w:hAnsi="Times New Roman" w:eastAsia="宋体" w:cs="Times New Roman"/>
          <w:kern w:val="0"/>
          <w:sz w:val="24"/>
          <w:szCs w:val="20"/>
        </w:rPr>
        <w:t>).</w:t>
      </w:r>
    </w:p>
    <w:p w14:paraId="410253A3">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In electrolytes containing ions with highly localized charge density, such as Li</w:t>
      </w:r>
      <w:r>
        <w:rPr>
          <w:rFonts w:ascii="Times New Roman" w:hAnsi="Times New Roman" w:eastAsia="宋体" w:cs="Times New Roman"/>
          <w:kern w:val="0"/>
          <w:sz w:val="24"/>
          <w:szCs w:val="20"/>
          <w:vertAlign w:val="superscript"/>
        </w:rPr>
        <w:t>+</w:t>
      </w:r>
      <w:r>
        <w:rPr>
          <w:rFonts w:ascii="Times New Roman" w:hAnsi="Times New Roman" w:eastAsia="宋体" w:cs="Times New Roman"/>
          <w:kern w:val="0"/>
          <w:sz w:val="24"/>
          <w:szCs w:val="20"/>
        </w:rPr>
        <w:t xml:space="preserve">, the </w:t>
      </w:r>
      <w:r>
        <w:rPr>
          <w:rFonts w:ascii="Times New Roman" w:hAnsi="Times New Roman" w:eastAsia="宋体" w:cs="Times New Roman"/>
          <w:i/>
          <w:iCs/>
          <w:kern w:val="0"/>
          <w:sz w:val="24"/>
          <w:szCs w:val="20"/>
        </w:rPr>
        <w:t>S</w:t>
      </w:r>
      <w:r>
        <w:rPr>
          <w:rFonts w:ascii="Times New Roman" w:hAnsi="Times New Roman" w:eastAsia="宋体" w:cs="Times New Roman"/>
          <w:kern w:val="0"/>
          <w:sz w:val="24"/>
          <w:szCs w:val="20"/>
        </w:rPr>
        <w:t>(</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rPr>
        <w:t>) alone is insufficient to prevent numerical instabilities. In particular, short-range interactions between such ions and nearby induced dipoles must be further damped.</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{"citationID":"LZlHLOZc","properties":{"formattedCitation":"\\super 5,6,10\\nosupersub{}","plainCitation":"5,6,10","noteIndex":0},"citationItems":[{"id":722,"uris":["http://zotero.org/users/17156447/items/C6V6N67J"],"itemData":{"id":722,"type":"article-journal","abstract":"Molecular dynamics (MD) simulation, and theoretical chemistry in general, have been central tools in the study of ionic liquids (ILs) and eutectic solvents, both of which are fluid phases dominated by ionic interactions and strong hydrogen bonds. These systems are still relatively recent, so the amount of experimental information given their enormous diversity is still scarce. Computational studies have produced several important discoveries, besides helping in the interpretation of experimental findings. Here we review the latest developments in the models describing the interactions and conformations of IL phases with atomic detail, in particular polarizable force fields. In these allatom models, the response of electron clouds to their electrostatic environment is represented by induced dipoles, therefore moving beyond the pair-wise additivity of fixed-charge force fields. Most of the conceptual framework to develop polarizable force fields has been available and implemented in major MD codes, so the main challenge to develop a useful polarizable model for ILs and eutectic solvents is how to handle their diversity in chemical structures and interactions, in order to build a model that can represent solutions, mixtures and interfaces with materials, and that is not too difficult to extend to new systems. As is often the case, force field development is not only science but it is also an art! The ingredients of successful force fields are often the result of pragmatism and heuristics, rather than mathematical complexity and absolutely rigorous physics (although retaining a sound physical basis in the parameters definitely helps). We focus on the CL&amp;Pol polarizable force field for ILs, protic ionic liquids, and eutectic solvents, improving on previousgeneration fixed charge models. The CL&amp;Pol force field is built as a detailed but extendable and transferable model offering more reliable predictions of thermodynamic, structural, and transport properties, which should contribute to the advancement of the field and towards the design of better solvents, electrolytes, lubricants, and so on.","container-title":"WIREs Computational Molecular Science","DOI":"10.1002/wcms.1572","ISSN":"1759-0876, 1759-0884","issue":"3","journalAbbreviation":"WIREs Comput. Mol. Sci.","language":"en","note":"37 citations (Crossref/DOI) [2025-05-22]\nGSCC: 0000369 2025-05-19T01:53:40.568Z 2.31 \n37 citations (Crossref/DOI) [2025-05-16]","page":"e1572","source":"DOI.org (Crossref)","title":"The CL&amp;pol polarizable force field for the simulation of ionic liquids and eutectic solvents","volume":"12","author":[{"family":"Goloviznina","given":"Kateryna"},{"family":"Gong","given":"Zheng"},{"family":"Padua","given":"Agilio A. H."}],"issued":{"date-parts":[["2022",5]]}}},{"id":1053,"uris":["http://zotero.org/users/17156447/items/FCYUD9JI"],"itemData":{"id":1053,"type":"article-journal","abstract":"The polarizable CL&amp;Pol force ﬁeld presented in our previous study, Transferable, Polarizable Force Field for Ionic Liquids (J. Chem. Theory Comput. 2019, 15, 5858, DOI: http://doi.org/10.1021/acs.jctc.9b0068910.1021/ acs.jctc.9b00689), is extended to electrolytes, protic ionic liquids (PIL), deep eutectic solvents (DES), and glycols. These systems are problematic in polarizable simulations because they contain either small, highly charged ions or strong hydrogen bonds, which cause trajectory instabilities due to the pull exerted on the induced dipoles. We use a Tang−Toennies (TT) function to dampen, or smear, the interactions between charges and induced dipole at a short range involving small, highly charged atoms (such as hydrogen or lithium), thus preventing the “polarization catastrophe”. The new force ﬁeld gives stable trajectories and is validated through comparison with experimental data on density, viscosity, and ion diﬀusion coeﬃcients of liquid systems of the above-mentioned classes. The results also shed light on the hydrogen-bonding pattern in ethylammonium nitrate, a PIL, for which the literature contains conﬂicting views. We describe the implementation of the TT damping function, of the temperature-grouped Nosé−Hoover thermostat for polarizable molecular dynamics (MD) and of the periodic perturbation method for viscosity evaluation from nonequilibrium trajectories in the LAMMPS MD code. The main result of this work is the wider applicability of the CL&amp;Pol polarizable force ﬁeld to new, important classes of ﬂuids, achieving robust trajectories and a good description of equilibrium and transport properties in challenging systems. The fragment-based approach of CL&amp;Pol will allow ready extension to a wide variety of PILs, DES, and electrolytes.","container-title":"Journal of Chemical Theory and Computation","DOI":"10.1021/acs.jctc.0c01002","ISSN":"1549-9618, 1549-9626","issue":"3","journalAbbreviation":"J. Chem. Theory Comput.","language":"en","license":"https://doi.org/10.15223/policy-029","note":"75 citations (Crossref/DOI) [2025-06-19]\nJCR分区: Q1\n5年影响因子: 6.4","page":"1606-1617","source":"DOI.org (Crossref)","title":"Extension of the CL&amp;pol polarizable force field to electrolytes, protic ionic liquids, and deep eutectic solvents","volume":"17","author":[{"family":"Goloviznina","given":"Kateryna"},{"family":"Gong","given":"Zheng"},{"family":"Costa Gomes","given":"Margarida F."},{"family":"Pádua","given":"Agílio A. H."}],"issued":{"date-parts":[["2021",3,9]]}}},{"id":736,"uris":["http://zotero.org/users/17156447/items/PD79R44Q"],"itemData":{"id":736,"type":"article-journal","abstract":"Polarizable force ﬁelds are gradually becoming a common choice for ionic soft matter, in particular, for molecular dynamics (MD) simulations of ionic liquids (ILs) and deep eutectic solvents (DESs). The CL&amp;Pol force ﬁeld introduced in 2019 is the ﬁrst general, transferable, and polarizable force ﬁeld for MD simulations of diﬀerent types of DESs. The original formulation contains, however, some problems that appear in simulations of ethaline and may also have a broader impact. First, the originally proposed atomic diameter parameters are unbalanced, resulting in too weak interactions between the chlorides and the hydroxyl groups of the ethylene glycol molecules. This, in turn, causes an artiﬁcial phase separation in long simulations. Second, there is an overpolarization of chlorides due to strong induced dipoles that give rise to the presence of peaks and antipeaks at very low q-vector values (2.4 nm−1) in the partial components of the structure factors. In physical terms, this is equivalent to overestimated spatial nanoscale heterogeneity. To correct these problems, we adjusted the chloride-hydroxyl radial distribution functions against ab initio data and then extended the use of the Tang−Toennis damping function for the chlorides’ induced dipoles. These adjustments correct the problems without losing the robustness of the CL&amp;Pol force ﬁeld. The results were also compared with the nonpolarizable version, the CL&amp;P force ﬁeld. We expect that the corrections will facilitate reliable use of the CL&amp;Pol force ﬁeld for other types of DESs.","container-title":"Journal of Chemical Information and Modeling","DOI":"10.1021/acs.jcim.1c01181","ISSN":"1549-9596, 1549-960X","issue":"12","journalAbbreviation":"J. Chem. Inf. Model.","language":"en","license":"https://doi.org/10.15223/policy-029","note":"16 citations (Crossref/DOI) [2025-05-22]\n16 citations (Crossref/DOI) [2025-05-16]\nTLDR: Corrections are made to the chloride-hydroxyl radial distribution functions against ab initio data and the use of the Tang-Toennis damping function for the chlorides' induced dipoles to correct the problems without losing the robustness of the CL&amp;Pol force field.\nJCR分区: Q1\n中科院分区升级版: 化学2区\n影响因子: 5.6\n5年影响因子: 5.9\nEI: 是\n南农高质量: A","page":"5938-5947","source":"DOI.org (Crossref)","title":"Fine-tuning the polarizable CL&amp;pol force field for the deep eutectic solvent ethaline","volume":"61","author":[{"literal":"Rafael Maglia De Souza"},{"family":"Karttunen","given":"Mikko"},{"family":"Ribeiro","given":"Mauro Carlos Costa"}],"issued":{"date-parts":[["2021",12,27]]}}}],"schema":"https://github.com/citation-style-language/schema/raw/master/csl-citation.json"}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5,6,10</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xml:space="preserve"> To this end, a modified Tang-Toennies (TT) damping function, </w:t>
      </w:r>
      <w:r>
        <w:rPr>
          <w:rFonts w:ascii="Times New Roman" w:hAnsi="Times New Roman" w:eastAsia="宋体" w:cs="Times New Roman"/>
          <w:i/>
          <w:iCs/>
          <w:kern w:val="0"/>
          <w:sz w:val="24"/>
          <w:szCs w:val="20"/>
        </w:rPr>
        <w:t>f</w:t>
      </w:r>
      <w:r>
        <w:rPr>
          <w:rFonts w:ascii="Times New Roman" w:hAnsi="Times New Roman" w:eastAsia="宋体" w:cs="Times New Roman"/>
          <w:kern w:val="0"/>
          <w:sz w:val="24"/>
          <w:szCs w:val="20"/>
          <w:vertAlign w:val="subscript"/>
        </w:rPr>
        <w:t>TT</w:t>
      </w:r>
      <w:r>
        <w:rPr>
          <w:rFonts w:ascii="Times New Roman" w:hAnsi="Times New Roman" w:eastAsia="宋体" w:cs="Times New Roman"/>
          <w:kern w:val="0"/>
          <w:sz w:val="24"/>
          <w:szCs w:val="20"/>
        </w:rPr>
        <w:t>(</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rPr>
        <w:t>),</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{"citationID":"N7feI2DI","properties":{"formattedCitation":"\\super 11\\nosupersub{}","plainCitation":"11","noteIndex":0},"citationItems":[{"id":1350,"uris":["http://zotero.org/users/17156447/items/PDAPXEMV"],"itemData":{"id":1350,"type":"article-journal","abstract":"Starting from our earlier model [J. Chem. Phys. 66, 1496 (1977)] a simple expression is derived for the radial dependent damping functions for the individual dispersion coefficients C2n for arbitrary even orders 2n. The damping functions are only a function of the Born–Mayer range parameter b and thus can be applied to all systems for which this is known or can be estimated. For H(1S)–H(1S) the results are in almost perfect agreement with the very accurate recent ab initio damping functions of Koide, Meath, and Allnatt. Comparisons with less accurate previous calculations for other systems also show a satisfactory agreement. By adding a Born–Mayer repulsive term [A exp(−bR)] to the damped dispersion potential, a simple universal expression is obtained for the well region of the atom–atom van der Waals potential with only five essential parameters A, b, C6, C8, and C10. The model has been tested for the following representative systems: H2 3Σ, He2, and Ar2 as well as NaK 3Σ and LiHg, which include four chemically different types of van der Waals interactions for which either very precise theoretical or experimental data is available. For each system the ab initio dispersion coefficients together with the well-known parameters ε and Rm were used to determine A and b from the model potential. With these values the reduced potentials were calculated and found to agree with the experimental potentials to better than 1% and always less than the experimental uncertainties. Some of the implications of the new model are discussed.","container-title":"Journal of Chemical Physics","DOI":"10.1063/1.447150","ISSN":"0021-9606, 1089-7690","issue":"8","journalAbbreviation":"J. Chem. Phys.","language":"en","note":"1441 citations (Crossref/DOI) [2025-11-06]\nJCR分区: Q2\n5年影响因子: 3.8","page":"3726-3741","source":"DOI.org (Crossref)","title":"An improved simple model for the van der waals potential based on universal damping functions for the dispersion coefficients","volume":"80","author":[{"family":"Tang","given":"K. T."},{"family":"Toennies","given":"J. Peter"}],"issued":{"date-parts":[["1984",4,15]]}}}],"schema":"https://github.com/citation-style-language/schema/raw/master/csl-citation.json"}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11</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xml:space="preserve"> as adapted by Goloviznina et al.</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{"citationID":"TFrZg3KV","properties":{"formattedCitation":"\\super 6\\nosupersub{}","plainCitation":"6","noteIndex":0},"citationItems":[{"id":1053,"uris":["http://zotero.org/users/17156447/items/FCYUD9JI"],"itemData":{"id":1053,"type":"article-journal","abstract":"The polarizable CL&amp;Pol force ﬁeld presented in our previous study, Transferable, Polarizable Force Field for Ionic Liquids (J. Chem. Theory Comput. 2019, 15, 5858, DOI: http://doi.org/10.1021/acs.jctc.9b0068910.1021/ acs.jctc.9b00689), is extended to electrolytes, protic ionic liquids (PIL), deep eutectic solvents (DES), and glycols. These systems are problematic in polarizable simulations because they contain either small, highly charged ions or strong hydrogen bonds, which cause trajectory instabilities due to the pull exerted on the induced dipoles. We use a Tang−Toennies (TT) function to dampen, or smear, the interactions between charges and induced dipole at a short range involving small, highly charged atoms (such as hydrogen or lithium), thus preventing the “polarization catastrophe”. The new force ﬁeld gives stable trajectories and is validated through comparison with experimental data on density, viscosity, and ion diﬀusion coeﬃcients of liquid systems of the above-mentioned classes. The results also shed light on the hydrogen-bonding pattern in ethylammonium nitrate, a PIL, for which the literature contains conﬂicting views. We describe the implementation of the TT damping function, of the temperature-grouped Nosé−Hoover thermostat for polarizable molecular dynamics (MD) and of the periodic perturbation method for viscosity evaluation from nonequilibrium trajectories in the LAMMPS MD code. The main result of this work is the wider applicability of the CL&amp;Pol polarizable force ﬁeld to new, important classes of ﬂuids, achieving robust trajectories and a good description of equilibrium and transport properties in challenging systems. The fragment-based approach of CL&amp;Pol will allow ready extension to a wide variety of PILs, DES, and electrolytes.","container-title":"Journal of Chemical Theory and Computation","DOI":"10.1021/acs.jctc.0c01002","ISSN":"1549-9618, 1549-9626","issue":"3","journalAbbreviation":"J. Chem. Theory Comput.","language":"en","license":"https://doi.org/10.15223/policy-029","note":"75 citations (Crossref/DOI) [2025-06-19]\nJCR分区: Q1\n5年影响因子: 6.4","page":"1606-1617","source":"DOI.org (Crossref)","title":"Extension of the CL&amp;pol polarizable force field to electrolytes, protic ionic liquids, and deep eutectic solvents","volume":"17","author":[{"family":"Goloviznina","given":"Kateryna"},{"family":"Gong","given":"Zheng"},{"family":"Costa Gomes","given":"Margarida F."},{"family":"Pádua","given":"Agílio A. H."}],"issued":{"date-parts":[["2021",3,9]]}}}],"schema":"https://github.com/citation-style-language/schema/raw/master/csl-citation.json"}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6</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was employed:</w:t>
      </w:r>
    </w:p>
    <w:p w14:paraId="114F6657">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46"/>
          <w:sz w:val="24"/>
          <w:szCs w:val="20"/>
        </w:rPr>
        <w:object>
          <v:shape id="_x0000_i1041" o:spt="75" type="#_x0000_t75" style="height:54pt;width:312pt;" o:ole="t" filled="f" o:preferrelative="t" stroked="f" coordsize="21600,21600">
            <v:path/>
            <v:fill on="f" focussize="0,0"/>
            <v:stroke on="f" joinstyle="miter"/>
            <v:imagedata r:id="rId39" o:title=""/>
            <o:lock v:ext="edit" aspectratio="t"/>
            <w10:wrap type="none"/>
            <w10:anchorlock/>
          </v:shape>
          <o:OLEObject Type="Embed" ProgID="Equation.DSMT4" ShapeID="_x0000_i1041" DrawAspect="Content" ObjectID="_1468075741" r:id="rId38">
            <o:LockedField>false</o:LockedField>
          </o:OLEObject>
        </w:object>
      </w:r>
      <w:r>
        <w:rPr>
          <w:rFonts w:ascii="Times New Roman" w:hAnsi="Times New Roman" w:eastAsia="宋体" w:cs="Times New Roman"/>
          <w:kern w:val="0"/>
          <w:sz w:val="24"/>
          <w:szCs w:val="20"/>
        </w:rPr>
        <w:t xml:space="preserve">       (17)</w:t>
      </w:r>
    </w:p>
    <w:p w14:paraId="2E15CE14">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Here, DC</w:t>
      </w:r>
      <w:r>
        <w:rPr>
          <w:rFonts w:ascii="Times New Roman" w:hAnsi="Times New Roman" w:eastAsia="宋体" w:cs="Times New Roman"/>
          <w:kern w:val="0"/>
          <w:sz w:val="24"/>
          <w:szCs w:val="20"/>
          <w:vertAlign w:val="subscript"/>
        </w:rPr>
        <w:t>Li</w:t>
      </w:r>
      <w:r>
        <w:rPr>
          <w:rFonts w:ascii="Times New Roman" w:hAnsi="Times New Roman" w:eastAsia="宋体" w:cs="Times New Roman"/>
          <w:kern w:val="0"/>
          <w:sz w:val="24"/>
          <w:szCs w:val="20"/>
        </w:rPr>
        <w:t xml:space="preserve"> denotes the DCs of Li</w:t>
      </w:r>
      <w:r>
        <w:rPr>
          <w:rFonts w:ascii="Times New Roman" w:hAnsi="Times New Roman" w:eastAsia="宋体" w:cs="Times New Roman"/>
          <w:kern w:val="0"/>
          <w:sz w:val="24"/>
          <w:szCs w:val="20"/>
          <w:vertAlign w:val="superscript"/>
        </w:rPr>
        <w:t>+</w:t>
      </w:r>
      <w:r>
        <w:rPr>
          <w:rFonts w:ascii="Times New Roman" w:hAnsi="Times New Roman" w:eastAsia="宋体" w:cs="Times New Roman"/>
          <w:kern w:val="0"/>
          <w:sz w:val="24"/>
          <w:szCs w:val="20"/>
        </w:rPr>
        <w:t xml:space="preserve"> ions. The parameters were empirically set to </w:t>
      </w:r>
      <w:r>
        <w:rPr>
          <w:rFonts w:ascii="Times New Roman" w:hAnsi="Times New Roman" w:eastAsia="宋体" w:cs="Times New Roman"/>
          <w:i/>
          <w:iCs/>
          <w:kern w:val="0"/>
          <w:sz w:val="24"/>
          <w:szCs w:val="20"/>
        </w:rPr>
        <w:t>b</w:t>
      </w:r>
      <w:r>
        <w:rPr>
          <w:rFonts w:ascii="Times New Roman" w:hAnsi="Times New Roman" w:eastAsia="宋体" w:cs="Times New Roman"/>
          <w:kern w:val="0"/>
          <w:sz w:val="24"/>
          <w:szCs w:val="20"/>
          <w:vertAlign w:val="subscript"/>
        </w:rPr>
        <w:t>TT</w:t>
      </w:r>
      <w:r>
        <w:rPr>
          <w:rFonts w:ascii="Times New Roman" w:hAnsi="Times New Roman" w:eastAsia="宋体" w:cs="Times New Roman"/>
          <w:kern w:val="0"/>
          <w:sz w:val="24"/>
          <w:szCs w:val="20"/>
        </w:rPr>
        <w:t xml:space="preserve"> = 4.5 and </w:t>
      </w:r>
      <w:r>
        <w:rPr>
          <w:rFonts w:ascii="Times New Roman" w:hAnsi="Times New Roman" w:eastAsia="宋体" w:cs="Times New Roman"/>
          <w:i/>
          <w:iCs/>
          <w:kern w:val="0"/>
          <w:sz w:val="24"/>
          <w:szCs w:val="20"/>
        </w:rPr>
        <w:t>c</w:t>
      </w:r>
      <w:r>
        <w:rPr>
          <w:rFonts w:ascii="Times New Roman" w:hAnsi="Times New Roman" w:eastAsia="宋体" w:cs="Times New Roman"/>
          <w:kern w:val="0"/>
          <w:sz w:val="24"/>
          <w:szCs w:val="20"/>
          <w:vertAlign w:val="subscript"/>
        </w:rPr>
        <w:t>TT</w:t>
      </w:r>
      <w:r>
        <w:rPr>
          <w:rFonts w:ascii="Times New Roman" w:hAnsi="Times New Roman" w:eastAsia="宋体" w:cs="Times New Roman"/>
          <w:kern w:val="0"/>
          <w:sz w:val="24"/>
          <w:szCs w:val="20"/>
        </w:rPr>
        <w:t xml:space="preserve"> = 1.0.</w:t>
      </w:r>
      <w:r>
        <w:rPr>
          <w:rFonts w:ascii="Times New Roman" w:hAnsi="Times New Roman" w:eastAsia="宋体" w:cs="Times New Roman"/>
          <w:kern w:val="0"/>
          <w:sz w:val="24"/>
          <w:szCs w:val="20"/>
        </w:rPr>
        <w:fldChar w:fldCharType="begin"/>
      </w:r>
      <w:r>
        <w:rPr>
          <w:rFonts w:ascii="Times New Roman" w:hAnsi="Times New Roman" w:eastAsia="宋体" w:cs="Times New Roman"/>
          <w:kern w:val="0"/>
          <w:sz w:val="24"/>
          <w:szCs w:val="20"/>
        </w:rPr>
        <w:instrText xml:space="preserve"> ADDIN ZOTERO_ITEM CSL_CITATION {"citationID":"c65ht5l0","properties":{"formattedCitation":"\\super 6\\nosupersub{}","plainCitation":"6","noteIndex":0},"citationItems":[{"id":1053,"uris":["http://zotero.org/users/17156447/items/FCYUD9JI"],"itemData":{"id":1053,"type":"article-journal","abstract":"The polarizable CL&amp;Pol force ﬁeld presented in our previous study, Transferable, Polarizable Force Field for Ionic Liquids (J. Chem. Theory Comput. 2019, 15, 5858, DOI: http://doi.org/10.1021/acs.jctc.9b0068910.1021/ acs.jctc.9b00689), is extended to electrolytes, protic ionic liquids (PIL), deep eutectic solvents (DES), and glycols. These systems are problematic in polarizable simulations because they contain either small, highly charged ions or strong hydrogen bonds, which cause trajectory instabilities due to the pull exerted on the induced dipoles. We use a Tang−Toennies (TT) function to dampen, or smear, the interactions between charges and induced dipole at a short range involving small, highly charged atoms (such as hydrogen or lithium), thus preventing the “polarization catastrophe”. The new force ﬁeld gives stable trajectories and is validated through comparison with experimental data on density, viscosity, and ion diﬀusion coeﬃcients of liquid systems of the above-mentioned classes. The results also shed light on the hydrogen-bonding pattern in ethylammonium nitrate, a PIL, for which the literature contains conﬂicting views. We describe the implementation of the TT damping function, of the temperature-grouped Nosé−Hoover thermostat for polarizable molecular dynamics (MD) and of the periodic perturbation method for viscosity evaluation from nonequilibrium trajectories in the LAMMPS MD code. The main result of this work is the wider applicability of the CL&amp;Pol polarizable force ﬁeld to new, important classes of ﬂuids, achieving robust trajectories and a good description of equilibrium and transport properties in challenging systems. The fragment-based approach of CL&amp;Pol will allow ready extension to a wide variety of PILs, DES, and electrolytes.","container-title":"Journal of Chemical Theory and Computation","DOI":"10.1021/acs.jctc.0c01002","ISSN":"1549-9618, 1549-9626","issue":"3","journalAbbreviation":"J. Chem. Theory Comput.","language":"en","license":"https://doi.org/10.15223/policy-029","note":"75 citations (Crossref/DOI) [2025-06-19]\nJCR分区: Q1\n5年影响因子: 6.4","page":"1606-1617","source":"DOI.org (Crossref)","title":"Extension of the CL&amp;pol polarizable force field to electrolytes, protic ionic liquids, and deep eutectic solvents","volume":"17","author":[{"family":"Goloviznina","given":"Kateryna"},{"family":"Gong","given":"Zheng"},{"family":"Costa Gomes","given":"Margarida F."},{"family":"Pádua","given":"Agílio A. H."}],"issued":{"date-parts":[["2021",3,9]]}}}],"schema":"https://github.com/citation-style-language/schema/raw/master/csl-citation.json"} </w:instrText>
      </w:r>
      <w:r>
        <w:rPr>
          <w:rFonts w:ascii="Times New Roman" w:hAnsi="Times New Roman" w:eastAsia="宋体" w:cs="Times New Roman"/>
          <w:kern w:val="0"/>
          <w:sz w:val="24"/>
          <w:szCs w:val="20"/>
        </w:rPr>
        <w:fldChar w:fldCharType="separate"/>
      </w:r>
      <w:r>
        <w:rPr>
          <w:rFonts w:ascii="Times New Roman" w:hAnsi="Times New Roman" w:eastAsia="等线" w:cs="Times New Roman"/>
          <w:kern w:val="0"/>
          <w:sz w:val="24"/>
          <w:vertAlign w:val="superscript"/>
        </w:rPr>
        <w:t>6</w:t>
      </w:r>
      <w:r>
        <w:rPr>
          <w:rFonts w:ascii="Times New Roman" w:hAnsi="Times New Roman" w:eastAsia="宋体" w:cs="Times New Roman"/>
          <w:kern w:val="0"/>
          <w:sz w:val="24"/>
          <w:szCs w:val="20"/>
        </w:rPr>
        <w:fldChar w:fldCharType="end"/>
      </w:r>
      <w:r>
        <w:rPr>
          <w:rFonts w:ascii="Times New Roman" w:hAnsi="Times New Roman" w:eastAsia="宋体" w:cs="Times New Roman"/>
          <w:kern w:val="0"/>
          <w:sz w:val="24"/>
          <w:szCs w:val="20"/>
        </w:rPr>
        <w:t xml:space="preserve"> The </w:t>
      </w:r>
      <w:r>
        <w:rPr>
          <w:rFonts w:ascii="Times New Roman" w:hAnsi="Times New Roman" w:eastAsia="宋体" w:cs="Times New Roman"/>
          <w:i/>
          <w:iCs/>
          <w:kern w:val="0"/>
          <w:sz w:val="24"/>
          <w:szCs w:val="20"/>
        </w:rPr>
        <w:t>f</w:t>
      </w:r>
      <w:r>
        <w:rPr>
          <w:rFonts w:ascii="Times New Roman" w:hAnsi="Times New Roman" w:eastAsia="宋体" w:cs="Times New Roman"/>
          <w:kern w:val="0"/>
          <w:sz w:val="24"/>
          <w:szCs w:val="20"/>
          <w:vertAlign w:val="subscript"/>
        </w:rPr>
        <w:t>TT</w:t>
      </w:r>
      <w:r>
        <w:rPr>
          <w:rFonts w:ascii="Times New Roman" w:hAnsi="Times New Roman" w:eastAsia="宋体" w:cs="Times New Roman"/>
          <w:kern w:val="0"/>
          <w:sz w:val="24"/>
          <w:szCs w:val="20"/>
        </w:rPr>
        <w:t>(</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rPr>
        <w:t>) attenuates interactions between the nonpolarizable part of the DC</w:t>
      </w:r>
      <w:r>
        <w:rPr>
          <w:rFonts w:ascii="Times New Roman" w:hAnsi="Times New Roman" w:eastAsia="宋体" w:cs="Times New Roman"/>
          <w:kern w:val="0"/>
          <w:sz w:val="24"/>
          <w:szCs w:val="20"/>
          <w:vertAlign w:val="subscript"/>
        </w:rPr>
        <w:t>Li</w:t>
      </w:r>
      <w:r>
        <w:rPr>
          <w:rFonts w:ascii="Times New Roman" w:hAnsi="Times New Roman" w:eastAsia="宋体" w:cs="Times New Roman"/>
          <w:kern w:val="0"/>
          <w:sz w:val="24"/>
          <w:szCs w:val="20"/>
        </w:rPr>
        <w:t xml:space="preserve"> charge (</w:t>
      </w:r>
      <w:r>
        <w:rPr>
          <w:rFonts w:ascii="Times New Roman" w:hAnsi="Times New Roman" w:eastAsia="宋体" w:cs="Times New Roman"/>
          <w:i/>
          <w:iCs/>
          <w:kern w:val="0"/>
          <w:sz w:val="24"/>
          <w:szCs w:val="20"/>
          <w:lang w:eastAsia="en-US"/>
        </w:rPr>
        <w:t>q</w:t>
      </w:r>
      <w:r>
        <w:rPr>
          <w:rFonts w:ascii="Times New Roman" w:hAnsi="Times New Roman" w:eastAsia="宋体" w:cs="Times New Roman"/>
          <w:kern w:val="0"/>
          <w:sz w:val="24"/>
          <w:szCs w:val="20"/>
        </w:rPr>
        <w:t>’) and either the DP charge (-</w:t>
      </w:r>
      <w:r>
        <w:rPr>
          <w:rFonts w:ascii="Times New Roman" w:hAnsi="Times New Roman" w:eastAsia="宋体" w:cs="Times New Roman"/>
          <w:i/>
          <w:iCs/>
          <w:kern w:val="0"/>
          <w:sz w:val="24"/>
          <w:szCs w:val="20"/>
          <w:lang w:eastAsia="en-US"/>
        </w:rPr>
        <w:t>q</w:t>
      </w:r>
      <w:r>
        <w:rPr>
          <w:rFonts w:ascii="Times New Roman" w:hAnsi="Times New Roman" w:eastAsia="宋体" w:cs="Times New Roman"/>
          <w:kern w:val="0"/>
          <w:sz w:val="24"/>
          <w:szCs w:val="20"/>
          <w:vertAlign w:val="subscript"/>
        </w:rPr>
        <w:t>D</w:t>
      </w:r>
      <w:r>
        <w:rPr>
          <w:rFonts w:ascii="Times New Roman" w:hAnsi="Times New Roman" w:eastAsia="宋体" w:cs="Times New Roman"/>
          <w:kern w:val="0"/>
          <w:sz w:val="24"/>
          <w:szCs w:val="20"/>
        </w:rPr>
        <w:t>) or the Drude component of the DC charge (</w:t>
      </w:r>
      <w:r>
        <w:rPr>
          <w:rFonts w:ascii="Times New Roman" w:hAnsi="Times New Roman" w:eastAsia="宋体" w:cs="Times New Roman"/>
          <w:i/>
          <w:iCs/>
          <w:kern w:val="0"/>
          <w:sz w:val="24"/>
          <w:szCs w:val="20"/>
          <w:lang w:eastAsia="en-US"/>
        </w:rPr>
        <w:t>q</w:t>
      </w:r>
      <w:r>
        <w:rPr>
          <w:rFonts w:ascii="Times New Roman" w:hAnsi="Times New Roman" w:eastAsia="宋体" w:cs="Times New Roman"/>
          <w:kern w:val="0"/>
          <w:sz w:val="24"/>
          <w:szCs w:val="20"/>
          <w:vertAlign w:val="subscript"/>
        </w:rPr>
        <w:t>D</w:t>
      </w:r>
      <w:r>
        <w:rPr>
          <w:rFonts w:ascii="Times New Roman" w:hAnsi="Times New Roman" w:eastAsia="宋体" w:cs="Times New Roman"/>
          <w:kern w:val="0"/>
          <w:sz w:val="24"/>
          <w:szCs w:val="20"/>
        </w:rPr>
        <w:t>) on other polarizable atoms. This serves as a safeguard against unphysical charge trapping and trajectory instabilities, without perturbing the system’s physical properties under normal conditions.</w:t>
      </w:r>
    </w:p>
    <w:p w14:paraId="158FB121">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Therefore, the </w:t>
      </w:r>
      <w:r>
        <w:rPr>
          <w:rFonts w:ascii="Times New Roman" w:hAnsi="Times New Roman" w:eastAsia="宋体" w:cs="Times New Roman"/>
          <w:i/>
          <w:iCs/>
          <w:kern w:val="0"/>
          <w:sz w:val="24"/>
          <w:szCs w:val="20"/>
        </w:rPr>
        <w:t>U</w:t>
      </w:r>
      <w:r>
        <w:rPr>
          <w:rFonts w:ascii="Times New Roman" w:hAnsi="Times New Roman" w:eastAsia="宋体" w:cs="Times New Roman"/>
          <w:kern w:val="0"/>
          <w:sz w:val="24"/>
          <w:szCs w:val="20"/>
          <w:vertAlign w:val="subscript"/>
        </w:rPr>
        <w:t>nonbonded</w:t>
      </w:r>
      <w:r>
        <w:rPr>
          <w:rFonts w:ascii="Times New Roman" w:hAnsi="Times New Roman" w:eastAsia="宋体" w:cs="Times New Roman"/>
          <w:kern w:val="0"/>
          <w:sz w:val="24"/>
          <w:szCs w:val="20"/>
          <w:vertAlign w:val="superscript"/>
        </w:rPr>
        <w:t>pol</w:t>
      </w:r>
      <w:r>
        <w:rPr>
          <w:rFonts w:ascii="Times New Roman" w:hAnsi="Times New Roman" w:eastAsia="宋体" w:cs="Times New Roman"/>
          <w:kern w:val="0"/>
          <w:sz w:val="24"/>
          <w:szCs w:val="20"/>
        </w:rPr>
        <w:t xml:space="preserve"> term of the PFF, incorporating</w:t>
      </w:r>
      <w:r>
        <w:rPr>
          <w:rFonts w:ascii="Times New Roman" w:hAnsi="Times New Roman" w:eastAsia="宋体" w:cs="Times New Roman"/>
          <w:kern w:val="0"/>
          <w:sz w:val="24"/>
          <w:szCs w:val="20"/>
          <w:lang w:eastAsia="en-US"/>
        </w:rPr>
        <w:t xml:space="preserve"> </w:t>
      </w:r>
      <w:r>
        <w:rPr>
          <w:rFonts w:ascii="Times New Roman" w:hAnsi="Times New Roman" w:eastAsia="宋体" w:cs="Times New Roman"/>
          <w:kern w:val="0"/>
          <w:sz w:val="24"/>
          <w:szCs w:val="20"/>
        </w:rPr>
        <w:t>all the above modifications, is expressed as the sum over specific particle pairs interactions:</w:t>
      </w:r>
    </w:p>
    <w:p w14:paraId="448B0CFD">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12"/>
          <w:sz w:val="24"/>
          <w:szCs w:val="20"/>
        </w:rPr>
        <w:object>
          <v:shape id="_x0000_i1042" o:spt="75" type="#_x0000_t75" style="height:17.35pt;width:191.35pt;" o:ole="t" filled="f" o:preferrelative="t" stroked="f" coordsize="21600,21600">
            <v:path/>
            <v:fill on="f" focussize="0,0"/>
            <v:stroke on="f" joinstyle="miter"/>
            <v:imagedata r:id="rId41" o:title=""/>
            <o:lock v:ext="edit" aspectratio="t"/>
            <w10:wrap type="none"/>
            <w10:anchorlock/>
          </v:shape>
          <o:OLEObject Type="Embed" ProgID="Equation.DSMT4" ShapeID="_x0000_i1042" DrawAspect="Content" ObjectID="_1468075742" r:id="rId40">
            <o:LockedField>false</o:LockedField>
          </o:OLEObject>
        </w:object>
      </w:r>
      <w:r>
        <w:rPr>
          <w:rFonts w:ascii="Times New Roman" w:hAnsi="Times New Roman" w:eastAsia="宋体" w:cs="Times New Roman"/>
          <w:kern w:val="0"/>
          <w:sz w:val="24"/>
          <w:szCs w:val="20"/>
        </w:rPr>
        <w:t xml:space="preserve">               (18)</w:t>
      </w:r>
    </w:p>
    <w:p w14:paraId="257E231F">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kern w:val="0"/>
          <w:sz w:val="24"/>
          <w:szCs w:val="20"/>
        </w:rPr>
        <w:t xml:space="preserve">Here, </w:t>
      </w:r>
      <w:r>
        <w:rPr>
          <w:rFonts w:ascii="Times New Roman" w:hAnsi="Times New Roman" w:eastAsia="宋体" w:cs="Times New Roman"/>
          <w:i/>
          <w:iCs/>
          <w:kern w:val="0"/>
          <w:sz w:val="24"/>
          <w:szCs w:val="20"/>
        </w:rPr>
        <w:t>a</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b</w:t>
      </w:r>
      <w:r>
        <w:rPr>
          <w:rFonts w:ascii="Times New Roman" w:hAnsi="Times New Roman" w:eastAsia="宋体" w:cs="Times New Roman"/>
          <w:kern w:val="0"/>
          <w:sz w:val="24"/>
          <w:szCs w:val="20"/>
        </w:rPr>
        <w:t xml:space="preserve"> run over nonpolarizable atoms (H atoms); </w:t>
      </w:r>
      <w:r>
        <w:rPr>
          <w:rFonts w:ascii="Times New Roman" w:hAnsi="Times New Roman" w:eastAsia="宋体" w:cs="Times New Roman"/>
          <w:i/>
          <w:iCs/>
          <w:kern w:val="0"/>
          <w:sz w:val="24"/>
          <w:szCs w:val="20"/>
        </w:rPr>
        <w:t>k</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s</w:t>
      </w:r>
      <w:r>
        <w:rPr>
          <w:rFonts w:ascii="Times New Roman" w:hAnsi="Times New Roman" w:eastAsia="宋体" w:cs="Times New Roman"/>
          <w:kern w:val="0"/>
          <w:sz w:val="24"/>
          <w:szCs w:val="20"/>
        </w:rPr>
        <w:t xml:space="preserve"> refer to DCs (all other non-H atoms, including C, N, O, F, S, P, and Li atoms); </w:t>
      </w:r>
      <w:r>
        <w:rPr>
          <w:rFonts w:ascii="Times New Roman" w:hAnsi="Times New Roman" w:eastAsia="宋体" w:cs="Times New Roman"/>
          <w:i/>
          <w:iCs/>
          <w:kern w:val="0"/>
          <w:sz w:val="24"/>
          <w:szCs w:val="20"/>
        </w:rPr>
        <w:t>m</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n</w:t>
      </w:r>
      <w:r>
        <w:rPr>
          <w:rFonts w:ascii="Times New Roman" w:hAnsi="Times New Roman" w:eastAsia="宋体" w:cs="Times New Roman"/>
          <w:kern w:val="0"/>
          <w:sz w:val="24"/>
          <w:szCs w:val="20"/>
        </w:rPr>
        <w:t xml:space="preserve"> denote the DPs associated with </w:t>
      </w:r>
      <w:r>
        <w:rPr>
          <w:rFonts w:ascii="Times New Roman" w:hAnsi="Times New Roman" w:eastAsia="宋体" w:cs="Times New Roman"/>
          <w:i/>
          <w:iCs/>
          <w:kern w:val="0"/>
          <w:sz w:val="24"/>
          <w:szCs w:val="20"/>
        </w:rPr>
        <w:t>k</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s</w:t>
      </w:r>
      <w:r>
        <w:rPr>
          <w:rFonts w:ascii="Times New Roman" w:hAnsi="Times New Roman" w:eastAsia="宋体" w:cs="Times New Roman"/>
          <w:kern w:val="0"/>
          <w:sz w:val="24"/>
          <w:szCs w:val="20"/>
        </w:rPr>
        <w:t>. The individual interaction terms are defined as follows:</w:t>
      </w:r>
    </w:p>
    <w:p w14:paraId="73163499">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i/>
          <w:iCs/>
          <w:kern w:val="0"/>
          <w:sz w:val="24"/>
          <w:szCs w:val="20"/>
        </w:rPr>
        <w:t>U</w:t>
      </w:r>
      <w:r>
        <w:rPr>
          <w:rFonts w:ascii="Times New Roman" w:hAnsi="Times New Roman" w:eastAsia="宋体" w:cs="Times New Roman"/>
          <w:i/>
          <w:iCs/>
          <w:kern w:val="0"/>
          <w:sz w:val="24"/>
          <w:szCs w:val="20"/>
          <w:vertAlign w:val="superscript"/>
        </w:rPr>
        <w:t>ab</w:t>
      </w:r>
      <w:r>
        <w:rPr>
          <w:rFonts w:ascii="Times New Roman" w:hAnsi="Times New Roman" w:eastAsia="宋体" w:cs="Times New Roman"/>
          <w:kern w:val="0"/>
          <w:sz w:val="24"/>
          <w:szCs w:val="20"/>
        </w:rPr>
        <w:t xml:space="preserve"> term represents LJ and Coulomb interactions between H atoms (H-H), scaled by </w:t>
      </w:r>
      <w:r>
        <w:rPr>
          <w:rFonts w:ascii="Times New Roman" w:hAnsi="Times New Roman" w:eastAsia="宋体" w:cs="Times New Roman"/>
          <w:i/>
          <w:iCs/>
          <w:kern w:val="0"/>
          <w:sz w:val="24"/>
          <w:szCs w:val="20"/>
        </w:rPr>
        <w:t>K</w:t>
      </w:r>
      <w:r>
        <w:rPr>
          <w:rFonts w:ascii="Times New Roman" w:hAnsi="Times New Roman" w:eastAsia="宋体" w:cs="Times New Roman"/>
          <w:kern w:val="0"/>
          <w:sz w:val="24"/>
          <w:szCs w:val="20"/>
          <w:vertAlign w:val="subscript"/>
        </w:rPr>
        <w:t>LJ</w:t>
      </w:r>
      <w:r>
        <w:rPr>
          <w:rFonts w:ascii="Times New Roman" w:hAnsi="Times New Roman" w:eastAsia="宋体" w:cs="Times New Roman"/>
          <w:kern w:val="0"/>
          <w:sz w:val="24"/>
          <w:szCs w:val="20"/>
        </w:rPr>
        <w:t>:</w:t>
      </w:r>
    </w:p>
    <w:p w14:paraId="35ECD7B4">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40"/>
          <w:sz w:val="24"/>
          <w:szCs w:val="20"/>
        </w:rPr>
        <w:object>
          <v:shape id="_x0000_i1043" o:spt="75" type="#_x0000_t75" style="height:42pt;width:240pt;" o:ole="t" filled="f" o:preferrelative="t" stroked="f" coordsize="21600,21600">
            <v:path/>
            <v:fill on="f" focussize="0,0"/>
            <v:stroke on="f" joinstyle="miter"/>
            <v:imagedata r:id="rId43" o:title=""/>
            <o:lock v:ext="edit" aspectratio="t"/>
            <w10:wrap type="none"/>
            <w10:anchorlock/>
          </v:shape>
          <o:OLEObject Type="Embed" ProgID="Equation.DSMT4" ShapeID="_x0000_i1043" DrawAspect="Content" ObjectID="_1468075743" r:id="rId42">
            <o:LockedField>false</o:LockedField>
          </o:OLEObject>
        </w:object>
      </w:r>
      <w:r>
        <w:rPr>
          <w:rFonts w:ascii="Times New Roman" w:hAnsi="Times New Roman" w:eastAsia="宋体" w:cs="Times New Roman"/>
          <w:kern w:val="0"/>
          <w:sz w:val="24"/>
          <w:szCs w:val="20"/>
        </w:rPr>
        <w:t xml:space="preserve">          (19)</w:t>
      </w:r>
    </w:p>
    <w:p w14:paraId="5A1BF3A0">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i/>
          <w:iCs/>
          <w:kern w:val="0"/>
          <w:sz w:val="24"/>
          <w:szCs w:val="20"/>
        </w:rPr>
        <w:t>U</w:t>
      </w:r>
      <w:r>
        <w:rPr>
          <w:rFonts w:ascii="Times New Roman" w:hAnsi="Times New Roman" w:eastAsia="宋体" w:cs="Times New Roman"/>
          <w:i/>
          <w:iCs/>
          <w:kern w:val="0"/>
          <w:sz w:val="24"/>
          <w:szCs w:val="20"/>
          <w:vertAlign w:val="superscript"/>
        </w:rPr>
        <w:t>ks</w:t>
      </w:r>
      <w:r>
        <w:rPr>
          <w:rFonts w:ascii="Times New Roman" w:hAnsi="Times New Roman" w:eastAsia="宋体" w:cs="Times New Roman"/>
          <w:kern w:val="0"/>
          <w:sz w:val="24"/>
          <w:szCs w:val="20"/>
        </w:rPr>
        <w:t xml:space="preserve"> term represents LJ and Coulomb interactions between DCs (DC-DC), incorporating </w:t>
      </w:r>
      <w:r>
        <w:rPr>
          <w:rFonts w:ascii="Times New Roman" w:hAnsi="Times New Roman" w:eastAsia="宋体" w:cs="Times New Roman"/>
          <w:i/>
          <w:iCs/>
          <w:kern w:val="0"/>
          <w:sz w:val="24"/>
          <w:szCs w:val="20"/>
        </w:rPr>
        <w:t>K</w:t>
      </w:r>
      <w:r>
        <w:rPr>
          <w:rFonts w:ascii="Times New Roman" w:hAnsi="Times New Roman" w:eastAsia="宋体" w:cs="Times New Roman"/>
          <w:kern w:val="0"/>
          <w:sz w:val="24"/>
          <w:szCs w:val="20"/>
          <w:vertAlign w:val="subscript"/>
        </w:rPr>
        <w:t>LJ</w:t>
      </w:r>
      <w:r>
        <w:rPr>
          <w:rFonts w:ascii="Times New Roman" w:hAnsi="Times New Roman" w:eastAsia="宋体" w:cs="Times New Roman"/>
          <w:kern w:val="0"/>
          <w:sz w:val="24"/>
          <w:szCs w:val="20"/>
        </w:rPr>
        <w:t xml:space="preserve">, </w:t>
      </w:r>
      <w:r>
        <w:rPr>
          <w:rFonts w:ascii="Times New Roman" w:hAnsi="Times New Roman" w:eastAsia="宋体" w:cs="Times New Roman"/>
          <w:i/>
          <w:iCs/>
          <w:kern w:val="0"/>
          <w:sz w:val="24"/>
          <w:szCs w:val="20"/>
        </w:rPr>
        <w:t>S</w:t>
      </w:r>
      <w:r>
        <w:rPr>
          <w:rFonts w:ascii="Times New Roman" w:hAnsi="Times New Roman" w:eastAsia="宋体" w:cs="Times New Roman"/>
          <w:kern w:val="0"/>
          <w:sz w:val="24"/>
          <w:szCs w:val="20"/>
        </w:rPr>
        <w:t>(</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f</w:t>
      </w:r>
      <w:r>
        <w:rPr>
          <w:rFonts w:ascii="Times New Roman" w:hAnsi="Times New Roman" w:eastAsia="宋体" w:cs="Times New Roman"/>
          <w:kern w:val="0"/>
          <w:sz w:val="24"/>
          <w:szCs w:val="20"/>
          <w:vertAlign w:val="subscript"/>
        </w:rPr>
        <w:t>TT</w:t>
      </w:r>
      <w:r>
        <w:rPr>
          <w:rFonts w:ascii="Times New Roman" w:hAnsi="Times New Roman" w:eastAsia="宋体" w:cs="Times New Roman"/>
          <w:kern w:val="0"/>
          <w:sz w:val="24"/>
          <w:szCs w:val="20"/>
        </w:rPr>
        <w:t>(</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rPr>
        <w:t>):</w:t>
      </w:r>
    </w:p>
    <w:p w14:paraId="7D5E15CA">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126"/>
          <w:sz w:val="24"/>
          <w:szCs w:val="20"/>
        </w:rPr>
        <w:object>
          <v:shape id="_x0000_i1044" o:spt="75" type="#_x0000_t75" style="height:119.35pt;width:409.6pt;" o:ole="t" filled="f" o:preferrelative="t" stroked="f" coordsize="21600,21600">
            <v:path/>
            <v:fill on="f" focussize="0,0"/>
            <v:stroke on="f" joinstyle="miter"/>
            <v:imagedata r:id="rId45" o:title=""/>
            <o:lock v:ext="edit" aspectratio="t"/>
            <w10:wrap type="none"/>
            <w10:anchorlock/>
          </v:shape>
          <o:OLEObject Type="Embed" ProgID="Equation.DSMT4" ShapeID="_x0000_i1044" DrawAspect="Content" ObjectID="_1468075744" r:id="rId44">
            <o:LockedField>false</o:LockedField>
          </o:OLEObject>
        </w:object>
      </w:r>
      <w:r>
        <w:rPr>
          <w:rFonts w:hint="eastAsia" w:ascii="Times New Roman" w:hAnsi="Times New Roman" w:eastAsia="宋体" w:cs="Times New Roman"/>
          <w:kern w:val="0"/>
          <w:sz w:val="24"/>
          <w:szCs w:val="20"/>
        </w:rPr>
        <w:t xml:space="preserve"> </w:t>
      </w:r>
      <w:r>
        <w:rPr>
          <w:rFonts w:ascii="Times New Roman" w:hAnsi="Times New Roman" w:eastAsia="宋体" w:cs="Times New Roman"/>
          <w:kern w:val="0"/>
          <w:sz w:val="24"/>
          <w:szCs w:val="20"/>
        </w:rPr>
        <w:t>(20)</w:t>
      </w:r>
    </w:p>
    <w:p w14:paraId="1D76F054">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i/>
          <w:iCs/>
          <w:kern w:val="0"/>
          <w:sz w:val="24"/>
          <w:szCs w:val="20"/>
        </w:rPr>
        <w:t>U</w:t>
      </w:r>
      <w:r>
        <w:rPr>
          <w:rFonts w:ascii="Times New Roman" w:hAnsi="Times New Roman" w:eastAsia="宋体" w:cs="Times New Roman"/>
          <w:i/>
          <w:iCs/>
          <w:kern w:val="0"/>
          <w:sz w:val="24"/>
          <w:szCs w:val="20"/>
          <w:vertAlign w:val="superscript"/>
        </w:rPr>
        <w:t>mn</w:t>
      </w:r>
      <w:r>
        <w:rPr>
          <w:rFonts w:ascii="Times New Roman" w:hAnsi="Times New Roman" w:eastAsia="宋体" w:cs="Times New Roman"/>
          <w:kern w:val="0"/>
          <w:sz w:val="24"/>
          <w:szCs w:val="20"/>
        </w:rPr>
        <w:t xml:space="preserve"> term is Coulomb interactions between DPs (DP-DP), modulated by </w:t>
      </w:r>
      <w:r>
        <w:rPr>
          <w:rFonts w:ascii="Times New Roman" w:hAnsi="Times New Roman" w:eastAsia="宋体" w:cs="Times New Roman"/>
          <w:i/>
          <w:iCs/>
          <w:kern w:val="0"/>
          <w:sz w:val="24"/>
          <w:szCs w:val="20"/>
        </w:rPr>
        <w:t>S</w:t>
      </w:r>
      <w:r>
        <w:rPr>
          <w:rFonts w:ascii="Times New Roman" w:hAnsi="Times New Roman" w:eastAsia="宋体" w:cs="Times New Roman"/>
          <w:kern w:val="0"/>
          <w:sz w:val="24"/>
          <w:szCs w:val="20"/>
        </w:rPr>
        <w:t>(</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rPr>
        <w:t>):</w:t>
      </w:r>
    </w:p>
    <w:p w14:paraId="435A296A">
      <w:pPr>
        <w:pStyle w:val="39"/>
        <w:ind w:firstLine="0"/>
        <w:jc w:val="right"/>
        <w:rPr>
          <w:rFonts w:ascii="Times New Roman" w:hAnsi="Times New Roman"/>
          <w:lang w:eastAsia="zh-CN"/>
        </w:rPr>
      </w:pPr>
      <w:r>
        <w:rPr>
          <w:rFonts w:ascii="Times New Roman" w:hAnsi="Times New Roman"/>
          <w:position w:val="-110"/>
          <w:lang w:eastAsia="zh-CN"/>
        </w:rPr>
        <w:object>
          <v:shape id="_x0000_i1045" o:spt="75" type="#_x0000_t75" style="height:105.45pt;width:171.45pt;" o:ole="t" filled="f" o:preferrelative="t" stroked="f" coordsize="21600,21600">
            <v:path/>
            <v:fill on="f" focussize="0,0"/>
            <v:stroke on="f" joinstyle="miter"/>
            <v:imagedata r:id="rId47" o:title=""/>
            <o:lock v:ext="edit" aspectratio="t"/>
            <w10:wrap type="none"/>
            <w10:anchorlock/>
          </v:shape>
          <o:OLEObject Type="Embed" ProgID="Equation.DSMT4" ShapeID="_x0000_i1045" DrawAspect="Content" ObjectID="_1468075745" r:id="rId46">
            <o:LockedField>false</o:LockedField>
          </o:OLEObject>
        </w:object>
      </w:r>
      <w:r>
        <w:rPr>
          <w:rFonts w:ascii="Times New Roman" w:hAnsi="Times New Roman"/>
          <w:lang w:eastAsia="zh-CN"/>
        </w:rPr>
        <w:t xml:space="preserve">                   (21)</w:t>
      </w:r>
    </w:p>
    <w:p w14:paraId="381AFC4E">
      <w:pPr>
        <w:widowControl/>
        <w:spacing w:line="480" w:lineRule="auto"/>
        <w:ind w:firstLine="480" w:firstLineChars="200"/>
        <w:rPr>
          <w:rFonts w:ascii="Times New Roman" w:hAnsi="Times New Roman" w:eastAsia="宋体" w:cs="Times New Roman"/>
          <w:i/>
          <w:iCs/>
          <w:kern w:val="0"/>
          <w:sz w:val="24"/>
          <w:szCs w:val="20"/>
        </w:rPr>
      </w:pPr>
      <w:r>
        <w:rPr>
          <w:rFonts w:ascii="Times New Roman" w:hAnsi="Times New Roman" w:eastAsia="宋体" w:cs="Times New Roman"/>
          <w:i/>
          <w:iCs/>
          <w:kern w:val="0"/>
          <w:sz w:val="24"/>
          <w:szCs w:val="20"/>
        </w:rPr>
        <w:t>U</w:t>
      </w:r>
      <w:r>
        <w:rPr>
          <w:rFonts w:ascii="Times New Roman" w:hAnsi="Times New Roman" w:eastAsia="宋体" w:cs="Times New Roman"/>
          <w:i/>
          <w:iCs/>
          <w:kern w:val="0"/>
          <w:sz w:val="24"/>
          <w:szCs w:val="20"/>
          <w:vertAlign w:val="superscript"/>
        </w:rPr>
        <w:t>as</w:t>
      </w:r>
      <w:r>
        <w:rPr>
          <w:rFonts w:ascii="Times New Roman" w:hAnsi="Times New Roman" w:eastAsia="宋体" w:cs="Times New Roman"/>
          <w:kern w:val="0"/>
          <w:sz w:val="24"/>
          <w:szCs w:val="20"/>
        </w:rPr>
        <w:t xml:space="preserve"> term represents LJ and Coulomb interactions between H atoms and DCs (H-DC), including </w:t>
      </w:r>
      <w:r>
        <w:rPr>
          <w:rFonts w:ascii="Times New Roman" w:hAnsi="Times New Roman" w:eastAsia="宋体" w:cs="Times New Roman"/>
          <w:i/>
          <w:iCs/>
          <w:kern w:val="0"/>
          <w:sz w:val="24"/>
          <w:szCs w:val="20"/>
        </w:rPr>
        <w:t>K</w:t>
      </w:r>
      <w:r>
        <w:rPr>
          <w:rFonts w:ascii="Times New Roman" w:hAnsi="Times New Roman" w:eastAsia="宋体" w:cs="Times New Roman"/>
          <w:kern w:val="0"/>
          <w:sz w:val="24"/>
          <w:szCs w:val="20"/>
          <w:vertAlign w:val="subscript"/>
        </w:rPr>
        <w:t>LJ</w:t>
      </w:r>
      <w:r>
        <w:rPr>
          <w:rFonts w:ascii="Times New Roman" w:hAnsi="Times New Roman" w:eastAsia="宋体" w:cs="Times New Roman"/>
          <w:kern w:val="0"/>
          <w:sz w:val="24"/>
          <w:szCs w:val="20"/>
        </w:rPr>
        <w:t>:</w:t>
      </w:r>
    </w:p>
    <w:p w14:paraId="7E4E10C7">
      <w:pPr>
        <w:widowControl/>
        <w:spacing w:line="480" w:lineRule="auto"/>
        <w:jc w:val="right"/>
        <w:rPr>
          <w:rFonts w:ascii="Times New Roman" w:hAnsi="Times New Roman" w:eastAsia="宋体" w:cs="Times New Roman"/>
          <w:kern w:val="0"/>
          <w:sz w:val="24"/>
          <w:szCs w:val="20"/>
        </w:rPr>
      </w:pPr>
      <w:r>
        <w:rPr>
          <w:rFonts w:ascii="Times New Roman" w:hAnsi="Times New Roman" w:eastAsia="宋体" w:cs="Times New Roman"/>
          <w:kern w:val="0"/>
          <w:position w:val="-86"/>
          <w:sz w:val="24"/>
          <w:szCs w:val="20"/>
        </w:rPr>
        <w:object>
          <v:shape id="_x0000_i1046" o:spt="75" type="#_x0000_t75" style="height:84pt;width:263.05pt;" o:ole="t" filled="f" o:preferrelative="t" stroked="f" coordsize="21600,21600">
            <v:path/>
            <v:fill on="f" focussize="0,0"/>
            <v:stroke on="f" joinstyle="miter"/>
            <v:imagedata r:id="rId49" o:title=""/>
            <o:lock v:ext="edit" aspectratio="t"/>
            <w10:wrap type="none"/>
            <w10:anchorlock/>
          </v:shape>
          <o:OLEObject Type="Embed" ProgID="Equation.DSMT4" ShapeID="_x0000_i1046" DrawAspect="Content" ObjectID="_1468075746" r:id="rId48">
            <o:LockedField>false</o:LockedField>
          </o:OLEObject>
        </w:object>
      </w:r>
      <w:r>
        <w:rPr>
          <w:rFonts w:ascii="Times New Roman" w:hAnsi="Times New Roman" w:eastAsia="宋体" w:cs="Times New Roman"/>
          <w:kern w:val="0"/>
          <w:sz w:val="24"/>
          <w:szCs w:val="20"/>
        </w:rPr>
        <w:t xml:space="preserve">            (22)</w:t>
      </w:r>
    </w:p>
    <w:p w14:paraId="13E69756">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i/>
          <w:iCs/>
          <w:kern w:val="0"/>
          <w:sz w:val="24"/>
          <w:szCs w:val="20"/>
        </w:rPr>
        <w:t>U</w:t>
      </w:r>
      <w:r>
        <w:rPr>
          <w:rFonts w:ascii="Times New Roman" w:hAnsi="Times New Roman" w:eastAsia="宋体" w:cs="Times New Roman"/>
          <w:i/>
          <w:iCs/>
          <w:kern w:val="0"/>
          <w:sz w:val="24"/>
          <w:szCs w:val="20"/>
          <w:vertAlign w:val="superscript"/>
        </w:rPr>
        <w:t>an</w:t>
      </w:r>
      <w:r>
        <w:rPr>
          <w:rFonts w:ascii="Times New Roman" w:hAnsi="Times New Roman" w:eastAsia="宋体" w:cs="Times New Roman"/>
          <w:kern w:val="0"/>
          <w:sz w:val="24"/>
          <w:szCs w:val="20"/>
        </w:rPr>
        <w:t xml:space="preserve"> term is electrostatic interactions between H atoms and DPs (H-DP):</w:t>
      </w:r>
    </w:p>
    <w:p w14:paraId="7654CD27">
      <w:pPr>
        <w:pStyle w:val="39"/>
        <w:ind w:firstLine="0"/>
        <w:jc w:val="right"/>
        <w:rPr>
          <w:rFonts w:ascii="Times New Roman" w:hAnsi="Times New Roman"/>
          <w:lang w:eastAsia="zh-CN"/>
        </w:rPr>
      </w:pPr>
      <w:r>
        <w:rPr>
          <w:rFonts w:ascii="Times New Roman" w:hAnsi="Times New Roman"/>
          <w:position w:val="-110"/>
          <w:lang w:eastAsia="zh-CN"/>
        </w:rPr>
        <w:object>
          <v:shape id="_x0000_i1047" o:spt="75" type="#_x0000_t75" style="height:105.45pt;width:113.35pt;" o:ole="t" filled="f" o:preferrelative="t" stroked="f" coordsize="21600,21600">
            <v:path/>
            <v:fill on="f" focussize="0,0"/>
            <v:stroke on="f" joinstyle="miter"/>
            <v:imagedata r:id="rId51" o:title=""/>
            <o:lock v:ext="edit" aspectratio="t"/>
            <w10:wrap type="none"/>
            <w10:anchorlock/>
          </v:shape>
          <o:OLEObject Type="Embed" ProgID="Equation.DSMT4" ShapeID="_x0000_i1047" DrawAspect="Content" ObjectID="_1468075747" r:id="rId50">
            <o:LockedField>false</o:LockedField>
          </o:OLEObject>
        </w:object>
      </w:r>
      <w:r>
        <w:rPr>
          <w:rFonts w:ascii="Times New Roman" w:hAnsi="Times New Roman"/>
          <w:lang w:eastAsia="zh-CN"/>
        </w:rPr>
        <w:t xml:space="preserve">                        (23)</w:t>
      </w:r>
    </w:p>
    <w:p w14:paraId="44AD039F">
      <w:pPr>
        <w:widowControl/>
        <w:spacing w:line="480" w:lineRule="auto"/>
        <w:ind w:firstLine="480" w:firstLineChars="200"/>
        <w:rPr>
          <w:rFonts w:ascii="Times New Roman" w:hAnsi="Times New Roman" w:eastAsia="宋体" w:cs="Times New Roman"/>
          <w:kern w:val="0"/>
          <w:sz w:val="24"/>
          <w:szCs w:val="20"/>
        </w:rPr>
      </w:pPr>
      <w:r>
        <w:rPr>
          <w:rFonts w:ascii="Times New Roman" w:hAnsi="Times New Roman" w:eastAsia="宋体" w:cs="Times New Roman"/>
          <w:i/>
          <w:iCs/>
          <w:kern w:val="0"/>
          <w:sz w:val="24"/>
          <w:szCs w:val="20"/>
        </w:rPr>
        <w:t>U</w:t>
      </w:r>
      <w:r>
        <w:rPr>
          <w:rFonts w:ascii="Times New Roman" w:hAnsi="Times New Roman" w:eastAsia="宋体" w:cs="Times New Roman"/>
          <w:i/>
          <w:iCs/>
          <w:kern w:val="0"/>
          <w:sz w:val="24"/>
          <w:szCs w:val="20"/>
          <w:vertAlign w:val="superscript"/>
        </w:rPr>
        <w:t>kn</w:t>
      </w:r>
      <w:r>
        <w:rPr>
          <w:rFonts w:ascii="Times New Roman" w:hAnsi="Times New Roman" w:eastAsia="宋体" w:cs="Times New Roman"/>
          <w:kern w:val="0"/>
          <w:sz w:val="24"/>
          <w:szCs w:val="20"/>
        </w:rPr>
        <w:t xml:space="preserve"> term is electrostatic interactions between DCs and DPs (DC-DP), modulated by both </w:t>
      </w:r>
      <w:r>
        <w:rPr>
          <w:rFonts w:ascii="Times New Roman" w:hAnsi="Times New Roman" w:eastAsia="宋体" w:cs="Times New Roman"/>
          <w:i/>
          <w:iCs/>
          <w:kern w:val="0"/>
          <w:sz w:val="24"/>
          <w:szCs w:val="20"/>
        </w:rPr>
        <w:t>S</w:t>
      </w:r>
      <w:r>
        <w:rPr>
          <w:rFonts w:ascii="Times New Roman" w:hAnsi="Times New Roman" w:eastAsia="宋体" w:cs="Times New Roman"/>
          <w:kern w:val="0"/>
          <w:sz w:val="24"/>
          <w:szCs w:val="20"/>
        </w:rPr>
        <w:t>(</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rPr>
        <w:t xml:space="preserve">) and </w:t>
      </w:r>
      <w:r>
        <w:rPr>
          <w:rFonts w:ascii="Times New Roman" w:hAnsi="Times New Roman" w:eastAsia="宋体" w:cs="Times New Roman"/>
          <w:i/>
          <w:iCs/>
          <w:kern w:val="0"/>
          <w:sz w:val="24"/>
          <w:szCs w:val="20"/>
        </w:rPr>
        <w:t>f</w:t>
      </w:r>
      <w:r>
        <w:rPr>
          <w:rFonts w:ascii="Times New Roman" w:hAnsi="Times New Roman" w:eastAsia="宋体" w:cs="Times New Roman"/>
          <w:kern w:val="0"/>
          <w:sz w:val="24"/>
          <w:szCs w:val="20"/>
          <w:vertAlign w:val="subscript"/>
        </w:rPr>
        <w:t>TT</w:t>
      </w:r>
      <w:r>
        <w:rPr>
          <w:rFonts w:ascii="Times New Roman" w:hAnsi="Times New Roman" w:eastAsia="宋体" w:cs="Times New Roman"/>
          <w:kern w:val="0"/>
          <w:sz w:val="24"/>
          <w:szCs w:val="20"/>
        </w:rPr>
        <w:t>(</w:t>
      </w:r>
      <w:r>
        <w:rPr>
          <w:rFonts w:ascii="Times New Roman" w:hAnsi="Times New Roman" w:eastAsia="宋体" w:cs="Times New Roman"/>
          <w:i/>
          <w:iCs/>
          <w:kern w:val="0"/>
          <w:sz w:val="24"/>
          <w:szCs w:val="20"/>
        </w:rPr>
        <w:t>r</w:t>
      </w:r>
      <w:r>
        <w:rPr>
          <w:rFonts w:ascii="Times New Roman" w:hAnsi="Times New Roman" w:eastAsia="宋体" w:cs="Times New Roman"/>
          <w:kern w:val="0"/>
          <w:sz w:val="24"/>
          <w:szCs w:val="20"/>
        </w:rPr>
        <w:t>):</w:t>
      </w:r>
    </w:p>
    <w:p w14:paraId="7A06ECC6">
      <w:pPr>
        <w:pStyle w:val="39"/>
        <w:ind w:firstLine="0"/>
        <w:jc w:val="right"/>
        <w:rPr>
          <w:rFonts w:ascii="Times New Roman" w:hAnsi="Times New Roman"/>
          <w:lang w:eastAsia="zh-CN"/>
        </w:rPr>
      </w:pPr>
      <w:r>
        <w:rPr>
          <w:rFonts w:ascii="Times New Roman" w:hAnsi="Times New Roman"/>
          <w:position w:val="-110"/>
          <w:lang w:eastAsia="zh-CN"/>
        </w:rPr>
        <w:object>
          <v:shape id="_x0000_i1048" o:spt="75" type="#_x0000_t75" style="height:105.45pt;width:261.45pt;" o:ole="t" filled="f" o:preferrelative="t" stroked="f" coordsize="21600,21600">
            <v:path/>
            <v:fill on="f" focussize="0,0"/>
            <v:stroke on="f" joinstyle="miter"/>
            <v:imagedata r:id="rId53" o:title=""/>
            <o:lock v:ext="edit" aspectratio="t"/>
            <w10:wrap type="none"/>
            <w10:anchorlock/>
          </v:shape>
          <o:OLEObject Type="Embed" ProgID="Equation.DSMT4" ShapeID="_x0000_i1048" DrawAspect="Content" ObjectID="_1468075748" r:id="rId52">
            <o:LockedField>false</o:LockedField>
          </o:OLEObject>
        </w:object>
      </w:r>
      <w:r>
        <w:rPr>
          <w:rFonts w:ascii="Times New Roman" w:hAnsi="Times New Roman"/>
          <w:lang w:eastAsia="zh-CN"/>
        </w:rPr>
        <w:t xml:space="preserve">          (24)</w:t>
      </w:r>
    </w:p>
    <w:p w14:paraId="57495BF3">
      <w:pPr>
        <w:widowControl/>
        <w:jc w:val="left"/>
        <w:rPr>
          <w:rFonts w:ascii="Times New Roman" w:hAnsi="Times New Roman" w:eastAsia="宋体" w:cs="Times New Roman"/>
          <w:sz w:val="24"/>
          <w:szCs w:val="24"/>
        </w:rPr>
      </w:pPr>
    </w:p>
    <w:p w14:paraId="64CF2C21">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3E1644DC">
      <w:pPr>
        <w:pStyle w:val="2"/>
        <w:spacing w:after="156"/>
        <w:rPr>
          <w:rFonts w:cs="Times New Roman" w:eastAsiaTheme="minorEastAsia"/>
        </w:rPr>
      </w:pPr>
      <w:bookmarkStart w:id="5" w:name="_Toc221108127"/>
      <w:r>
        <w:rPr>
          <w:rFonts w:cs="Times New Roman" w:eastAsiaTheme="minorEastAsia"/>
        </w:rPr>
        <w:t xml:space="preserve">Supplementary Note 3 | </w:t>
      </w:r>
      <w:r>
        <w:rPr>
          <w:rFonts w:cs="Times New Roman"/>
        </w:rPr>
        <w:t xml:space="preserve">Compositions of </w:t>
      </w:r>
      <w:r>
        <w:rPr>
          <w:rFonts w:cs="Times New Roman" w:eastAsiaTheme="minorEastAsia"/>
        </w:rPr>
        <w:t>Simulated</w:t>
      </w:r>
      <w:r>
        <w:rPr>
          <w:rFonts w:cs="Times New Roman"/>
        </w:rPr>
        <w:t xml:space="preserve"> Systems</w:t>
      </w:r>
      <w:bookmarkEnd w:id="5"/>
    </w:p>
    <w:p w14:paraId="0B835371">
      <w:pPr>
        <w:widowControl/>
        <w:adjustRightInd w:val="0"/>
        <w:snapToGrid w:val="0"/>
        <w:spacing w:after="156" w:afterLines="50" w:line="360" w:lineRule="auto"/>
        <w:rPr>
          <w:rFonts w:ascii="Times New Roman" w:hAnsi="Times New Roman" w:cs="Times New Roman"/>
          <w:sz w:val="24"/>
          <w:szCs w:val="24"/>
        </w:rPr>
      </w:pPr>
      <w:bookmarkStart w:id="6" w:name="_Toc221108128"/>
      <w:r>
        <w:rPr>
          <w:rStyle w:val="27"/>
          <w:rFonts w:cs="Times New Roman"/>
        </w:rPr>
        <w:t>Supplementary Table 1 | Compositions of LiFSI:DME:TFEO ether-based systems.</w:t>
      </w:r>
      <w:bookmarkEnd w:id="6"/>
      <w:r>
        <w:rPr>
          <w:rStyle w:val="27"/>
          <w:rFonts w:cs="Times New Roman"/>
        </w:rPr>
        <w:t xml:space="preserve"> </w:t>
      </w:r>
      <w:r>
        <w:rPr>
          <w:rFonts w:ascii="Times New Roman" w:hAnsi="Times New Roman" w:cs="Times New Roman"/>
          <w:sz w:val="24"/>
          <w:szCs w:val="24"/>
        </w:rPr>
        <w:t>Molar ratios and numbers of molecules or formula units (</w:t>
      </w:r>
      <w:r>
        <w:rPr>
          <w:rFonts w:ascii="Times New Roman" w:hAnsi="Times New Roman" w:cs="Times New Roman"/>
          <w:i/>
          <w:iCs/>
          <w:sz w:val="24"/>
          <w:szCs w:val="24"/>
        </w:rPr>
        <w:t>N</w:t>
      </w:r>
      <w:r>
        <w:rPr>
          <w:rFonts w:ascii="Times New Roman" w:hAnsi="Times New Roman" w:cs="Times New Roman"/>
          <w:sz w:val="24"/>
          <w:szCs w:val="24"/>
        </w:rPr>
        <w:t>) for LiFSI:DME:TFEO electrolytes, neat solvent (DME), and neat diluent (TFEO).</w:t>
      </w:r>
    </w:p>
    <w:tbl>
      <w:tblPr>
        <w:tblStyle w:val="5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883"/>
        <w:gridCol w:w="1996"/>
        <w:gridCol w:w="1058"/>
        <w:gridCol w:w="1023"/>
        <w:gridCol w:w="1108"/>
        <w:gridCol w:w="2796"/>
      </w:tblGrid>
      <w:tr w14:paraId="51EDCE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tcBorders>
              <w:bottom w:val="single" w:color="7E7E7E" w:themeColor="text1" w:themeTint="80" w:sz="4" w:space="0"/>
              <w:insideH w:val="single" w:sz="4" w:space="0"/>
            </w:tcBorders>
            <w:vAlign w:val="center"/>
          </w:tcPr>
          <w:p w14:paraId="2FFDC41F">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System</w:t>
            </w:r>
          </w:p>
        </w:tc>
        <w:tc>
          <w:tcPr>
            <w:tcW w:w="1126" w:type="pct"/>
            <w:tcBorders>
              <w:bottom w:val="single" w:color="7E7E7E" w:themeColor="text1" w:themeTint="80" w:sz="4" w:space="0"/>
              <w:insideH w:val="single" w:sz="4" w:space="0"/>
            </w:tcBorders>
            <w:vAlign w:val="center"/>
          </w:tcPr>
          <w:p w14:paraId="3559A850">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LiFSI:DME:TFEO</w:t>
            </w:r>
          </w:p>
        </w:tc>
        <w:tc>
          <w:tcPr>
            <w:tcW w:w="597" w:type="pct"/>
            <w:tcBorders>
              <w:bottom w:val="single" w:color="7E7E7E" w:themeColor="text1" w:themeTint="80" w:sz="4" w:space="0"/>
              <w:insideH w:val="single" w:sz="4" w:space="0"/>
            </w:tcBorders>
            <w:vAlign w:val="center"/>
          </w:tcPr>
          <w:p w14:paraId="4B9AD0BD">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0D46CE09">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(LiFSI)</w:t>
            </w:r>
          </w:p>
        </w:tc>
        <w:tc>
          <w:tcPr>
            <w:tcW w:w="577" w:type="pct"/>
            <w:tcBorders>
              <w:bottom w:val="single" w:color="7E7E7E" w:themeColor="text1" w:themeTint="80" w:sz="4" w:space="0"/>
              <w:insideH w:val="single" w:sz="4" w:space="0"/>
            </w:tcBorders>
            <w:vAlign w:val="center"/>
          </w:tcPr>
          <w:p w14:paraId="705AEDE8">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6B65D7C9">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(DME)</w:t>
            </w:r>
          </w:p>
        </w:tc>
        <w:tc>
          <w:tcPr>
            <w:tcW w:w="625" w:type="pct"/>
            <w:tcBorders>
              <w:bottom w:val="single" w:color="7E7E7E" w:themeColor="text1" w:themeTint="80" w:sz="4" w:space="0"/>
              <w:insideH w:val="single" w:sz="4" w:space="0"/>
            </w:tcBorders>
            <w:vAlign w:val="center"/>
          </w:tcPr>
          <w:p w14:paraId="3D14399F">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4BF36F7D">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(TFEO)</w:t>
            </w:r>
          </w:p>
        </w:tc>
        <w:tc>
          <w:tcPr>
            <w:tcW w:w="1577" w:type="pct"/>
            <w:tcBorders>
              <w:bottom w:val="single" w:color="7E7E7E" w:themeColor="text1" w:themeTint="80" w:sz="4" w:space="0"/>
              <w:insideH w:val="single" w:sz="4" w:space="0"/>
            </w:tcBorders>
            <w:vAlign w:val="center"/>
          </w:tcPr>
          <w:p w14:paraId="5508E95F">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Description</w:t>
            </w:r>
          </w:p>
        </w:tc>
      </w:tr>
      <w:tr w14:paraId="584C4BA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2B2A5B7C">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1</w:t>
            </w:r>
          </w:p>
        </w:tc>
        <w:tc>
          <w:tcPr>
            <w:tcW w:w="1126" w:type="pct"/>
            <w:vAlign w:val="center"/>
          </w:tcPr>
          <w:p w14:paraId="130477E5">
            <w:pPr>
              <w:widowControl/>
              <w:adjustRightInd w:val="0"/>
              <w:snapToGrid w:val="0"/>
              <w:jc w:val="center"/>
              <w:rPr>
                <w:rFonts w:ascii="Times New Roman" w:hAnsi="Times New Roman" w:cs="Times New Roman"/>
                <w:szCs w:val="21"/>
              </w:rPr>
            </w:pPr>
            <w:r>
              <w:rPr>
                <w:rFonts w:ascii="Times New Roman" w:hAnsi="Times New Roman" w:cs="Times New Roman"/>
                <w:szCs w:val="21"/>
              </w:rPr>
              <w:t>1:9:0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{"citationID":"nkbHniRO","properties":{"formattedCitation":"\\super 12,13\\nosupersub{}","plainCitation":"12,13","noteIndex":0},"citationItems":[{"id":101,"uris":["http://zotero.org/users/17156447/items/LI2VYUQ7"],"itemData":{"id":101,"type":"article-journal","container-title":"Nature Materials","DOI":"10.1038/s41563-023-01700-3","ISSN":"1476-1122, 1476-4660","issue":"12","journalAbbreviation":"Nat. Mater.","language":"en","note":"162 citations (Crossref/DOI) [2025-05-22]\n160 citations (Crossref/DOI) [2025-05-16]\n160 citations (Crossref/DOI) [2025-05-16]\n160 citations (Crossref/DOI) [2025-05-16]\nJCR分区: Q1\n中科院分区升级版: 材料科学1区\n影响因子: 37.2\n5年影响因子: 44.0\nEI: 是\n南农高质量: A","page":"1531-1539","source":"DOI.org (Crossref)","title":"Localized high-concentration electrolytes get more localized through micelle-like structures","volume":"22","author":[{"family":"Efaw","given":"Corey M."},{"family":"Wu","given":"Qisheng"},{"family":"Gao","given":"Ningshengjie"},{"family":"Zhang","given":"Yugang"},{"family":"Zhu","given":"Haoyu"},{"family":"Gering","given":"Kevin"},{"family":"Hurley","given":"Michael F."},{"family":"Xiong","given":"Hui"},{"family":"Hu","given":"Enyuan"},{"family":"Cao","given":"Xia"},{"family":"Xu","given":"Wu"},{"family":"Zhang","given":"Ji-Guang"},{"family":"Dufek","given":"Eric J."},{"family":"Xiao","given":"Jie"},{"family":"Yang","given":"Xiao-Qing"},{"family":"Liu","given":"Jun"},{"family":"Qi","given":"Yue"},{"family":"Li","given":"Bin"}],"issued":{"date-parts":[["2023",12]]}}},{"id":218,"uris":["http://zotero.org/users/17156447/items/Q3TP4JZN"],"itemData":{"id":218,"type":"article-journal","abstract":"Abstract\n            \n              Lithium metal is an ideal battery anode. However, dendrite growth and limited Coulombic efficiency during cycling have prevented its practical application in rechargeable batteries. Herein, we report that the use of highly concentrated electrolytes composed of ether solvents and the lithium bis(fluorosulfonyl)imide salt enables the high-rate cycling of a lithium metal anode at high Coulombic efficiency (up to 99.1%) without dendrite growth. With 4 M lithium bis(fluorosulfonyl)imide in 1,2-dimethoxyethane as the electrolyte, a lithium|lithium cell can be cycled at 10 mA cm\n              −2\n              for more than 6,000 cycles, and a copper|lithium cell can be cycled at 4 mA cm\n              −2\n              for more than 1,000 cycles with an average Coulombic efficiency of 98.4%. These excellent performances can be attributed to the increased solvent coordination and increased availability of lithium ion concentration in the electrolyte. Further development of this electrolyte may enable practical applications for lithium metal anode in rechargeable batteries.","container-title":"Nature Communications","DOI":"10.1038/ncomms7362","ISSN":"2041-1723","issue":"1","journalAbbreviation":"Nat. Commun.","language":"en","note":"2204 citations (Crossref/DOI) [2025-05-22]\n2201 citations (Crossref/DOI) [2025-05-16]\nTLDR: It is reported that the use of highly concentrated electrolytes composed of ether solvents and the lithium bis(fluorosulfonyl)imide salt enables the high-rate cycling of a lithium metal anode at high Coulombic efficiency (up to 99.1%) without dendrite growth.\nJCR分区: Q1\n中科院分区升级版: 综合性期刊1区\n影响因子: 14.7\n5年影响因子: 16.1\n南农高质量: A","page":"6362","source":"DOI.org (Crossref)","title":"High rate and stable cycling of lithium metal anode","volume":"6","author":[{"family":"Qian","given":"Jiangfeng"},{"family":"Henderson","given":"Wesley A."},{"family":"Xu","given":"Wu"},{"family":"Bhattacharya","given":"Priyanka"},{"family":"Engelhard","given":"Mark"},{"family":"Borodin","given":"Oleg"},{"family":"Zhang","given":"Ji-Guang"}],"issued":{"date-parts":[["2015",2,20]]}}}],"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12,13</w:t>
            </w:r>
            <w:r>
              <w:rPr>
                <w:rFonts w:ascii="Times New Roman" w:hAnsi="Times New Roman" w:cs="Times New Roman"/>
                <w:szCs w:val="21"/>
              </w:rPr>
              <w:fldChar w:fldCharType="end"/>
            </w:r>
          </w:p>
        </w:tc>
        <w:tc>
          <w:tcPr>
            <w:tcW w:w="597" w:type="pct"/>
            <w:vAlign w:val="center"/>
          </w:tcPr>
          <w:p w14:paraId="2D78497C">
            <w:pPr>
              <w:widowControl/>
              <w:adjustRightInd w:val="0"/>
              <w:snapToGrid w:val="0"/>
              <w:jc w:val="center"/>
              <w:rPr>
                <w:rFonts w:ascii="Times New Roman" w:hAnsi="Times New Roman" w:cs="Times New Roman"/>
                <w:szCs w:val="21"/>
              </w:rPr>
            </w:pPr>
            <w:r>
              <w:rPr>
                <w:rFonts w:ascii="Times New Roman" w:hAnsi="Times New Roman" w:cs="Times New Roman"/>
                <w:szCs w:val="21"/>
              </w:rPr>
              <w:t>40</w:t>
            </w:r>
          </w:p>
        </w:tc>
        <w:tc>
          <w:tcPr>
            <w:tcW w:w="577" w:type="pct"/>
            <w:vAlign w:val="center"/>
          </w:tcPr>
          <w:p w14:paraId="7AA7E3D9">
            <w:pPr>
              <w:widowControl/>
              <w:adjustRightInd w:val="0"/>
              <w:snapToGrid w:val="0"/>
              <w:jc w:val="center"/>
              <w:rPr>
                <w:rFonts w:ascii="Times New Roman" w:hAnsi="Times New Roman" w:cs="Times New Roman"/>
                <w:szCs w:val="21"/>
              </w:rPr>
            </w:pPr>
            <w:r>
              <w:rPr>
                <w:rFonts w:ascii="Times New Roman" w:hAnsi="Times New Roman" w:cs="Times New Roman"/>
                <w:szCs w:val="21"/>
              </w:rPr>
              <w:t>360</w:t>
            </w:r>
          </w:p>
        </w:tc>
        <w:tc>
          <w:tcPr>
            <w:tcW w:w="625" w:type="pct"/>
            <w:vAlign w:val="center"/>
          </w:tcPr>
          <w:p w14:paraId="15DCF8D1">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1577" w:type="pct"/>
            <w:vAlign w:val="center"/>
          </w:tcPr>
          <w:p w14:paraId="59421C80">
            <w:pPr>
              <w:widowControl/>
              <w:adjustRightInd w:val="0"/>
              <w:snapToGrid w:val="0"/>
              <w:jc w:val="center"/>
              <w:rPr>
                <w:rFonts w:ascii="Times New Roman" w:hAnsi="Times New Roman" w:cs="Times New Roman"/>
                <w:szCs w:val="21"/>
              </w:rPr>
            </w:pPr>
            <w:r>
              <w:rPr>
                <w:rFonts w:ascii="Times New Roman" w:hAnsi="Times New Roman" w:cs="Times New Roman"/>
                <w:szCs w:val="21"/>
              </w:rPr>
              <w:t>Low-concentration electrolyte (LCE)</w:t>
            </w:r>
          </w:p>
        </w:tc>
      </w:tr>
      <w:tr w14:paraId="5B6692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01FEB710">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2</w:t>
            </w:r>
          </w:p>
        </w:tc>
        <w:tc>
          <w:tcPr>
            <w:tcW w:w="1126" w:type="pct"/>
            <w:vAlign w:val="center"/>
          </w:tcPr>
          <w:p w14:paraId="23C1842E">
            <w:pPr>
              <w:widowControl/>
              <w:adjustRightInd w:val="0"/>
              <w:snapToGrid w:val="0"/>
              <w:jc w:val="center"/>
              <w:rPr>
                <w:rFonts w:ascii="Times New Roman" w:hAnsi="Times New Roman" w:cs="Times New Roman"/>
                <w:szCs w:val="21"/>
              </w:rPr>
            </w:pPr>
            <w:r>
              <w:rPr>
                <w:rFonts w:ascii="Times New Roman" w:hAnsi="Times New Roman" w:cs="Times New Roman"/>
                <w:szCs w:val="21"/>
              </w:rPr>
              <w:t>1:1.2:0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{"citationID":"DYKC7fbZ","properties":{"formattedCitation":"\\super 12\\nosupersub{}","plainCitation":"12","noteIndex":0},"citationItems":[{"id":101,"uris":["http://zotero.org/users/17156447/items/LI2VYUQ7"],"itemData":{"id":101,"type":"article-journal","container-title":"Nature Materials","DOI":"10.1038/s41563-023-01700-3","ISSN":"1476-1122, 1476-4660","issue":"12","journalAbbreviation":"Nat. Mater.","language":"en","note":"162 citations (Crossref/DOI) [2025-05-22]\n160 citations (Crossref/DOI) [2025-05-16]\n160 citations (Crossref/DOI) [2025-05-16]\n160 citations (Crossref/DOI) [2025-05-16]\nJCR分区: Q1\n中科院分区升级版: 材料科学1区\n影响因子: 37.2\n5年影响因子: 44.0\nEI: 是\n南农高质量: A","page":"1531-1539","source":"DOI.org (Crossref)","title":"Localized high-concentration electrolytes get more localized through micelle-like structures","volume":"22","author":[{"family":"Efaw","given":"Corey M."},{"family":"Wu","given":"Qisheng"},{"family":"Gao","given":"Ningshengjie"},{"family":"Zhang","given":"Yugang"},{"family":"Zhu","given":"Haoyu"},{"family":"Gering","given":"Kevin"},{"family":"Hurley","given":"Michael F."},{"family":"Xiong","given":"Hui"},{"family":"Hu","given":"Enyuan"},{"family":"Cao","given":"Xia"},{"family":"Xu","given":"Wu"},{"family":"Zhang","given":"Ji-Guang"},{"family":"Dufek","given":"Eric J."},{"family":"Xiao","given":"Jie"},{"family":"Yang","given":"Xiao-Qing"},{"family":"Liu","given":"Jun"},{"family":"Qi","given":"Yue"},{"family":"Li","given":"Bin"}],"issued":{"date-parts":[["2023",12]]}}}],"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12</w:t>
            </w:r>
            <w:r>
              <w:rPr>
                <w:rFonts w:ascii="Times New Roman" w:hAnsi="Times New Roman" w:cs="Times New Roman"/>
                <w:szCs w:val="21"/>
              </w:rPr>
              <w:fldChar w:fldCharType="end"/>
            </w:r>
          </w:p>
        </w:tc>
        <w:tc>
          <w:tcPr>
            <w:tcW w:w="597" w:type="pct"/>
            <w:vAlign w:val="center"/>
          </w:tcPr>
          <w:p w14:paraId="51F8A85C">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577" w:type="pct"/>
            <w:vAlign w:val="center"/>
          </w:tcPr>
          <w:p w14:paraId="4B5FC57C">
            <w:pPr>
              <w:widowControl/>
              <w:adjustRightInd w:val="0"/>
              <w:snapToGrid w:val="0"/>
              <w:jc w:val="center"/>
              <w:rPr>
                <w:rFonts w:ascii="Times New Roman" w:hAnsi="Times New Roman" w:cs="Times New Roman"/>
                <w:szCs w:val="21"/>
              </w:rPr>
            </w:pPr>
            <w:r>
              <w:rPr>
                <w:rFonts w:ascii="Times New Roman" w:hAnsi="Times New Roman" w:cs="Times New Roman"/>
                <w:szCs w:val="21"/>
              </w:rPr>
              <w:t>240</w:t>
            </w:r>
          </w:p>
        </w:tc>
        <w:tc>
          <w:tcPr>
            <w:tcW w:w="625" w:type="pct"/>
            <w:vAlign w:val="center"/>
          </w:tcPr>
          <w:p w14:paraId="34280DC0">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1577" w:type="pct"/>
            <w:vAlign w:val="center"/>
          </w:tcPr>
          <w:p w14:paraId="7FA44135">
            <w:pPr>
              <w:widowControl/>
              <w:adjustRightInd w:val="0"/>
              <w:snapToGrid w:val="0"/>
              <w:jc w:val="center"/>
              <w:rPr>
                <w:rFonts w:ascii="Times New Roman" w:hAnsi="Times New Roman" w:cs="Times New Roman"/>
                <w:szCs w:val="21"/>
              </w:rPr>
            </w:pPr>
            <w:r>
              <w:rPr>
                <w:rFonts w:ascii="Times New Roman" w:hAnsi="Times New Roman" w:cs="Times New Roman"/>
                <w:szCs w:val="21"/>
              </w:rPr>
              <w:t>High-concentration electrolyte (HCE)</w:t>
            </w:r>
          </w:p>
        </w:tc>
      </w:tr>
      <w:tr w14:paraId="399652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091D88B3">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3</w:t>
            </w:r>
          </w:p>
        </w:tc>
        <w:tc>
          <w:tcPr>
            <w:tcW w:w="1126" w:type="pct"/>
            <w:vAlign w:val="center"/>
          </w:tcPr>
          <w:p w14:paraId="4D11EF07">
            <w:pPr>
              <w:widowControl/>
              <w:adjustRightInd w:val="0"/>
              <w:snapToGrid w:val="0"/>
              <w:jc w:val="center"/>
              <w:rPr>
                <w:rFonts w:ascii="Times New Roman" w:hAnsi="Times New Roman" w:cs="Times New Roman"/>
                <w:szCs w:val="21"/>
              </w:rPr>
            </w:pPr>
            <w:r>
              <w:rPr>
                <w:rFonts w:ascii="Times New Roman" w:hAnsi="Times New Roman" w:cs="Times New Roman"/>
                <w:szCs w:val="21"/>
              </w:rPr>
              <w:t>1:1.4:0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{"citationID":"CRPhabo3","properties":{"formattedCitation":"\\super 12,13\\nosupersub{}","plainCitation":"12,13","noteIndex":0},"citationItems":[{"id":101,"uris":["http://zotero.org/users/17156447/items/LI2VYUQ7"],"itemData":{"id":101,"type":"article-journal","container-title":"Nature Materials","DOI":"10.1038/s41563-023-01700-3","ISSN":"1476-1122, 1476-4660","issue":"12","journalAbbreviation":"Nat. Mater.","language":"en","note":"162 citations (Crossref/DOI) [2025-05-22]\n160 citations (Crossref/DOI) [2025-05-16]\n160 citations (Crossref/DOI) [2025-05-16]\n160 citations (Crossref/DOI) [2025-05-16]\nJCR分区: Q1\n中科院分区升级版: 材料科学1区\n影响因子: 37.2\n5年影响因子: 44.0\nEI: 是\n南农高质量: A","page":"1531-1539","source":"DOI.org (Crossref)","title":"Localized high-concentration electrolytes get more localized through micelle-like structures","volume":"22","author":[{"family":"Efaw","given":"Corey M."},{"family":"Wu","given":"Qisheng"},{"family":"Gao","given":"Ningshengjie"},{"family":"Zhang","given":"Yugang"},{"family":"Zhu","given":"Haoyu"},{"family":"Gering","given":"Kevin"},{"family":"Hurley","given":"Michael F."},{"family":"Xiong","given":"Hui"},{"family":"Hu","given":"Enyuan"},{"family":"Cao","given":"Xia"},{"family":"Xu","given":"Wu"},{"family":"Zhang","given":"Ji-Guang"},{"family":"Dufek","given":"Eric J."},{"family":"Xiao","given":"Jie"},{"family":"Yang","given":"Xiao-Qing"},{"family":"Liu","given":"Jun"},{"family":"Qi","given":"Yue"},{"family":"Li","given":"Bin"}],"issued":{"date-parts":[["2023",12]]}}},{"id":218,"uris":["http://zotero.org/users/17156447/items/Q3TP4JZN"],"itemData":{"id":218,"type":"article-journal","abstract":"Abstract\n            \n              Lithium metal is an ideal battery anode. However, dendrite growth and limited Coulombic efficiency during cycling have prevented its practical application in rechargeable batteries. Herein, we report that the use of highly concentrated electrolytes composed of ether solvents and the lithium bis(fluorosulfonyl)imide salt enables the high-rate cycling of a lithium metal anode at high Coulombic efficiency (up to 99.1%) without dendrite growth. With 4 M lithium bis(fluorosulfonyl)imide in 1,2-dimethoxyethane as the electrolyte, a lithium|lithium cell can be cycled at 10 mA cm\n              −2\n              for more than 6,000 cycles, and a copper|lithium cell can be cycled at 4 mA cm\n              −2\n              for more than 1,000 cycles with an average Coulombic efficiency of 98.4%. These excellent performances can be attributed to the increased solvent coordination and increased availability of lithium ion concentration in the electrolyte. Further development of this electrolyte may enable practical applications for lithium metal anode in rechargeable batteries.","container-title":"Nature Communications","DOI":"10.1038/ncomms7362","ISSN":"2041-1723","issue":"1","journalAbbreviation":"Nat. Commun.","language":"en","note":"2204 citations (Crossref/DOI) [2025-05-22]\n2201 citations (Crossref/DOI) [2025-05-16]\nTLDR: It is reported that the use of highly concentrated electrolytes composed of ether solvents and the lithium bis(fluorosulfonyl)imide salt enables the high-rate cycling of a lithium metal anode at high Coulombic efficiency (up to 99.1%) without dendrite growth.\nJCR分区: Q1\n中科院分区升级版: 综合性期刊1区\n影响因子: 14.7\n5年影响因子: 16.1\n南农高质量: A","page":"6362","source":"DOI.org (Crossref)","title":"High rate and stable cycling of lithium metal anode","volume":"6","author":[{"family":"Qian","given":"Jiangfeng"},{"family":"Henderson","given":"Wesley A."},{"family":"Xu","given":"Wu"},{"family":"Bhattacharya","given":"Priyanka"},{"family":"Engelhard","given":"Mark"},{"family":"Borodin","given":"Oleg"},{"family":"Zhang","given":"Ji-Guang"}],"issued":{"date-parts":[["2015",2,20]]}}}],"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12,13</w:t>
            </w:r>
            <w:r>
              <w:rPr>
                <w:rFonts w:ascii="Times New Roman" w:hAnsi="Times New Roman" w:cs="Times New Roman"/>
                <w:szCs w:val="21"/>
              </w:rPr>
              <w:fldChar w:fldCharType="end"/>
            </w:r>
          </w:p>
        </w:tc>
        <w:tc>
          <w:tcPr>
            <w:tcW w:w="597" w:type="pct"/>
            <w:vAlign w:val="center"/>
          </w:tcPr>
          <w:p w14:paraId="440BBBA1">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577" w:type="pct"/>
            <w:vAlign w:val="center"/>
          </w:tcPr>
          <w:p w14:paraId="1129F266">
            <w:pPr>
              <w:widowControl/>
              <w:adjustRightInd w:val="0"/>
              <w:snapToGrid w:val="0"/>
              <w:jc w:val="center"/>
              <w:rPr>
                <w:rFonts w:ascii="Times New Roman" w:hAnsi="Times New Roman" w:cs="Times New Roman"/>
                <w:szCs w:val="21"/>
              </w:rPr>
            </w:pPr>
            <w:r>
              <w:rPr>
                <w:rFonts w:ascii="Times New Roman" w:hAnsi="Times New Roman" w:cs="Times New Roman"/>
                <w:szCs w:val="21"/>
              </w:rPr>
              <w:t>280</w:t>
            </w:r>
          </w:p>
        </w:tc>
        <w:tc>
          <w:tcPr>
            <w:tcW w:w="625" w:type="pct"/>
            <w:vAlign w:val="center"/>
          </w:tcPr>
          <w:p w14:paraId="1144DD8B">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1577" w:type="pct"/>
            <w:vAlign w:val="center"/>
          </w:tcPr>
          <w:p w14:paraId="19F3D09A">
            <w:pPr>
              <w:widowControl/>
              <w:adjustRightInd w:val="0"/>
              <w:snapToGrid w:val="0"/>
              <w:jc w:val="center"/>
              <w:rPr>
                <w:rFonts w:ascii="Times New Roman" w:hAnsi="Times New Roman" w:cs="Times New Roman"/>
                <w:szCs w:val="21"/>
              </w:rPr>
            </w:pPr>
            <w:r>
              <w:rPr>
                <w:rFonts w:ascii="Times New Roman" w:hAnsi="Times New Roman" w:cs="Times New Roman"/>
                <w:szCs w:val="21"/>
              </w:rPr>
              <w:t>HCE</w:t>
            </w:r>
          </w:p>
        </w:tc>
      </w:tr>
      <w:tr w14:paraId="4C73CC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56F263EC">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4</w:t>
            </w:r>
          </w:p>
        </w:tc>
        <w:tc>
          <w:tcPr>
            <w:tcW w:w="1126" w:type="pct"/>
            <w:vAlign w:val="center"/>
          </w:tcPr>
          <w:p w14:paraId="2BF04773">
            <w:pPr>
              <w:widowControl/>
              <w:adjustRightInd w:val="0"/>
              <w:snapToGrid w:val="0"/>
              <w:jc w:val="center"/>
              <w:rPr>
                <w:rFonts w:ascii="Times New Roman" w:hAnsi="Times New Roman" w:cs="Times New Roman"/>
                <w:szCs w:val="21"/>
              </w:rPr>
            </w:pPr>
            <w:r>
              <w:rPr>
                <w:rFonts w:ascii="Times New Roman" w:hAnsi="Times New Roman" w:cs="Times New Roman"/>
                <w:szCs w:val="21"/>
              </w:rPr>
              <w:t>1:1.2:2</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{"citationID":"HACfJjUN","properties":{"formattedCitation":"\\super 12,14\\nosupersub{}","plainCitation":"12,14","noteIndex":0},"citationItems":[{"id":101,"uris":["http://zotero.org/users/17156447/items/LI2VYUQ7"],"itemData":{"id":101,"type":"article-journal","container-title":"Nature Materials","DOI":"10.1038/s41563-023-01700-3","ISSN":"1476-1122, 1476-4660","issue":"12","journalAbbreviation":"Nat. Mater.","language":"en","note":"162 citations (Crossref/DOI) [2025-05-22]\n160 citations (Crossref/DOI) [2025-05-16]\n160 citations (Crossref/DOI) [2025-05-16]\n160 citations (Crossref/DOI) [2025-05-16]\nJCR分区: Q1\n中科院分区升级版: 材料科学1区\n影响因子: 37.2\n5年影响因子: 44.0\nEI: 是\n南农高质量: A","page":"1531-1539","source":"DOI.org (Crossref)","title":"Localized high-concentration electrolytes get more localized through micelle-like structures","volume":"22","author":[{"family":"Efaw","given":"Corey M."},{"family":"Wu","given":"Qisheng"},{"family":"Gao","given":"Ningshengjie"},{"family":"Zhang","given":"Yugang"},{"family":"Zhu","given":"Haoyu"},{"family":"Gering","given":"Kevin"},{"family":"Hurley","given":"Michael F."},{"family":"Xiong","given":"Hui"},{"family":"Hu","given":"Enyuan"},{"family":"Cao","given":"Xia"},{"family":"Xu","given":"Wu"},{"family":"Zhang","given":"Ji-Guang"},{"family":"Dufek","given":"Eric J."},{"family":"Xiao","given":"Jie"},{"family":"Yang","given":"Xiao-Qing"},{"family":"Liu","given":"Jun"},{"family":"Qi","given":"Yue"},{"family":"Li","given":"Bin"}],"issued":{"date-parts":[["2023",12]]}}},{"id":1015,"uris":["http://zotero.org/users/17156447/items/MUL57ID3"],"itemData":{"id":1015,"type":"article-journal","container-title":"Energy Storage Materials","DOI":"10.1016/j.ensm.2020.08.035","ISSN":"24058297","journalAbbreviation":"Energy Storage Mater.","language":"en","note":"97 citations (Crossref/DOI) [2025-06-11]\nJCR分区: Q1\n5年影响因子: 18.4","page":"76-84","source":"DOI.org (Crossref)","title":"Optimization of fluorinated orthoformate based electrolytes for practical high-voltage lithium metal batteries","volume":"34","author":[{"family":"Cao","given":"Xia"},{"family":"Zou","given":"Lianfeng"},{"family":"Matthews","given":"Bethany E."},{"family":"Zhang","given":"Linchao"},{"family":"He","given":"Xinzi"},{"family":"Ren","given":"Xiaodi"},{"family":"Engelhard","given":"Mark H."},{"family":"Burton","given":"Sarah D."},{"family":"El-Khoury","given":"Patrick Z."},{"family":"Lim","given":"Hyung-Seok"},{"family":"Niu","given":"Chaojiang"},{"family":"Lee","given":"Hongkyung"},{"family":"Wang","given":"Chunsheng"},{"family":"Arey","given":"Bruce W."},{"family":"Wang","given":"Chongmin"},{"family":"Xiao","given":"Jie"},{"family":"Liu","given":"Jun"},{"family":"Xu","given":"Wu"},{"family":"Zhang","given":"Ji-Guang"}],"issued":{"date-parts":[["2021",1]]}}}],"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12,14</w:t>
            </w:r>
            <w:r>
              <w:rPr>
                <w:rFonts w:ascii="Times New Roman" w:hAnsi="Times New Roman" w:cs="Times New Roman"/>
                <w:szCs w:val="21"/>
              </w:rPr>
              <w:fldChar w:fldCharType="end"/>
            </w:r>
          </w:p>
        </w:tc>
        <w:tc>
          <w:tcPr>
            <w:tcW w:w="597" w:type="pct"/>
            <w:vAlign w:val="center"/>
          </w:tcPr>
          <w:p w14:paraId="3BF1E423">
            <w:pPr>
              <w:widowControl/>
              <w:adjustRightInd w:val="0"/>
              <w:snapToGrid w:val="0"/>
              <w:jc w:val="center"/>
              <w:rPr>
                <w:rFonts w:ascii="Times New Roman" w:hAnsi="Times New Roman" w:cs="Times New Roman"/>
                <w:szCs w:val="21"/>
              </w:rPr>
            </w:pPr>
            <w:r>
              <w:rPr>
                <w:rFonts w:ascii="Times New Roman" w:hAnsi="Times New Roman" w:cs="Times New Roman"/>
                <w:szCs w:val="21"/>
              </w:rPr>
              <w:t>80</w:t>
            </w:r>
          </w:p>
        </w:tc>
        <w:tc>
          <w:tcPr>
            <w:tcW w:w="577" w:type="pct"/>
            <w:vAlign w:val="center"/>
          </w:tcPr>
          <w:p w14:paraId="49C9F8FE">
            <w:pPr>
              <w:widowControl/>
              <w:adjustRightInd w:val="0"/>
              <w:snapToGrid w:val="0"/>
              <w:jc w:val="center"/>
              <w:rPr>
                <w:rFonts w:ascii="Times New Roman" w:hAnsi="Times New Roman" w:cs="Times New Roman"/>
                <w:szCs w:val="21"/>
              </w:rPr>
            </w:pPr>
            <w:r>
              <w:rPr>
                <w:rFonts w:ascii="Times New Roman" w:hAnsi="Times New Roman" w:cs="Times New Roman"/>
                <w:szCs w:val="21"/>
              </w:rPr>
              <w:t>96</w:t>
            </w:r>
          </w:p>
        </w:tc>
        <w:tc>
          <w:tcPr>
            <w:tcW w:w="625" w:type="pct"/>
            <w:vAlign w:val="center"/>
          </w:tcPr>
          <w:p w14:paraId="6461FFCA">
            <w:pPr>
              <w:widowControl/>
              <w:adjustRightInd w:val="0"/>
              <w:snapToGrid w:val="0"/>
              <w:jc w:val="center"/>
              <w:rPr>
                <w:rFonts w:ascii="Times New Roman" w:hAnsi="Times New Roman" w:cs="Times New Roman"/>
                <w:szCs w:val="21"/>
              </w:rPr>
            </w:pPr>
            <w:r>
              <w:rPr>
                <w:rFonts w:ascii="Times New Roman" w:hAnsi="Times New Roman" w:cs="Times New Roman"/>
                <w:szCs w:val="21"/>
              </w:rPr>
              <w:t>160</w:t>
            </w:r>
          </w:p>
        </w:tc>
        <w:tc>
          <w:tcPr>
            <w:tcW w:w="1577" w:type="pct"/>
            <w:vAlign w:val="center"/>
          </w:tcPr>
          <w:p w14:paraId="1E9EC838">
            <w:pPr>
              <w:widowControl/>
              <w:adjustRightInd w:val="0"/>
              <w:snapToGrid w:val="0"/>
              <w:jc w:val="center"/>
              <w:rPr>
                <w:rFonts w:ascii="Times New Roman" w:hAnsi="Times New Roman" w:cs="Times New Roman"/>
                <w:szCs w:val="21"/>
              </w:rPr>
            </w:pPr>
            <w:r>
              <w:rPr>
                <w:rFonts w:ascii="Times New Roman" w:hAnsi="Times New Roman" w:cs="Times New Roman"/>
                <w:szCs w:val="21"/>
              </w:rPr>
              <w:t>localized high-concentration electrolyte (LHCE)</w:t>
            </w:r>
          </w:p>
        </w:tc>
      </w:tr>
      <w:tr w14:paraId="2D9BD21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116737E2">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5</w:t>
            </w:r>
          </w:p>
        </w:tc>
        <w:tc>
          <w:tcPr>
            <w:tcW w:w="1126" w:type="pct"/>
            <w:vAlign w:val="center"/>
          </w:tcPr>
          <w:p w14:paraId="3FD79EEF">
            <w:pPr>
              <w:widowControl/>
              <w:adjustRightInd w:val="0"/>
              <w:snapToGrid w:val="0"/>
              <w:jc w:val="center"/>
              <w:rPr>
                <w:rFonts w:ascii="Times New Roman" w:hAnsi="Times New Roman" w:cs="Times New Roman"/>
                <w:szCs w:val="21"/>
              </w:rPr>
            </w:pPr>
            <w:r>
              <w:rPr>
                <w:rFonts w:ascii="Times New Roman" w:hAnsi="Times New Roman" w:cs="Times New Roman"/>
                <w:szCs w:val="21"/>
              </w:rPr>
              <w:t>0:1:0</w:t>
            </w:r>
          </w:p>
        </w:tc>
        <w:tc>
          <w:tcPr>
            <w:tcW w:w="597" w:type="pct"/>
            <w:vAlign w:val="center"/>
          </w:tcPr>
          <w:p w14:paraId="4DF91BC1">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577" w:type="pct"/>
            <w:vAlign w:val="center"/>
          </w:tcPr>
          <w:p w14:paraId="68AA884A">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625" w:type="pct"/>
            <w:vAlign w:val="center"/>
          </w:tcPr>
          <w:p w14:paraId="713B5C2A">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1577" w:type="pct"/>
            <w:vAlign w:val="center"/>
          </w:tcPr>
          <w:p w14:paraId="0D4BBCEF">
            <w:pPr>
              <w:widowControl/>
              <w:adjustRightInd w:val="0"/>
              <w:snapToGrid w:val="0"/>
              <w:jc w:val="center"/>
              <w:rPr>
                <w:rFonts w:ascii="Times New Roman" w:hAnsi="Times New Roman" w:cs="Times New Roman"/>
                <w:szCs w:val="21"/>
              </w:rPr>
            </w:pPr>
            <w:r>
              <w:rPr>
                <w:rFonts w:ascii="Times New Roman" w:hAnsi="Times New Roman" w:cs="Times New Roman"/>
                <w:szCs w:val="21"/>
              </w:rPr>
              <w:t>Neat DME</w:t>
            </w:r>
          </w:p>
        </w:tc>
      </w:tr>
      <w:tr w14:paraId="31F83C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4DD7E88A">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6</w:t>
            </w:r>
          </w:p>
        </w:tc>
        <w:tc>
          <w:tcPr>
            <w:tcW w:w="1126" w:type="pct"/>
            <w:vAlign w:val="center"/>
          </w:tcPr>
          <w:p w14:paraId="6F00DFB4">
            <w:pPr>
              <w:widowControl/>
              <w:adjustRightInd w:val="0"/>
              <w:snapToGrid w:val="0"/>
              <w:jc w:val="center"/>
              <w:rPr>
                <w:rFonts w:ascii="Times New Roman" w:hAnsi="Times New Roman" w:cs="Times New Roman"/>
                <w:szCs w:val="21"/>
              </w:rPr>
            </w:pPr>
            <w:r>
              <w:rPr>
                <w:rFonts w:ascii="Times New Roman" w:hAnsi="Times New Roman" w:cs="Times New Roman"/>
                <w:szCs w:val="21"/>
              </w:rPr>
              <w:t>0:0:1</w:t>
            </w:r>
          </w:p>
        </w:tc>
        <w:tc>
          <w:tcPr>
            <w:tcW w:w="597" w:type="pct"/>
            <w:vAlign w:val="center"/>
          </w:tcPr>
          <w:p w14:paraId="0F92F9F9">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577" w:type="pct"/>
            <w:vAlign w:val="center"/>
          </w:tcPr>
          <w:p w14:paraId="148C896C">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625" w:type="pct"/>
            <w:vAlign w:val="center"/>
          </w:tcPr>
          <w:p w14:paraId="6E809E0B">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1577" w:type="pct"/>
            <w:vAlign w:val="center"/>
          </w:tcPr>
          <w:p w14:paraId="573BF379">
            <w:pPr>
              <w:widowControl/>
              <w:adjustRightInd w:val="0"/>
              <w:snapToGrid w:val="0"/>
              <w:jc w:val="center"/>
              <w:rPr>
                <w:rFonts w:ascii="Times New Roman" w:hAnsi="Times New Roman" w:cs="Times New Roman"/>
                <w:szCs w:val="21"/>
              </w:rPr>
            </w:pPr>
            <w:r>
              <w:rPr>
                <w:rFonts w:ascii="Times New Roman" w:hAnsi="Times New Roman" w:cs="Times New Roman"/>
                <w:szCs w:val="21"/>
              </w:rPr>
              <w:t>Neat TFEO</w:t>
            </w:r>
          </w:p>
        </w:tc>
      </w:tr>
    </w:tbl>
    <w:p w14:paraId="0F31C233">
      <w:pPr>
        <w:widowControl/>
        <w:adjustRightInd w:val="0"/>
        <w:snapToGrid w:val="0"/>
        <w:spacing w:after="156" w:afterLines="50" w:line="360" w:lineRule="auto"/>
        <w:rPr>
          <w:rStyle w:val="27"/>
          <w:rFonts w:cs="Times New Roman"/>
        </w:rPr>
      </w:pPr>
    </w:p>
    <w:p w14:paraId="6041F139">
      <w:pPr>
        <w:widowControl/>
        <w:adjustRightInd w:val="0"/>
        <w:snapToGrid w:val="0"/>
        <w:spacing w:after="156" w:afterLines="50" w:line="360" w:lineRule="auto"/>
        <w:rPr>
          <w:rStyle w:val="27"/>
          <w:rFonts w:cs="Times New Roman"/>
        </w:rPr>
      </w:pPr>
    </w:p>
    <w:p w14:paraId="01D0BB3E">
      <w:pPr>
        <w:widowControl/>
        <w:adjustRightInd w:val="0"/>
        <w:snapToGrid w:val="0"/>
        <w:spacing w:after="156" w:afterLines="50" w:line="360" w:lineRule="auto"/>
        <w:rPr>
          <w:rFonts w:ascii="Times New Roman" w:hAnsi="Times New Roman" w:cs="Times New Roman"/>
          <w:sz w:val="24"/>
          <w:szCs w:val="24"/>
        </w:rPr>
      </w:pPr>
      <w:bookmarkStart w:id="7" w:name="_Toc221108129"/>
      <w:r>
        <w:rPr>
          <w:rStyle w:val="27"/>
          <w:rFonts w:cs="Times New Roman"/>
        </w:rPr>
        <w:t>Supplementary Table 2 | Compositions of LiTFSI:DME:DOL:FEC ether-based systems.</w:t>
      </w:r>
      <w:bookmarkEnd w:id="7"/>
      <w:r>
        <w:rPr>
          <w:rStyle w:val="27"/>
          <w:rFonts w:cs="Times New Roman"/>
        </w:rPr>
        <w:t xml:space="preserve"> </w:t>
      </w:r>
      <w:r>
        <w:rPr>
          <w:rFonts w:ascii="Times New Roman" w:hAnsi="Times New Roman" w:cs="Times New Roman"/>
          <w:sz w:val="24"/>
          <w:szCs w:val="24"/>
        </w:rPr>
        <w:t>Molar ratios and numbers of molecules or formula units (</w:t>
      </w:r>
      <w:r>
        <w:rPr>
          <w:rFonts w:ascii="Times New Roman" w:hAnsi="Times New Roman" w:cs="Times New Roman"/>
          <w:i/>
          <w:iCs/>
          <w:sz w:val="24"/>
          <w:szCs w:val="24"/>
        </w:rPr>
        <w:t>N</w:t>
      </w:r>
      <w:r>
        <w:rPr>
          <w:rFonts w:ascii="Times New Roman" w:hAnsi="Times New Roman" w:cs="Times New Roman"/>
          <w:sz w:val="24"/>
          <w:szCs w:val="24"/>
        </w:rPr>
        <w:t>) for LiTFSI:DME:DOL:FEC electrolytes, neat solvent (DOL), and neat additive (FEC).</w:t>
      </w:r>
    </w:p>
    <w:tbl>
      <w:tblPr>
        <w:tblStyle w:val="5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883"/>
        <w:gridCol w:w="2524"/>
        <w:gridCol w:w="1200"/>
        <w:gridCol w:w="1023"/>
        <w:gridCol w:w="986"/>
        <w:gridCol w:w="959"/>
        <w:gridCol w:w="1289"/>
      </w:tblGrid>
      <w:tr w14:paraId="51BEC9F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tcBorders>
              <w:bottom w:val="single" w:color="7E7E7E" w:themeColor="text1" w:themeTint="80" w:sz="4" w:space="0"/>
              <w:insideH w:val="single" w:sz="4" w:space="0"/>
            </w:tcBorders>
            <w:vAlign w:val="center"/>
          </w:tcPr>
          <w:p w14:paraId="29614C77">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System</w:t>
            </w:r>
          </w:p>
        </w:tc>
        <w:tc>
          <w:tcPr>
            <w:tcW w:w="1424" w:type="pct"/>
            <w:tcBorders>
              <w:bottom w:val="single" w:color="7E7E7E" w:themeColor="text1" w:themeTint="80" w:sz="4" w:space="0"/>
              <w:insideH w:val="single" w:sz="4" w:space="0"/>
            </w:tcBorders>
            <w:vAlign w:val="center"/>
          </w:tcPr>
          <w:p w14:paraId="14BF392A">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LiTFSI:DME:DOL:FEC</w:t>
            </w:r>
          </w:p>
        </w:tc>
        <w:tc>
          <w:tcPr>
            <w:tcW w:w="677" w:type="pct"/>
            <w:tcBorders>
              <w:bottom w:val="single" w:color="7E7E7E" w:themeColor="text1" w:themeTint="80" w:sz="4" w:space="0"/>
              <w:insideH w:val="single" w:sz="4" w:space="0"/>
            </w:tcBorders>
            <w:vAlign w:val="center"/>
          </w:tcPr>
          <w:p w14:paraId="0700C220">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4323EC23">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(LiTFSI)</w:t>
            </w:r>
          </w:p>
        </w:tc>
        <w:tc>
          <w:tcPr>
            <w:tcW w:w="577" w:type="pct"/>
            <w:tcBorders>
              <w:bottom w:val="single" w:color="7E7E7E" w:themeColor="text1" w:themeTint="80" w:sz="4" w:space="0"/>
              <w:insideH w:val="single" w:sz="4" w:space="0"/>
            </w:tcBorders>
            <w:vAlign w:val="center"/>
          </w:tcPr>
          <w:p w14:paraId="5426E27D">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72CBC533">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(DME)</w:t>
            </w:r>
          </w:p>
        </w:tc>
        <w:tc>
          <w:tcPr>
            <w:tcW w:w="556" w:type="pct"/>
            <w:tcBorders>
              <w:bottom w:val="single" w:color="7E7E7E" w:themeColor="text1" w:themeTint="80" w:sz="4" w:space="0"/>
              <w:insideH w:val="single" w:sz="4" w:space="0"/>
            </w:tcBorders>
            <w:vAlign w:val="center"/>
          </w:tcPr>
          <w:p w14:paraId="0E593608">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0F7A982B">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(DOL)</w:t>
            </w:r>
          </w:p>
        </w:tc>
        <w:tc>
          <w:tcPr>
            <w:tcW w:w="541" w:type="pct"/>
            <w:tcBorders>
              <w:bottom w:val="single" w:color="7E7E7E" w:themeColor="text1" w:themeTint="80" w:sz="4" w:space="0"/>
              <w:insideH w:val="single" w:sz="4" w:space="0"/>
            </w:tcBorders>
            <w:vAlign w:val="center"/>
          </w:tcPr>
          <w:p w14:paraId="6D2C5321">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587E0AF4">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(FEC)</w:t>
            </w:r>
          </w:p>
        </w:tc>
        <w:tc>
          <w:tcPr>
            <w:tcW w:w="727" w:type="pct"/>
            <w:tcBorders>
              <w:bottom w:val="single" w:color="7E7E7E" w:themeColor="text1" w:themeTint="80" w:sz="4" w:space="0"/>
              <w:insideH w:val="single" w:sz="4" w:space="0"/>
            </w:tcBorders>
            <w:vAlign w:val="center"/>
          </w:tcPr>
          <w:p w14:paraId="7677171E">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Description</w:t>
            </w:r>
          </w:p>
        </w:tc>
      </w:tr>
      <w:tr w14:paraId="621CE03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1F57E4ED">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1</w:t>
            </w:r>
          </w:p>
        </w:tc>
        <w:tc>
          <w:tcPr>
            <w:tcW w:w="1424" w:type="pct"/>
            <w:vAlign w:val="center"/>
          </w:tcPr>
          <w:p w14:paraId="09F60ECD">
            <w:pPr>
              <w:widowControl/>
              <w:adjustRightInd w:val="0"/>
              <w:snapToGrid w:val="0"/>
              <w:jc w:val="center"/>
              <w:rPr>
                <w:rFonts w:ascii="Times New Roman" w:hAnsi="Times New Roman" w:cs="Times New Roman"/>
                <w:szCs w:val="21"/>
              </w:rPr>
            </w:pPr>
            <w:r>
              <w:rPr>
                <w:rFonts w:ascii="Times New Roman" w:hAnsi="Times New Roman" w:cs="Times New Roman"/>
                <w:szCs w:val="21"/>
              </w:rPr>
              <w:t>1:20:0:0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{"citationID":"OPHaVuKs","properties":{"formattedCitation":"\\super 15,16\\nosupersub{}","plainCitation":"15,16","noteIndex":0},"citationItems":[{"id":979,"uris":["http://zotero.org/users/17156447/items/3XJXM44I"],"itemData":{"id":979,"type":"article-journal","abstract":"The performance of modern lithium-sulfur (Li/S) battery systems critically depends on the electrolyte and solvent compositions. For fundamental molecular insights and rational guidance of experimental developments, eﬃcient and suﬃciently accurate molecular simulations are thus in urgent need. Here, we construct a molecular dynamics (MD) computer simulation model of representative state-of-the art electrolyte–solvent systems for Li/S batteries constituted by lithium-bis(triﬂuoromethane)sulfonimide (LiTFSI) and LiNO3 electrolytes in mixtures of the organic solvents 1,2-dimethoxyethane (DME) and 1,3-dioxolane (DOL). We benchmark and verify our simulations by comparing structural and dynamic features with various available experimental reference systems and demonstrate their applicability for a wide range of electrolyte–solvent compositions. For the state-of-the-art battery solvent, we ﬁnally calculate and discuss the detailed composition of the ﬁrst lithium solvation shell, the temperature dependence of lithium diﬀusion, as well as the electrolyte conductivities and lithium transference numbers. Our model will serve as a basis for eﬃcient future predictions of electrolyte structure and transport in complex electrode conﬁnements for the optimization of modern Li/S batteries (and related devices).","container-title":"Journal of Power Sources","DOI":"10.1016/j.jpowsour.2017.10.081","ISSN":"03787753","journalAbbreviation":"J. Power Sources","language":"en","note":"107 citations (Crossref/DOI) [2025-05-27]\nJCR分区: Q1\n5年影响因子: 8.3","page":"70-78","source":"DOI.org (Crossref)","title":"Molecular simulations of electrolyte structure and dynamics in lithium–sulfur battery solvents","volume":"373","author":[{"family":"Park","given":"Chanbum"},{"family":"Kanduč","given":"Matej"},{"family":"Chudoba","given":"Richard"},{"family":"Ronneburg","given":"Arne"},{"family":"Risse","given":"Sebastian"},{"family":"Ballauff","given":"Matthias"},{"family":"Dzubiella","given":"Joachim"}],"issued":{"date-parts":[["2018",1]]}}},{"id":984,"uris":["http://zotero.org/users/17156447/items/SRHVBH99"],"itemData":{"id":984,"type":"article-journal","container-title":"Journal of Physical Chemistry B","DOI":"10.1021/jp9825664","ISSN":"1520-6106, 1520-5207","issue":"3","journalAbbreviation":"J. Phys. Chem. B","language":"en","note":"343 citations (Crossref/DOI) [2025-05-29]\nJCR分区: Q3\n5年影响因子: 2.8\nTLDR: The relationship between the ionic conductivity and the sum of the diffusion coefficients of the lithium ion and the anion gives the degree of ion-pair formation and permits the roles of the solvents in the electrolytes to be clearly explained.","page":"519-524","source":"DOI.org (Crossref)","title":"Pulse-gradient spin-Echo&lt;sup&gt;1&lt;/sup&gt; H,&lt;sup&gt;7&lt;/sup&gt; li, and&lt;sup&gt;19&lt;/sup&gt; F NMR diffusion and ionic conductivity measurements of 14 organic electrolytes containing LiN(SO&lt;sub&gt;2&lt;/sub&gt; CF&lt;sub&gt;3&lt;/sub&gt; )&lt;sub&gt;2&lt;/sub&gt;","volume":"103","author":[{"family":"Hayamizu","given":"Kikuko"},{"family":"Aihara","given":"Yuichi"},{"family":"Arai","given":"Shigemasa"},{"family":"Martinez","given":"Cirilo Garcia"}],"issued":{"date-parts":[["1999",1,1]]}}}],"schema":"https://github.com/citation-style-language/schema/raw/master/csl-citation.json"}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15,16</w:t>
            </w:r>
            <w:r>
              <w:rPr>
                <w:rFonts w:ascii="Times New Roman" w:hAnsi="Times New Roman" w:cs="Times New Roman"/>
                <w:szCs w:val="21"/>
              </w:rPr>
              <w:fldChar w:fldCharType="end"/>
            </w:r>
          </w:p>
        </w:tc>
        <w:tc>
          <w:tcPr>
            <w:tcW w:w="677" w:type="pct"/>
            <w:vAlign w:val="center"/>
          </w:tcPr>
          <w:p w14:paraId="3FA27283">
            <w:pPr>
              <w:widowControl/>
              <w:adjustRightInd w:val="0"/>
              <w:snapToGrid w:val="0"/>
              <w:jc w:val="center"/>
              <w:rPr>
                <w:rFonts w:ascii="Times New Roman" w:hAnsi="Times New Roman" w:cs="Times New Roman"/>
                <w:szCs w:val="21"/>
              </w:rPr>
            </w:pPr>
            <w:r>
              <w:rPr>
                <w:rFonts w:ascii="Times New Roman" w:hAnsi="Times New Roman" w:cs="Times New Roman"/>
                <w:szCs w:val="21"/>
              </w:rPr>
              <w:t>25</w:t>
            </w:r>
          </w:p>
        </w:tc>
        <w:tc>
          <w:tcPr>
            <w:tcW w:w="577" w:type="pct"/>
            <w:vAlign w:val="center"/>
          </w:tcPr>
          <w:p w14:paraId="560FF397">
            <w:pPr>
              <w:widowControl/>
              <w:adjustRightInd w:val="0"/>
              <w:snapToGrid w:val="0"/>
              <w:jc w:val="center"/>
              <w:rPr>
                <w:rFonts w:ascii="Times New Roman" w:hAnsi="Times New Roman" w:cs="Times New Roman"/>
                <w:szCs w:val="21"/>
              </w:rPr>
            </w:pPr>
            <w:r>
              <w:rPr>
                <w:rFonts w:ascii="Times New Roman" w:hAnsi="Times New Roman" w:cs="Times New Roman"/>
                <w:szCs w:val="21"/>
              </w:rPr>
              <w:t>500</w:t>
            </w:r>
          </w:p>
        </w:tc>
        <w:tc>
          <w:tcPr>
            <w:tcW w:w="556" w:type="pct"/>
            <w:vAlign w:val="center"/>
          </w:tcPr>
          <w:p w14:paraId="3D00C631">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541" w:type="pct"/>
            <w:vAlign w:val="center"/>
          </w:tcPr>
          <w:p w14:paraId="61C01393">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27" w:type="pct"/>
            <w:vAlign w:val="center"/>
          </w:tcPr>
          <w:p w14:paraId="20BBDD13">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308DF7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08D38929">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2</w:t>
            </w:r>
          </w:p>
        </w:tc>
        <w:tc>
          <w:tcPr>
            <w:tcW w:w="1424" w:type="pct"/>
            <w:vAlign w:val="center"/>
          </w:tcPr>
          <w:p w14:paraId="3641AD2E">
            <w:pPr>
              <w:widowControl/>
              <w:adjustRightInd w:val="0"/>
              <w:snapToGrid w:val="0"/>
              <w:jc w:val="center"/>
              <w:rPr>
                <w:rFonts w:ascii="Times New Roman" w:hAnsi="Times New Roman" w:cs="Times New Roman"/>
                <w:szCs w:val="21"/>
              </w:rPr>
            </w:pPr>
            <w:r>
              <w:rPr>
                <w:rFonts w:ascii="Times New Roman" w:hAnsi="Times New Roman" w:cs="Times New Roman"/>
                <w:szCs w:val="21"/>
              </w:rPr>
              <w:t>17:90:110:0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{"citationID":"RPmAh9tA","properties":{"formattedCitation":"\\super 15,17\\nosupersub{}","plainCitation":"15,17","noteIndex":0},"citationItems":[{"id":979,"uris":["http://zotero.org/users/17156447/items/3XJXM44I"],"itemData":{"id":979,"type":"article-journal","abstract":"The performance of modern lithium-sulfur (Li/S) battery systems critically depends on the electrolyte and solvent compositions. For fundamental molecular insights and rational guidance of experimental developments, eﬃcient and suﬃciently accurate molecular simulations are thus in urgent need. Here, we construct a molecular dynamics (MD) computer simulation model of representative state-of-the art electrolyte–solvent systems for Li/S batteries constituted by lithium-bis(triﬂuoromethane)sulfonimide (LiTFSI) and LiNO3 electrolytes in mixtures of the organic solvents 1,2-dimethoxyethane (DME) and 1,3-dioxolane (DOL). We benchmark and verify our simulations by comparing structural and dynamic features with various available experimental reference systems and demonstrate their applicability for a wide range of electrolyte–solvent compositions. For the state-of-the-art battery solvent, we ﬁnally calculate and discuss the detailed composition of the ﬁrst lithium solvation shell, the temperature dependence of lithium diﬀusion, as well as the electrolyte conductivities and lithium transference numbers. Our model will serve as a basis for eﬃcient future predictions of electrolyte structure and transport in complex electrode conﬁnements for the optimization of modern Li/S batteries (and related devices).","container-title":"Journal of Power Sources","DOI":"10.1016/j.jpowsour.2017.10.081","ISSN":"03787753","journalAbbreviation":"J. Power Sources","language":"en","note":"107 citations (Crossref/DOI) [2025-05-27]\nJCR分区: Q1\n5年影响因子: 8.3","page":"70-78","source":"DOI.org (Crossref)","title":"Molecular simulations of electrolyte structure and dynamics in lithium–sulfur battery solvents","volume":"373","author":[{"family":"Park","given":"Chanbum"},{"family":"Kanduč","given":"Matej"},{"family":"Chudoba","given":"Richard"},{"family":"Ronneburg","given":"Arne"},{"family":"Risse","given":"Sebastian"},{"family":"Ballauff","given":"Matthias"},{"family":"Dzubiella","given":"Joachim"}],"issued":{"date-parts":[["2018",1]]}}},{"id":993,"uris":["http://zotero.org/users/17156447/items/HBHPIMEM"],"itemData":{"id":993,"type":"article-journal","abstract":"A comprehensive experimental and theoretical analysis of the isothermal transport of species for the two model ternary-electrolytes with LiTFSILi2S4/dioxolane (DOL)-dimethoxyethane (DME) and LiTFSI-Li2S6/DOL-DME formulations is presented. An unambiguous picture of the polysulﬁde’s mobility is set forth after a detailed investigation of the macroscopic transference number and diﬀusion coeﬃcients. The new ﬁndings of incongruent diﬀusion for Li2S4 species and high signiﬁcance of cross-term diﬀusion coeﬃcients reformulate a ﬂedgling view of the prevalent redox-shuttle phenomena. The practical implications of this complex mechanism are discussed in detail.","container-title":"ACS Central Science","DOI":"10.1021/acscentsci.6b00169","ISSN":"2374-7943, 2374-7951","issue":"8","journalAbbreviation":"ACS Cent. Sci.","language":"en","license":"http://pubs.acs.org/page/policy/authorchoice_termsofuse.html","note":"77 citations (Crossref/DOI) [2025-06-03]\nJCR分区: Q1\n5年影响因子: 15.8\nTLDR: An unambiguous picture of the polysulfide’s mobility is set forth after a detailed investigation of the macroscopic transference number and diffusion coefficients.","page":"560-568","source":"DOI.org (Crossref)","title":"Transport properties of polysulfide species in lithium–sulfur battery electrolytes: coupling of experiment and theory","title-short":"Transport properties of polysulfide species in lithium–sulfur battery electrolytes","volume":"2","author":[{"family":"Safari","given":"M."},{"family":"Kwok","given":"C. Y."},{"family":"Nazar","given":"L. F."}],"issued":{"date-parts":[["2016",8,24]]}}}],"schema":"https://github.com/citation-style-language/schema/raw/master/csl-citation.json"}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15,17</w:t>
            </w:r>
            <w:r>
              <w:rPr>
                <w:rFonts w:ascii="Times New Roman" w:hAnsi="Times New Roman" w:cs="Times New Roman"/>
                <w:szCs w:val="21"/>
              </w:rPr>
              <w:fldChar w:fldCharType="end"/>
            </w:r>
          </w:p>
        </w:tc>
        <w:tc>
          <w:tcPr>
            <w:tcW w:w="677" w:type="pct"/>
            <w:vAlign w:val="center"/>
          </w:tcPr>
          <w:p w14:paraId="109D9BE6">
            <w:pPr>
              <w:widowControl/>
              <w:adjustRightInd w:val="0"/>
              <w:snapToGrid w:val="0"/>
              <w:jc w:val="center"/>
              <w:rPr>
                <w:rFonts w:ascii="Times New Roman" w:hAnsi="Times New Roman" w:cs="Times New Roman"/>
                <w:szCs w:val="21"/>
              </w:rPr>
            </w:pPr>
            <w:r>
              <w:rPr>
                <w:rFonts w:ascii="Times New Roman" w:hAnsi="Times New Roman" w:cs="Times New Roman"/>
                <w:szCs w:val="21"/>
              </w:rPr>
              <w:t>85</w:t>
            </w:r>
          </w:p>
        </w:tc>
        <w:tc>
          <w:tcPr>
            <w:tcW w:w="577" w:type="pct"/>
            <w:vAlign w:val="center"/>
          </w:tcPr>
          <w:p w14:paraId="09728666">
            <w:pPr>
              <w:widowControl/>
              <w:adjustRightInd w:val="0"/>
              <w:snapToGrid w:val="0"/>
              <w:jc w:val="center"/>
              <w:rPr>
                <w:rFonts w:ascii="Times New Roman" w:hAnsi="Times New Roman" w:cs="Times New Roman"/>
                <w:szCs w:val="21"/>
              </w:rPr>
            </w:pPr>
            <w:r>
              <w:rPr>
                <w:rFonts w:ascii="Times New Roman" w:hAnsi="Times New Roman" w:cs="Times New Roman"/>
                <w:szCs w:val="21"/>
              </w:rPr>
              <w:t>450</w:t>
            </w:r>
          </w:p>
        </w:tc>
        <w:tc>
          <w:tcPr>
            <w:tcW w:w="556" w:type="pct"/>
            <w:vAlign w:val="center"/>
          </w:tcPr>
          <w:p w14:paraId="099AA13E">
            <w:pPr>
              <w:widowControl/>
              <w:adjustRightInd w:val="0"/>
              <w:snapToGrid w:val="0"/>
              <w:jc w:val="center"/>
              <w:rPr>
                <w:rFonts w:ascii="Times New Roman" w:hAnsi="Times New Roman" w:cs="Times New Roman"/>
                <w:szCs w:val="21"/>
              </w:rPr>
            </w:pPr>
            <w:r>
              <w:rPr>
                <w:rFonts w:ascii="Times New Roman" w:hAnsi="Times New Roman" w:cs="Times New Roman"/>
                <w:szCs w:val="21"/>
              </w:rPr>
              <w:t>550</w:t>
            </w:r>
          </w:p>
        </w:tc>
        <w:tc>
          <w:tcPr>
            <w:tcW w:w="541" w:type="pct"/>
            <w:vAlign w:val="center"/>
          </w:tcPr>
          <w:p w14:paraId="0C28851E">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27" w:type="pct"/>
            <w:vAlign w:val="center"/>
          </w:tcPr>
          <w:p w14:paraId="09878F37">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7A186D6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514DEDF9">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3</w:t>
            </w:r>
          </w:p>
        </w:tc>
        <w:tc>
          <w:tcPr>
            <w:tcW w:w="1424" w:type="pct"/>
            <w:vAlign w:val="center"/>
          </w:tcPr>
          <w:p w14:paraId="35AF4C83">
            <w:pPr>
              <w:widowControl/>
              <w:adjustRightInd w:val="0"/>
              <w:snapToGrid w:val="0"/>
              <w:jc w:val="center"/>
              <w:rPr>
                <w:rFonts w:ascii="Times New Roman" w:hAnsi="Times New Roman" w:cs="Times New Roman"/>
                <w:szCs w:val="21"/>
              </w:rPr>
            </w:pPr>
            <w:r>
              <w:rPr>
                <w:rFonts w:ascii="Times New Roman" w:hAnsi="Times New Roman" w:cs="Times New Roman"/>
                <w:szCs w:val="21"/>
              </w:rPr>
              <w:t>1:2:12:0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{"citationID":"nOsMej3T","properties":{"formattedCitation":"\\super 18\\nosupersub{}","plainCitation":"18","noteIndex":0},"citationItems":[{"id":990,"uris":["http://zotero.org/users/17156447/items/N8RS8LMG"],"itemData":{"id":990,"type":"article-journal","container-title":"Journal of the American Chemical Society","DOI":"10.1021/jacs.2c11807","ISSN":"0002-7863, 1520-5126","issue":"4","journalAbbreviation":"J. Am. Chem. Soc.","language":"en","license":"https://creativecommons.org/licenses/by-nc-nd/4.0/","note":"109 citations (Crossref/DOI) [2025-06-03]\nJCR分区: Q1\n5年影响因子: 14.8","page":"2473-2484","source":"DOI.org (Crossref)","title":"Effect of the electric double layer (EDL) in multicomponent electrolyte reduction and solid electrolyte interphase (SEI) formation in lithium batteries","volume":"145","author":[{"family":"Wu","given":"Qisheng"},{"family":"McDowell","given":"Matthew T."},{"family":"Qi","given":"Yue"}],"issued":{"date-parts":[["2023",2,1]]}}}],"schema":"https://github.com/citation-style-language/schema/raw/master/csl-citation.json"}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18</w:t>
            </w:r>
            <w:r>
              <w:rPr>
                <w:rFonts w:ascii="Times New Roman" w:hAnsi="Times New Roman" w:cs="Times New Roman"/>
                <w:szCs w:val="21"/>
              </w:rPr>
              <w:fldChar w:fldCharType="end"/>
            </w:r>
          </w:p>
        </w:tc>
        <w:tc>
          <w:tcPr>
            <w:tcW w:w="677" w:type="pct"/>
            <w:vAlign w:val="center"/>
          </w:tcPr>
          <w:p w14:paraId="21171C60">
            <w:pPr>
              <w:widowControl/>
              <w:adjustRightInd w:val="0"/>
              <w:snapToGrid w:val="0"/>
              <w:jc w:val="center"/>
              <w:rPr>
                <w:rFonts w:ascii="Times New Roman" w:hAnsi="Times New Roman" w:cs="Times New Roman"/>
                <w:szCs w:val="21"/>
              </w:rPr>
            </w:pPr>
            <w:r>
              <w:rPr>
                <w:rFonts w:ascii="Times New Roman" w:hAnsi="Times New Roman" w:cs="Times New Roman"/>
                <w:szCs w:val="21"/>
              </w:rPr>
              <w:t>32</w:t>
            </w:r>
          </w:p>
        </w:tc>
        <w:tc>
          <w:tcPr>
            <w:tcW w:w="577" w:type="pct"/>
            <w:vAlign w:val="center"/>
          </w:tcPr>
          <w:p w14:paraId="0EA8601A">
            <w:pPr>
              <w:widowControl/>
              <w:adjustRightInd w:val="0"/>
              <w:snapToGrid w:val="0"/>
              <w:jc w:val="center"/>
              <w:rPr>
                <w:rFonts w:ascii="Times New Roman" w:hAnsi="Times New Roman" w:cs="Times New Roman"/>
                <w:szCs w:val="21"/>
              </w:rPr>
            </w:pPr>
            <w:r>
              <w:rPr>
                <w:rFonts w:ascii="Times New Roman" w:hAnsi="Times New Roman" w:cs="Times New Roman"/>
                <w:szCs w:val="21"/>
              </w:rPr>
              <w:t>64</w:t>
            </w:r>
          </w:p>
        </w:tc>
        <w:tc>
          <w:tcPr>
            <w:tcW w:w="556" w:type="pct"/>
            <w:vAlign w:val="center"/>
          </w:tcPr>
          <w:p w14:paraId="6C7B7506">
            <w:pPr>
              <w:widowControl/>
              <w:adjustRightInd w:val="0"/>
              <w:snapToGrid w:val="0"/>
              <w:jc w:val="center"/>
              <w:rPr>
                <w:rFonts w:ascii="Times New Roman" w:hAnsi="Times New Roman" w:cs="Times New Roman"/>
                <w:szCs w:val="21"/>
              </w:rPr>
            </w:pPr>
            <w:r>
              <w:rPr>
                <w:rFonts w:ascii="Times New Roman" w:hAnsi="Times New Roman" w:cs="Times New Roman"/>
                <w:szCs w:val="21"/>
              </w:rPr>
              <w:t>384</w:t>
            </w:r>
          </w:p>
        </w:tc>
        <w:tc>
          <w:tcPr>
            <w:tcW w:w="541" w:type="pct"/>
            <w:vAlign w:val="center"/>
          </w:tcPr>
          <w:p w14:paraId="57454E21">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27" w:type="pct"/>
            <w:vAlign w:val="center"/>
          </w:tcPr>
          <w:p w14:paraId="18D33802">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21A3C5F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162A0FF7">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4</w:t>
            </w:r>
          </w:p>
        </w:tc>
        <w:tc>
          <w:tcPr>
            <w:tcW w:w="1424" w:type="pct"/>
            <w:vAlign w:val="center"/>
          </w:tcPr>
          <w:p w14:paraId="66B340D5">
            <w:pPr>
              <w:widowControl/>
              <w:adjustRightInd w:val="0"/>
              <w:snapToGrid w:val="0"/>
              <w:jc w:val="center"/>
              <w:rPr>
                <w:rFonts w:ascii="Times New Roman" w:hAnsi="Times New Roman" w:cs="Times New Roman"/>
                <w:szCs w:val="21"/>
              </w:rPr>
            </w:pPr>
            <w:r>
              <w:rPr>
                <w:rFonts w:ascii="Times New Roman" w:hAnsi="Times New Roman" w:cs="Times New Roman"/>
                <w:szCs w:val="21"/>
              </w:rPr>
              <w:t>1:2:12:1.5</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{"citationID":"JnBih89L","properties":{"formattedCitation":"\\super 18\\nosupersub{}","plainCitation":"18","noteIndex":0},"citationItems":[{"id":990,"uris":["http://zotero.org/users/17156447/items/N8RS8LMG"],"itemData":{"id":990,"type":"article-journal","container-title":"Journal of the American Chemical Society","DOI":"10.1021/jacs.2c11807","ISSN":"0002-7863, 1520-5126","issue":"4","journalAbbreviation":"J. Am. Chem. Soc.","language":"en","license":"https://creativecommons.org/licenses/by-nc-nd/4.0/","note":"109 citations (Crossref/DOI) [2025-06-03]\nJCR分区: Q1\n5年影响因子: 14.8","page":"2473-2484","source":"DOI.org (Crossref)","title":"Effect of the electric double layer (EDL) in multicomponent electrolyte reduction and solid electrolyte interphase (SEI) formation in lithium batteries","volume":"145","author":[{"family":"Wu","given":"Qisheng"},{"family":"McDowell","given":"Matthew T."},{"family":"Qi","given":"Yue"}],"issued":{"date-parts":[["2023",2,1]]}}}],"schema":"https://github.com/citation-style-language/schema/raw/master/csl-citation.json"}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18</w:t>
            </w:r>
            <w:r>
              <w:rPr>
                <w:rFonts w:ascii="Times New Roman" w:hAnsi="Times New Roman" w:cs="Times New Roman"/>
                <w:szCs w:val="21"/>
              </w:rPr>
              <w:fldChar w:fldCharType="end"/>
            </w:r>
          </w:p>
        </w:tc>
        <w:tc>
          <w:tcPr>
            <w:tcW w:w="677" w:type="pct"/>
            <w:vAlign w:val="center"/>
          </w:tcPr>
          <w:p w14:paraId="05CB1DE0">
            <w:pPr>
              <w:widowControl/>
              <w:adjustRightInd w:val="0"/>
              <w:snapToGrid w:val="0"/>
              <w:jc w:val="center"/>
              <w:rPr>
                <w:rFonts w:ascii="Times New Roman" w:hAnsi="Times New Roman" w:cs="Times New Roman"/>
                <w:szCs w:val="21"/>
              </w:rPr>
            </w:pPr>
            <w:r>
              <w:rPr>
                <w:rFonts w:ascii="Times New Roman" w:hAnsi="Times New Roman" w:cs="Times New Roman"/>
                <w:szCs w:val="21"/>
              </w:rPr>
              <w:t>32</w:t>
            </w:r>
          </w:p>
        </w:tc>
        <w:tc>
          <w:tcPr>
            <w:tcW w:w="577" w:type="pct"/>
            <w:vAlign w:val="center"/>
          </w:tcPr>
          <w:p w14:paraId="5C45BC77">
            <w:pPr>
              <w:widowControl/>
              <w:adjustRightInd w:val="0"/>
              <w:snapToGrid w:val="0"/>
              <w:jc w:val="center"/>
              <w:rPr>
                <w:rFonts w:ascii="Times New Roman" w:hAnsi="Times New Roman" w:cs="Times New Roman"/>
                <w:szCs w:val="21"/>
              </w:rPr>
            </w:pPr>
            <w:r>
              <w:rPr>
                <w:rFonts w:ascii="Times New Roman" w:hAnsi="Times New Roman" w:cs="Times New Roman"/>
                <w:szCs w:val="21"/>
              </w:rPr>
              <w:t>64</w:t>
            </w:r>
          </w:p>
        </w:tc>
        <w:tc>
          <w:tcPr>
            <w:tcW w:w="556" w:type="pct"/>
            <w:vAlign w:val="center"/>
          </w:tcPr>
          <w:p w14:paraId="7A5C13DE">
            <w:pPr>
              <w:widowControl/>
              <w:adjustRightInd w:val="0"/>
              <w:snapToGrid w:val="0"/>
              <w:jc w:val="center"/>
              <w:rPr>
                <w:rFonts w:ascii="Times New Roman" w:hAnsi="Times New Roman" w:cs="Times New Roman"/>
                <w:szCs w:val="21"/>
              </w:rPr>
            </w:pPr>
            <w:r>
              <w:rPr>
                <w:rFonts w:ascii="Times New Roman" w:hAnsi="Times New Roman" w:cs="Times New Roman"/>
                <w:szCs w:val="21"/>
              </w:rPr>
              <w:t>384</w:t>
            </w:r>
          </w:p>
        </w:tc>
        <w:tc>
          <w:tcPr>
            <w:tcW w:w="541" w:type="pct"/>
            <w:vAlign w:val="center"/>
          </w:tcPr>
          <w:p w14:paraId="39732868">
            <w:pPr>
              <w:widowControl/>
              <w:adjustRightInd w:val="0"/>
              <w:snapToGrid w:val="0"/>
              <w:jc w:val="center"/>
              <w:rPr>
                <w:rFonts w:ascii="Times New Roman" w:hAnsi="Times New Roman" w:cs="Times New Roman"/>
                <w:szCs w:val="21"/>
              </w:rPr>
            </w:pPr>
            <w:r>
              <w:rPr>
                <w:rFonts w:ascii="Times New Roman" w:hAnsi="Times New Roman" w:cs="Times New Roman"/>
                <w:szCs w:val="21"/>
              </w:rPr>
              <w:t>48</w:t>
            </w:r>
          </w:p>
        </w:tc>
        <w:tc>
          <w:tcPr>
            <w:tcW w:w="727" w:type="pct"/>
            <w:vAlign w:val="center"/>
          </w:tcPr>
          <w:p w14:paraId="11E1E1E5">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3797C33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22ED676C">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5</w:t>
            </w:r>
          </w:p>
        </w:tc>
        <w:tc>
          <w:tcPr>
            <w:tcW w:w="1424" w:type="pct"/>
            <w:vAlign w:val="center"/>
          </w:tcPr>
          <w:p w14:paraId="08A56EE8">
            <w:pPr>
              <w:widowControl/>
              <w:adjustRightInd w:val="0"/>
              <w:snapToGrid w:val="0"/>
              <w:jc w:val="center"/>
              <w:rPr>
                <w:rFonts w:ascii="Times New Roman" w:hAnsi="Times New Roman" w:cs="Times New Roman"/>
                <w:szCs w:val="21"/>
              </w:rPr>
            </w:pPr>
            <w:r>
              <w:rPr>
                <w:rFonts w:ascii="Times New Roman" w:hAnsi="Times New Roman" w:cs="Times New Roman"/>
                <w:szCs w:val="21"/>
              </w:rPr>
              <w:t>0:0:1:0</w:t>
            </w:r>
          </w:p>
        </w:tc>
        <w:tc>
          <w:tcPr>
            <w:tcW w:w="677" w:type="pct"/>
            <w:vAlign w:val="center"/>
          </w:tcPr>
          <w:p w14:paraId="4D9C777F">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577" w:type="pct"/>
            <w:vAlign w:val="center"/>
          </w:tcPr>
          <w:p w14:paraId="06A12C57">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556" w:type="pct"/>
            <w:vAlign w:val="center"/>
          </w:tcPr>
          <w:p w14:paraId="702EB9FA">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541" w:type="pct"/>
            <w:vAlign w:val="center"/>
          </w:tcPr>
          <w:p w14:paraId="4BA1AAC0">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27" w:type="pct"/>
            <w:vAlign w:val="center"/>
          </w:tcPr>
          <w:p w14:paraId="14205634">
            <w:pPr>
              <w:widowControl/>
              <w:adjustRightInd w:val="0"/>
              <w:snapToGrid w:val="0"/>
              <w:jc w:val="center"/>
              <w:rPr>
                <w:rFonts w:ascii="Times New Roman" w:hAnsi="Times New Roman" w:cs="Times New Roman"/>
                <w:szCs w:val="21"/>
              </w:rPr>
            </w:pPr>
            <w:r>
              <w:rPr>
                <w:rFonts w:ascii="Times New Roman" w:hAnsi="Times New Roman" w:cs="Times New Roman"/>
                <w:szCs w:val="21"/>
              </w:rPr>
              <w:t>Neat DOL</w:t>
            </w:r>
          </w:p>
        </w:tc>
      </w:tr>
      <w:tr w14:paraId="6161A5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8" w:type="pct"/>
            <w:vAlign w:val="center"/>
          </w:tcPr>
          <w:p w14:paraId="5427C80D">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6</w:t>
            </w:r>
          </w:p>
        </w:tc>
        <w:tc>
          <w:tcPr>
            <w:tcW w:w="1424" w:type="pct"/>
            <w:vAlign w:val="center"/>
          </w:tcPr>
          <w:p w14:paraId="15327CBB">
            <w:pPr>
              <w:widowControl/>
              <w:adjustRightInd w:val="0"/>
              <w:snapToGrid w:val="0"/>
              <w:jc w:val="center"/>
              <w:rPr>
                <w:rFonts w:ascii="Times New Roman" w:hAnsi="Times New Roman" w:cs="Times New Roman"/>
                <w:szCs w:val="21"/>
              </w:rPr>
            </w:pPr>
            <w:r>
              <w:rPr>
                <w:rFonts w:ascii="Times New Roman" w:hAnsi="Times New Roman" w:cs="Times New Roman"/>
                <w:szCs w:val="21"/>
              </w:rPr>
              <w:t>0:0:0:1</w:t>
            </w:r>
          </w:p>
        </w:tc>
        <w:tc>
          <w:tcPr>
            <w:tcW w:w="677" w:type="pct"/>
            <w:vAlign w:val="center"/>
          </w:tcPr>
          <w:p w14:paraId="4CE7DBE3">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577" w:type="pct"/>
            <w:vAlign w:val="center"/>
          </w:tcPr>
          <w:p w14:paraId="75EB7804">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556" w:type="pct"/>
            <w:vAlign w:val="center"/>
          </w:tcPr>
          <w:p w14:paraId="65682883">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541" w:type="pct"/>
            <w:vAlign w:val="center"/>
          </w:tcPr>
          <w:p w14:paraId="67E71B8E">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727" w:type="pct"/>
            <w:vAlign w:val="center"/>
          </w:tcPr>
          <w:p w14:paraId="2818FAFE">
            <w:pPr>
              <w:widowControl/>
              <w:adjustRightInd w:val="0"/>
              <w:snapToGrid w:val="0"/>
              <w:jc w:val="center"/>
              <w:rPr>
                <w:rFonts w:ascii="Times New Roman" w:hAnsi="Times New Roman" w:cs="Times New Roman"/>
                <w:szCs w:val="21"/>
              </w:rPr>
            </w:pPr>
            <w:r>
              <w:rPr>
                <w:rFonts w:ascii="Times New Roman" w:hAnsi="Times New Roman" w:cs="Times New Roman"/>
                <w:szCs w:val="21"/>
              </w:rPr>
              <w:t>Neat FEC</w:t>
            </w:r>
          </w:p>
        </w:tc>
      </w:tr>
    </w:tbl>
    <w:p w14:paraId="2CE763A7">
      <w:pPr>
        <w:widowControl/>
        <w:spacing w:line="360" w:lineRule="auto"/>
        <w:jc w:val="left"/>
        <w:rPr>
          <w:rFonts w:ascii="Times New Roman" w:hAnsi="Times New Roman" w:cs="Times New Roman"/>
          <w:szCs w:val="21"/>
        </w:rPr>
      </w:pPr>
    </w:p>
    <w:p w14:paraId="315E4252">
      <w:pPr>
        <w:widowControl/>
        <w:spacing w:line="360" w:lineRule="auto"/>
        <w:jc w:val="left"/>
        <w:rPr>
          <w:rFonts w:ascii="Times New Roman" w:hAnsi="Times New Roman" w:cs="Times New Roman"/>
          <w:szCs w:val="21"/>
        </w:rPr>
      </w:pPr>
      <w:r>
        <w:rPr>
          <w:rFonts w:ascii="Times New Roman" w:hAnsi="Times New Roman" w:cs="Times New Roman"/>
          <w:szCs w:val="21"/>
        </w:rPr>
        <w:br w:type="page"/>
      </w:r>
    </w:p>
    <w:p w14:paraId="0B55A050">
      <w:pPr>
        <w:widowControl/>
        <w:adjustRightInd w:val="0"/>
        <w:snapToGrid w:val="0"/>
        <w:spacing w:after="156" w:afterLines="50" w:line="360" w:lineRule="auto"/>
        <w:rPr>
          <w:rFonts w:ascii="Times New Roman" w:hAnsi="Times New Roman" w:cs="Times New Roman"/>
          <w:sz w:val="24"/>
          <w:szCs w:val="24"/>
        </w:rPr>
      </w:pPr>
      <w:bookmarkStart w:id="8" w:name="_Toc221108130"/>
      <w:r>
        <w:rPr>
          <w:rStyle w:val="27"/>
          <w:rFonts w:cs="Times New Roman"/>
        </w:rPr>
        <w:t>Supplementary Table 3 | Compositions of LiPF</w:t>
      </w:r>
      <w:r>
        <w:rPr>
          <w:rStyle w:val="27"/>
          <w:rFonts w:cs="Times New Roman"/>
          <w:vertAlign w:val="subscript"/>
        </w:rPr>
        <w:t>6</w:t>
      </w:r>
      <w:r>
        <w:rPr>
          <w:rStyle w:val="27"/>
          <w:rFonts w:cs="Times New Roman"/>
        </w:rPr>
        <w:t>:EC:EMC:FEC carbonate-based systems.</w:t>
      </w:r>
      <w:bookmarkEnd w:id="8"/>
      <w:r>
        <w:rPr>
          <w:rStyle w:val="27"/>
          <w:rFonts w:cs="Times New Roman"/>
        </w:rPr>
        <w:t xml:space="preserve"> </w:t>
      </w:r>
      <w:r>
        <w:rPr>
          <w:rFonts w:ascii="Times New Roman" w:hAnsi="Times New Roman" w:cs="Times New Roman"/>
          <w:sz w:val="24"/>
          <w:szCs w:val="24"/>
        </w:rPr>
        <w:t>Molar ratios and numbers of molecules or formula units (</w:t>
      </w:r>
      <w:r>
        <w:rPr>
          <w:rFonts w:ascii="Times New Roman" w:hAnsi="Times New Roman" w:cs="Times New Roman"/>
          <w:i/>
          <w:iCs/>
          <w:sz w:val="24"/>
          <w:szCs w:val="24"/>
        </w:rPr>
        <w:t>N</w:t>
      </w:r>
      <w:r>
        <w:rPr>
          <w:rFonts w:ascii="Times New Roman" w:hAnsi="Times New Roman" w:cs="Times New Roman"/>
          <w:sz w:val="24"/>
          <w:szCs w:val="24"/>
        </w:rPr>
        <w:t>) for LiPF</w:t>
      </w:r>
      <w:r>
        <w:rPr>
          <w:rFonts w:ascii="Times New Roman" w:hAnsi="Times New Roman" w:cs="Times New Roman"/>
          <w:sz w:val="24"/>
          <w:szCs w:val="24"/>
          <w:vertAlign w:val="subscript"/>
        </w:rPr>
        <w:t>6</w:t>
      </w:r>
      <w:r>
        <w:rPr>
          <w:rFonts w:ascii="Times New Roman" w:hAnsi="Times New Roman" w:cs="Times New Roman"/>
          <w:sz w:val="24"/>
          <w:szCs w:val="24"/>
        </w:rPr>
        <w:t>:EC:EMC:FEC electrolytes and neat solvents (EC and EMC).</w:t>
      </w:r>
    </w:p>
    <w:tbl>
      <w:tblPr>
        <w:tblStyle w:val="5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881"/>
        <w:gridCol w:w="2478"/>
        <w:gridCol w:w="1060"/>
        <w:gridCol w:w="828"/>
        <w:gridCol w:w="1025"/>
        <w:gridCol w:w="1298"/>
        <w:gridCol w:w="1294"/>
      </w:tblGrid>
      <w:tr w14:paraId="36E50DD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7" w:type="pct"/>
            <w:tcBorders>
              <w:bottom w:val="single" w:color="7E7E7E" w:themeColor="text1" w:themeTint="80" w:sz="4" w:space="0"/>
              <w:insideH w:val="single" w:sz="4" w:space="0"/>
            </w:tcBorders>
            <w:vAlign w:val="center"/>
          </w:tcPr>
          <w:p w14:paraId="446E4F98">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System</w:t>
            </w:r>
          </w:p>
        </w:tc>
        <w:tc>
          <w:tcPr>
            <w:tcW w:w="1398" w:type="pct"/>
            <w:tcBorders>
              <w:bottom w:val="single" w:color="7E7E7E" w:themeColor="text1" w:themeTint="80" w:sz="4" w:space="0"/>
              <w:insideH w:val="single" w:sz="4" w:space="0"/>
            </w:tcBorders>
            <w:vAlign w:val="center"/>
          </w:tcPr>
          <w:p w14:paraId="56F0528F">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LiPF</w:t>
            </w:r>
            <w:r>
              <w:rPr>
                <w:rFonts w:ascii="Times New Roman" w:hAnsi="Times New Roman" w:cs="Times New Roman"/>
                <w:b/>
                <w:bCs/>
                <w:szCs w:val="21"/>
                <w:vertAlign w:val="subscript"/>
              </w:rPr>
              <w:t>6</w:t>
            </w:r>
            <w:r>
              <w:rPr>
                <w:rFonts w:ascii="Times New Roman" w:hAnsi="Times New Roman" w:cs="Times New Roman"/>
                <w:b/>
                <w:bCs/>
                <w:szCs w:val="21"/>
              </w:rPr>
              <w:t>:EC:EMC:FEC</w:t>
            </w:r>
          </w:p>
        </w:tc>
        <w:tc>
          <w:tcPr>
            <w:tcW w:w="598" w:type="pct"/>
            <w:tcBorders>
              <w:bottom w:val="single" w:color="7E7E7E" w:themeColor="text1" w:themeTint="80" w:sz="4" w:space="0"/>
              <w:insideH w:val="single" w:sz="4" w:space="0"/>
            </w:tcBorders>
            <w:vAlign w:val="center"/>
          </w:tcPr>
          <w:p w14:paraId="5C9C17B5">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6B4659D6">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(LiPF</w:t>
            </w:r>
            <w:r>
              <w:rPr>
                <w:rFonts w:ascii="Times New Roman" w:hAnsi="Times New Roman" w:cs="Times New Roman"/>
                <w:b/>
                <w:bCs/>
                <w:szCs w:val="21"/>
                <w:vertAlign w:val="subscript"/>
              </w:rPr>
              <w:t>6</w:t>
            </w:r>
            <w:r>
              <w:rPr>
                <w:rFonts w:ascii="Times New Roman" w:hAnsi="Times New Roman" w:cs="Times New Roman"/>
                <w:b/>
                <w:bCs/>
                <w:szCs w:val="21"/>
              </w:rPr>
              <w:t>)</w:t>
            </w:r>
          </w:p>
        </w:tc>
        <w:tc>
          <w:tcPr>
            <w:tcW w:w="467" w:type="pct"/>
            <w:tcBorders>
              <w:bottom w:val="single" w:color="7E7E7E" w:themeColor="text1" w:themeTint="80" w:sz="4" w:space="0"/>
              <w:insideH w:val="single" w:sz="4" w:space="0"/>
            </w:tcBorders>
            <w:vAlign w:val="center"/>
          </w:tcPr>
          <w:p w14:paraId="04F153D7">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392A2491">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(EC)</w:t>
            </w:r>
          </w:p>
        </w:tc>
        <w:tc>
          <w:tcPr>
            <w:tcW w:w="578" w:type="pct"/>
            <w:tcBorders>
              <w:bottom w:val="single" w:color="7E7E7E" w:themeColor="text1" w:themeTint="80" w:sz="4" w:space="0"/>
              <w:insideH w:val="single" w:sz="4" w:space="0"/>
            </w:tcBorders>
            <w:vAlign w:val="center"/>
          </w:tcPr>
          <w:p w14:paraId="20C990C4">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6FC36A9E">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(EMC)</w:t>
            </w:r>
          </w:p>
        </w:tc>
        <w:tc>
          <w:tcPr>
            <w:tcW w:w="732" w:type="pct"/>
            <w:tcBorders>
              <w:bottom w:val="single" w:color="7E7E7E" w:themeColor="text1" w:themeTint="80" w:sz="4" w:space="0"/>
              <w:insideH w:val="single" w:sz="4" w:space="0"/>
            </w:tcBorders>
            <w:vAlign w:val="center"/>
          </w:tcPr>
          <w:p w14:paraId="36DE312D">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051155E8">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(FEC)</w:t>
            </w:r>
          </w:p>
        </w:tc>
        <w:tc>
          <w:tcPr>
            <w:tcW w:w="730" w:type="pct"/>
            <w:tcBorders>
              <w:bottom w:val="single" w:color="7E7E7E" w:themeColor="text1" w:themeTint="80" w:sz="4" w:space="0"/>
              <w:insideH w:val="single" w:sz="4" w:space="0"/>
            </w:tcBorders>
            <w:vAlign w:val="center"/>
          </w:tcPr>
          <w:p w14:paraId="05194E7F">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Description</w:t>
            </w:r>
          </w:p>
        </w:tc>
      </w:tr>
      <w:tr w14:paraId="1B676E4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7" w:type="pct"/>
            <w:vAlign w:val="center"/>
          </w:tcPr>
          <w:p w14:paraId="0C51CC2D">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1</w:t>
            </w:r>
          </w:p>
        </w:tc>
        <w:tc>
          <w:tcPr>
            <w:tcW w:w="1398" w:type="pct"/>
            <w:vAlign w:val="center"/>
          </w:tcPr>
          <w:p w14:paraId="39129B9C">
            <w:pPr>
              <w:widowControl/>
              <w:adjustRightInd w:val="0"/>
              <w:snapToGrid w:val="0"/>
              <w:jc w:val="center"/>
              <w:rPr>
                <w:rFonts w:ascii="Times New Roman" w:hAnsi="Times New Roman" w:cs="Times New Roman"/>
                <w:szCs w:val="21"/>
              </w:rPr>
            </w:pPr>
            <w:r>
              <w:rPr>
                <w:rFonts w:ascii="Times New Roman" w:hAnsi="Times New Roman" w:cs="Times New Roman"/>
                <w:szCs w:val="21"/>
              </w:rPr>
              <w:t>3:13:20:0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{"citationID":"cknKnJjV","properties":{"formattedCitation":"\\super 18\\nosupersub{}","plainCitation":"18","noteIndex":0},"citationItems":[{"id":990,"uris":["http://zotero.org/users/17156447/items/N8RS8LMG"],"itemData":{"id":990,"type":"article-journal","container-title":"Journal of the American Chemical Society","DOI":"10.1021/jacs.2c11807","ISSN":"0002-7863, 1520-5126","issue":"4","journalAbbreviation":"J. Am. Chem. Soc.","language":"en","license":"https://creativecommons.org/licenses/by-nc-nd/4.0/","note":"109 citations (Crossref/DOI) [2025-06-03]\nJCR分区: Q1\n5年影响因子: 14.8","page":"2473-2484","source":"DOI.org (Crossref)","title":"Effect of the electric double layer (EDL) in multicomponent electrolyte reduction and solid electrolyte interphase (SEI) formation in lithium batteries","volume":"145","author":[{"family":"Wu","given":"Qisheng"},{"family":"McDowell","given":"Matthew T."},{"family":"Qi","given":"Yue"}],"issued":{"date-parts":[["2023",2,1]]}}}],"schema":"https://github.com/citation-style-language/schema/raw/master/csl-citation.json"}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18</w:t>
            </w:r>
            <w:r>
              <w:rPr>
                <w:rFonts w:ascii="Times New Roman" w:hAnsi="Times New Roman" w:cs="Times New Roman"/>
                <w:szCs w:val="21"/>
              </w:rPr>
              <w:fldChar w:fldCharType="end"/>
            </w:r>
          </w:p>
        </w:tc>
        <w:tc>
          <w:tcPr>
            <w:tcW w:w="598" w:type="pct"/>
            <w:vAlign w:val="center"/>
          </w:tcPr>
          <w:p w14:paraId="19E89188">
            <w:pPr>
              <w:widowControl/>
              <w:adjustRightInd w:val="0"/>
              <w:snapToGrid w:val="0"/>
              <w:jc w:val="center"/>
              <w:rPr>
                <w:rFonts w:ascii="Times New Roman" w:hAnsi="Times New Roman" w:cs="Times New Roman"/>
                <w:szCs w:val="21"/>
              </w:rPr>
            </w:pPr>
            <w:r>
              <w:rPr>
                <w:rFonts w:ascii="Times New Roman" w:hAnsi="Times New Roman" w:cs="Times New Roman"/>
                <w:szCs w:val="21"/>
              </w:rPr>
              <w:t>36</w:t>
            </w:r>
          </w:p>
        </w:tc>
        <w:tc>
          <w:tcPr>
            <w:tcW w:w="467" w:type="pct"/>
            <w:vAlign w:val="center"/>
          </w:tcPr>
          <w:p w14:paraId="0A23CA6D">
            <w:pPr>
              <w:widowControl/>
              <w:adjustRightInd w:val="0"/>
              <w:snapToGrid w:val="0"/>
              <w:jc w:val="center"/>
              <w:rPr>
                <w:rFonts w:ascii="Times New Roman" w:hAnsi="Times New Roman" w:cs="Times New Roman"/>
                <w:szCs w:val="21"/>
              </w:rPr>
            </w:pPr>
            <w:r>
              <w:rPr>
                <w:rFonts w:ascii="Times New Roman" w:hAnsi="Times New Roman" w:cs="Times New Roman"/>
                <w:szCs w:val="21"/>
              </w:rPr>
              <w:t>156</w:t>
            </w:r>
          </w:p>
        </w:tc>
        <w:tc>
          <w:tcPr>
            <w:tcW w:w="578" w:type="pct"/>
            <w:vAlign w:val="center"/>
          </w:tcPr>
          <w:p w14:paraId="1A197E08">
            <w:pPr>
              <w:widowControl/>
              <w:adjustRightInd w:val="0"/>
              <w:snapToGrid w:val="0"/>
              <w:jc w:val="center"/>
              <w:rPr>
                <w:rFonts w:ascii="Times New Roman" w:hAnsi="Times New Roman" w:cs="Times New Roman"/>
                <w:szCs w:val="21"/>
              </w:rPr>
            </w:pPr>
            <w:r>
              <w:rPr>
                <w:rFonts w:ascii="Times New Roman" w:hAnsi="Times New Roman" w:cs="Times New Roman"/>
                <w:szCs w:val="21"/>
              </w:rPr>
              <w:t>240</w:t>
            </w:r>
          </w:p>
        </w:tc>
        <w:tc>
          <w:tcPr>
            <w:tcW w:w="732" w:type="pct"/>
            <w:vAlign w:val="center"/>
          </w:tcPr>
          <w:p w14:paraId="5F04C8DA">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30" w:type="pct"/>
            <w:vAlign w:val="center"/>
          </w:tcPr>
          <w:p w14:paraId="559A4C21">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5D97235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7" w:type="pct"/>
            <w:vAlign w:val="center"/>
          </w:tcPr>
          <w:p w14:paraId="69FE3690">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2</w:t>
            </w:r>
          </w:p>
        </w:tc>
        <w:tc>
          <w:tcPr>
            <w:tcW w:w="1398" w:type="pct"/>
            <w:vAlign w:val="center"/>
          </w:tcPr>
          <w:p w14:paraId="588028EC">
            <w:pPr>
              <w:widowControl/>
              <w:adjustRightInd w:val="0"/>
              <w:snapToGrid w:val="0"/>
              <w:jc w:val="center"/>
              <w:rPr>
                <w:rFonts w:ascii="Times New Roman" w:hAnsi="Times New Roman" w:cs="Times New Roman"/>
                <w:szCs w:val="21"/>
              </w:rPr>
            </w:pPr>
            <w:r>
              <w:rPr>
                <w:rFonts w:ascii="Times New Roman" w:hAnsi="Times New Roman" w:cs="Times New Roman"/>
                <w:szCs w:val="21"/>
              </w:rPr>
              <w:t>3:13:20:4</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{"citationID":"uBe85JSf","properties":{"formattedCitation":"\\super 18\\nosupersub{}","plainCitation":"18","noteIndex":0},"citationItems":[{"id":990,"uris":["http://zotero.org/users/17156447/items/N8RS8LMG"],"itemData":{"id":990,"type":"article-journal","container-title":"Journal of the American Chemical Society","DOI":"10.1021/jacs.2c11807","ISSN":"0002-7863, 1520-5126","issue":"4","journalAbbreviation":"J. Am. Chem. Soc.","language":"en","license":"https://creativecommons.org/licenses/by-nc-nd/4.0/","note":"109 citations (Crossref/DOI) [2025-06-03]\nJCR分区: Q1\n5年影响因子: 14.8","page":"2473-2484","source":"DOI.org (Crossref)","title":"Effect of the electric double layer (EDL) in multicomponent electrolyte reduction and solid electrolyte interphase (SEI) formation in lithium batteries","volume":"145","author":[{"family":"Wu","given":"Qisheng"},{"family":"McDowell","given":"Matthew T."},{"family":"Qi","given":"Yue"}],"issued":{"date-parts":[["2023",2,1]]}}}],"schema":"https://github.com/citation-style-language/schema/raw/master/csl-citation.json"}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18</w:t>
            </w:r>
            <w:r>
              <w:rPr>
                <w:rFonts w:ascii="Times New Roman" w:hAnsi="Times New Roman" w:cs="Times New Roman"/>
                <w:szCs w:val="21"/>
              </w:rPr>
              <w:fldChar w:fldCharType="end"/>
            </w:r>
          </w:p>
        </w:tc>
        <w:tc>
          <w:tcPr>
            <w:tcW w:w="598" w:type="pct"/>
            <w:vAlign w:val="center"/>
          </w:tcPr>
          <w:p w14:paraId="47AED42E">
            <w:pPr>
              <w:widowControl/>
              <w:adjustRightInd w:val="0"/>
              <w:snapToGrid w:val="0"/>
              <w:jc w:val="center"/>
              <w:rPr>
                <w:rFonts w:ascii="Times New Roman" w:hAnsi="Times New Roman" w:cs="Times New Roman"/>
                <w:szCs w:val="21"/>
              </w:rPr>
            </w:pPr>
            <w:r>
              <w:rPr>
                <w:rFonts w:ascii="Times New Roman" w:hAnsi="Times New Roman" w:cs="Times New Roman"/>
                <w:szCs w:val="21"/>
              </w:rPr>
              <w:t>36</w:t>
            </w:r>
          </w:p>
        </w:tc>
        <w:tc>
          <w:tcPr>
            <w:tcW w:w="467" w:type="pct"/>
            <w:vAlign w:val="center"/>
          </w:tcPr>
          <w:p w14:paraId="190EB883">
            <w:pPr>
              <w:widowControl/>
              <w:adjustRightInd w:val="0"/>
              <w:snapToGrid w:val="0"/>
              <w:jc w:val="center"/>
              <w:rPr>
                <w:rFonts w:ascii="Times New Roman" w:hAnsi="Times New Roman" w:cs="Times New Roman"/>
                <w:szCs w:val="21"/>
              </w:rPr>
            </w:pPr>
            <w:r>
              <w:rPr>
                <w:rFonts w:ascii="Times New Roman" w:hAnsi="Times New Roman" w:cs="Times New Roman"/>
                <w:szCs w:val="21"/>
              </w:rPr>
              <w:t>156</w:t>
            </w:r>
          </w:p>
        </w:tc>
        <w:tc>
          <w:tcPr>
            <w:tcW w:w="578" w:type="pct"/>
            <w:vAlign w:val="center"/>
          </w:tcPr>
          <w:p w14:paraId="64C93E39">
            <w:pPr>
              <w:widowControl/>
              <w:adjustRightInd w:val="0"/>
              <w:snapToGrid w:val="0"/>
              <w:jc w:val="center"/>
              <w:rPr>
                <w:rFonts w:ascii="Times New Roman" w:hAnsi="Times New Roman" w:cs="Times New Roman"/>
                <w:szCs w:val="21"/>
              </w:rPr>
            </w:pPr>
            <w:r>
              <w:rPr>
                <w:rFonts w:ascii="Times New Roman" w:hAnsi="Times New Roman" w:cs="Times New Roman"/>
                <w:szCs w:val="21"/>
              </w:rPr>
              <w:t>240</w:t>
            </w:r>
          </w:p>
        </w:tc>
        <w:tc>
          <w:tcPr>
            <w:tcW w:w="732" w:type="pct"/>
            <w:vAlign w:val="center"/>
          </w:tcPr>
          <w:p w14:paraId="1764F93C">
            <w:pPr>
              <w:widowControl/>
              <w:adjustRightInd w:val="0"/>
              <w:snapToGrid w:val="0"/>
              <w:jc w:val="center"/>
              <w:rPr>
                <w:rFonts w:ascii="Times New Roman" w:hAnsi="Times New Roman" w:cs="Times New Roman"/>
                <w:szCs w:val="21"/>
              </w:rPr>
            </w:pPr>
            <w:r>
              <w:rPr>
                <w:rFonts w:ascii="Times New Roman" w:hAnsi="Times New Roman" w:cs="Times New Roman"/>
                <w:szCs w:val="21"/>
              </w:rPr>
              <w:t>48</w:t>
            </w:r>
          </w:p>
        </w:tc>
        <w:tc>
          <w:tcPr>
            <w:tcW w:w="730" w:type="pct"/>
            <w:vAlign w:val="center"/>
          </w:tcPr>
          <w:p w14:paraId="17BA3530">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1A1A879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7" w:type="pct"/>
            <w:vAlign w:val="center"/>
          </w:tcPr>
          <w:p w14:paraId="0A349815">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3</w:t>
            </w:r>
          </w:p>
        </w:tc>
        <w:tc>
          <w:tcPr>
            <w:tcW w:w="1398" w:type="pct"/>
            <w:vAlign w:val="center"/>
          </w:tcPr>
          <w:p w14:paraId="1EBB0352">
            <w:pPr>
              <w:widowControl/>
              <w:adjustRightInd w:val="0"/>
              <w:snapToGrid w:val="0"/>
              <w:jc w:val="center"/>
              <w:rPr>
                <w:rFonts w:ascii="Times New Roman" w:hAnsi="Times New Roman" w:cs="Times New Roman"/>
                <w:szCs w:val="21"/>
              </w:rPr>
            </w:pPr>
            <w:r>
              <w:rPr>
                <w:rFonts w:ascii="Times New Roman" w:hAnsi="Times New Roman" w:cs="Times New Roman"/>
                <w:szCs w:val="21"/>
              </w:rPr>
              <w:t>21:50:132:0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{"citationID":"FM114mZr","properties":{"formattedCitation":"\\super 19\\nosupersub{}","plainCitation":"19","noteIndex":0},"citationItems":[{"id":952,"uris":["http://zotero.org/users/17156447/items/NE6BYTDF"],"itemData":{"id":952,"type":"article-journal","abstract":"Liquid electrolyte design and modelling is an essential part of the development of improved lithium ion batteries.\n          , \n            \n              Liquid electrolyte design and modelling is an essential part of the development of improved lithium ion batteries. For mixed organic carbonates (ethylene carbonate (EC) and ethyl–methyl carbonate (EMC) mixtures)-based electrolytes with LiPF\n              6\n              as salt, we have compared a polarizable force field with the standard non-polarizable force field with and without charge rescaling to model the structural and dynamic properties. The result of our molecular dynamics simulations shows that both polarizable and non-polarizable force fields have similar structural factors, which are also in agreement with X-ray diffraction experimental results. In contrast, structural differences are observed for the lithium neighborhood, while the lithium–anion neighbourhood is much more pronounced for the polarizable force field. Comparison of EC/EMC coordination statistics with Fourier transformed infrared spectroscopy (FTIR) shows the best agreement for the polarizable force field. Also for transport quantities such as ionic conductivities, transference numbers, and viscosities, the agreement with the polarizable force field is by far better for a large range of salt concentrations and EC : EMC ratios. In contrast, for the non-polarizable variants, the dynamics are largely underestimated. The excellent performance of the polarizable force field is explored in different ways to pave the way to a realistic description of the structure–dynamics relationships for a wide range of salt and solvent compositions for this standard electrolyte. In particular, we can characterize the distinct correlation terms between like and unlike ions, relate them to structural properties, and explore to which degree the transport in this electrolyte is mass or charge limited.","container-title":"Physical Chemistry Chemical Physics","DOI":"10.1039/D3CP01236K","ISSN":"1463-9076, 1463-9084","issue":"30","journalAbbreviation":"Phys. Chem. Chem. Phys.","language":"en","note":"2 citations (Crossref/DOI) [2025-05-22]\n2 citations (Crossref/DOI) [2025-05-21]\nJCR分区: Q1\n5年影响因子: 3.0","page":"20350-20364","source":"DOI.org (Crossref)","title":"Mechanistic understanding of the correlation between structure and dynamics of liquid carbonate electrolytes: impact of polarization","title-short":"Mechanistic understanding of the correlation between structure and dynamics of liquid carbonate electrolytes","volume":"25","author":[{"family":"Maiti","given":"Moumita"},{"family":"Krishnamoorthy","given":"Anand Narayanan"},{"family":"Mabrouk","given":"Youssef"},{"family":"Mozhzhukhina","given":"Nataliia"},{"family":"Matic","given":"Aleksandar"},{"family":"Diddens","given":"Diddo"},{"family":"Heuer","given":"Andreas"}],"issued":{"date-parts":[["2023"]]}}}],"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19</w:t>
            </w:r>
            <w:r>
              <w:rPr>
                <w:rFonts w:ascii="Times New Roman" w:hAnsi="Times New Roman" w:cs="Times New Roman"/>
                <w:szCs w:val="21"/>
              </w:rPr>
              <w:fldChar w:fldCharType="end"/>
            </w:r>
          </w:p>
        </w:tc>
        <w:tc>
          <w:tcPr>
            <w:tcW w:w="598" w:type="pct"/>
            <w:vAlign w:val="center"/>
          </w:tcPr>
          <w:p w14:paraId="077B2248">
            <w:pPr>
              <w:widowControl/>
              <w:adjustRightInd w:val="0"/>
              <w:snapToGrid w:val="0"/>
              <w:jc w:val="center"/>
              <w:rPr>
                <w:rFonts w:ascii="Times New Roman" w:hAnsi="Times New Roman" w:cs="Times New Roman"/>
                <w:szCs w:val="21"/>
              </w:rPr>
            </w:pPr>
            <w:r>
              <w:rPr>
                <w:rFonts w:ascii="Times New Roman" w:hAnsi="Times New Roman" w:cs="Times New Roman"/>
                <w:szCs w:val="21"/>
              </w:rPr>
              <w:t>42</w:t>
            </w:r>
          </w:p>
        </w:tc>
        <w:tc>
          <w:tcPr>
            <w:tcW w:w="467" w:type="pct"/>
            <w:vAlign w:val="center"/>
          </w:tcPr>
          <w:p w14:paraId="19DECE32">
            <w:pPr>
              <w:widowControl/>
              <w:adjustRightInd w:val="0"/>
              <w:snapToGrid w:val="0"/>
              <w:jc w:val="center"/>
              <w:rPr>
                <w:rFonts w:ascii="Times New Roman" w:hAnsi="Times New Roman" w:cs="Times New Roman"/>
                <w:szCs w:val="21"/>
              </w:rPr>
            </w:pPr>
            <w:r>
              <w:rPr>
                <w:rFonts w:ascii="Times New Roman" w:hAnsi="Times New Roman" w:cs="Times New Roman"/>
                <w:szCs w:val="21"/>
              </w:rPr>
              <w:t>100</w:t>
            </w:r>
          </w:p>
        </w:tc>
        <w:tc>
          <w:tcPr>
            <w:tcW w:w="578" w:type="pct"/>
            <w:vAlign w:val="center"/>
          </w:tcPr>
          <w:p w14:paraId="139903D2">
            <w:pPr>
              <w:widowControl/>
              <w:adjustRightInd w:val="0"/>
              <w:snapToGrid w:val="0"/>
              <w:jc w:val="center"/>
              <w:rPr>
                <w:rFonts w:ascii="Times New Roman" w:hAnsi="Times New Roman" w:cs="Times New Roman"/>
                <w:szCs w:val="21"/>
              </w:rPr>
            </w:pPr>
            <w:r>
              <w:rPr>
                <w:rFonts w:ascii="Times New Roman" w:hAnsi="Times New Roman" w:cs="Times New Roman"/>
                <w:szCs w:val="21"/>
              </w:rPr>
              <w:t>264</w:t>
            </w:r>
          </w:p>
        </w:tc>
        <w:tc>
          <w:tcPr>
            <w:tcW w:w="732" w:type="pct"/>
            <w:vAlign w:val="center"/>
          </w:tcPr>
          <w:p w14:paraId="703456D8">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30" w:type="pct"/>
            <w:vAlign w:val="center"/>
          </w:tcPr>
          <w:p w14:paraId="22F48838">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784DB27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7" w:type="pct"/>
            <w:vAlign w:val="center"/>
          </w:tcPr>
          <w:p w14:paraId="06D15F84">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4</w:t>
            </w:r>
          </w:p>
        </w:tc>
        <w:tc>
          <w:tcPr>
            <w:tcW w:w="1398" w:type="pct"/>
            <w:vAlign w:val="center"/>
          </w:tcPr>
          <w:p w14:paraId="2949F763">
            <w:pPr>
              <w:widowControl/>
              <w:adjustRightInd w:val="0"/>
              <w:snapToGrid w:val="0"/>
              <w:jc w:val="center"/>
              <w:rPr>
                <w:rFonts w:ascii="Times New Roman" w:hAnsi="Times New Roman" w:cs="Times New Roman"/>
                <w:szCs w:val="21"/>
              </w:rPr>
            </w:pPr>
            <w:r>
              <w:rPr>
                <w:rFonts w:ascii="Times New Roman" w:hAnsi="Times New Roman" w:cs="Times New Roman"/>
                <w:szCs w:val="21"/>
              </w:rPr>
              <w:t>39:100:264:0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{"citationID":"wX1DInDQ","properties":{"formattedCitation":"\\super 19\\nosupersub{}","plainCitation":"19","noteIndex":0},"citationItems":[{"id":952,"uris":["http://zotero.org/users/17156447/items/NE6BYTDF"],"itemData":{"id":952,"type":"article-journal","abstract":"Liquid electrolyte design and modelling is an essential part of the development of improved lithium ion batteries.\n          , \n            \n              Liquid electrolyte design and modelling is an essential part of the development of improved lithium ion batteries. For mixed organic carbonates (ethylene carbonate (EC) and ethyl–methyl carbonate (EMC) mixtures)-based electrolytes with LiPF\n              6\n              as salt, we have compared a polarizable force field with the standard non-polarizable force field with and without charge rescaling to model the structural and dynamic properties. The result of our molecular dynamics simulations shows that both polarizable and non-polarizable force fields have similar structural factors, which are also in agreement with X-ray diffraction experimental results. In contrast, structural differences are observed for the lithium neighborhood, while the lithium–anion neighbourhood is much more pronounced for the polarizable force field. Comparison of EC/EMC coordination statistics with Fourier transformed infrared spectroscopy (FTIR) shows the best agreement for the polarizable force field. Also for transport quantities such as ionic conductivities, transference numbers, and viscosities, the agreement with the polarizable force field is by far better for a large range of salt concentrations and EC : EMC ratios. In contrast, for the non-polarizable variants, the dynamics are largely underestimated. The excellent performance of the polarizable force field is explored in different ways to pave the way to a realistic description of the structure–dynamics relationships for a wide range of salt and solvent compositions for this standard electrolyte. In particular, we can characterize the distinct correlation terms between like and unlike ions, relate them to structural properties, and explore to which degree the transport in this electrolyte is mass or charge limited.","container-title":"Physical Chemistry Chemical Physics","DOI":"10.1039/D3CP01236K","ISSN":"1463-9076, 1463-9084","issue":"30","journalAbbreviation":"Phys. Chem. Chem. Phys.","language":"en","note":"2 citations (Crossref/DOI) [2025-05-22]\n2 citations (Crossref/DOI) [2025-05-21]\nJCR分区: Q1\n5年影响因子: 3.0","page":"20350-20364","source":"DOI.org (Crossref)","title":"Mechanistic understanding of the correlation between structure and dynamics of liquid carbonate electrolytes: impact of polarization","title-short":"Mechanistic understanding of the correlation between structure and dynamics of liquid carbonate electrolytes","volume":"25","author":[{"family":"Maiti","given":"Moumita"},{"family":"Krishnamoorthy","given":"Anand Narayanan"},{"family":"Mabrouk","given":"Youssef"},{"family":"Mozhzhukhina","given":"Nataliia"},{"family":"Matic","given":"Aleksandar"},{"family":"Diddens","given":"Diddo"},{"family":"Heuer","given":"Andreas"}],"issued":{"date-parts":[["2023"]]}}}],"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19</w:t>
            </w:r>
            <w:r>
              <w:rPr>
                <w:rFonts w:ascii="Times New Roman" w:hAnsi="Times New Roman" w:cs="Times New Roman"/>
                <w:szCs w:val="21"/>
              </w:rPr>
              <w:fldChar w:fldCharType="end"/>
            </w:r>
          </w:p>
        </w:tc>
        <w:tc>
          <w:tcPr>
            <w:tcW w:w="598" w:type="pct"/>
            <w:vAlign w:val="center"/>
          </w:tcPr>
          <w:p w14:paraId="15A45FCB">
            <w:pPr>
              <w:widowControl/>
              <w:adjustRightInd w:val="0"/>
              <w:snapToGrid w:val="0"/>
              <w:jc w:val="center"/>
              <w:rPr>
                <w:rFonts w:ascii="Times New Roman" w:hAnsi="Times New Roman" w:cs="Times New Roman"/>
                <w:szCs w:val="21"/>
              </w:rPr>
            </w:pPr>
            <w:r>
              <w:rPr>
                <w:rFonts w:ascii="Times New Roman" w:hAnsi="Times New Roman" w:cs="Times New Roman"/>
                <w:szCs w:val="21"/>
              </w:rPr>
              <w:t>39</w:t>
            </w:r>
          </w:p>
        </w:tc>
        <w:tc>
          <w:tcPr>
            <w:tcW w:w="467" w:type="pct"/>
            <w:vAlign w:val="center"/>
          </w:tcPr>
          <w:p w14:paraId="5DFBA584">
            <w:pPr>
              <w:widowControl/>
              <w:adjustRightInd w:val="0"/>
              <w:snapToGrid w:val="0"/>
              <w:jc w:val="center"/>
              <w:rPr>
                <w:rFonts w:ascii="Times New Roman" w:hAnsi="Times New Roman" w:cs="Times New Roman"/>
                <w:szCs w:val="21"/>
              </w:rPr>
            </w:pPr>
            <w:r>
              <w:rPr>
                <w:rFonts w:ascii="Times New Roman" w:hAnsi="Times New Roman" w:cs="Times New Roman"/>
                <w:szCs w:val="21"/>
              </w:rPr>
              <w:t>100</w:t>
            </w:r>
          </w:p>
        </w:tc>
        <w:tc>
          <w:tcPr>
            <w:tcW w:w="578" w:type="pct"/>
            <w:vAlign w:val="center"/>
          </w:tcPr>
          <w:p w14:paraId="1A09B0B1">
            <w:pPr>
              <w:widowControl/>
              <w:adjustRightInd w:val="0"/>
              <w:snapToGrid w:val="0"/>
              <w:jc w:val="center"/>
              <w:rPr>
                <w:rFonts w:ascii="Times New Roman" w:hAnsi="Times New Roman" w:cs="Times New Roman"/>
                <w:szCs w:val="21"/>
              </w:rPr>
            </w:pPr>
            <w:r>
              <w:rPr>
                <w:rFonts w:ascii="Times New Roman" w:hAnsi="Times New Roman" w:cs="Times New Roman"/>
                <w:szCs w:val="21"/>
              </w:rPr>
              <w:t>264</w:t>
            </w:r>
          </w:p>
        </w:tc>
        <w:tc>
          <w:tcPr>
            <w:tcW w:w="732" w:type="pct"/>
            <w:vAlign w:val="center"/>
          </w:tcPr>
          <w:p w14:paraId="00CC33D2">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30" w:type="pct"/>
            <w:vAlign w:val="center"/>
          </w:tcPr>
          <w:p w14:paraId="34ECB7A3">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12CDC95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7" w:type="pct"/>
            <w:vAlign w:val="center"/>
          </w:tcPr>
          <w:p w14:paraId="57C48B28">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5</w:t>
            </w:r>
          </w:p>
        </w:tc>
        <w:tc>
          <w:tcPr>
            <w:tcW w:w="1398" w:type="pct"/>
            <w:vAlign w:val="center"/>
          </w:tcPr>
          <w:p w14:paraId="2A1B72CC">
            <w:pPr>
              <w:widowControl/>
              <w:adjustRightInd w:val="0"/>
              <w:snapToGrid w:val="0"/>
              <w:jc w:val="center"/>
              <w:rPr>
                <w:rFonts w:ascii="Times New Roman" w:hAnsi="Times New Roman" w:cs="Times New Roman"/>
                <w:szCs w:val="21"/>
              </w:rPr>
            </w:pPr>
            <w:r>
              <w:rPr>
                <w:rFonts w:ascii="Times New Roman" w:hAnsi="Times New Roman" w:cs="Times New Roman"/>
                <w:szCs w:val="21"/>
              </w:rPr>
              <w:t>8:25:66:0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{"citationID":"4qR0CG2s","properties":{"formattedCitation":"\\super 19\\nosupersub{}","plainCitation":"19","noteIndex":0},"citationItems":[{"id":952,"uris":["http://zotero.org/users/17156447/items/NE6BYTDF"],"itemData":{"id":952,"type":"article-journal","abstract":"Liquid electrolyte design and modelling is an essential part of the development of improved lithium ion batteries.\n          , \n            \n              Liquid electrolyte design and modelling is an essential part of the development of improved lithium ion batteries. For mixed organic carbonates (ethylene carbonate (EC) and ethyl–methyl carbonate (EMC) mixtures)-based electrolytes with LiPF\n              6\n              as salt, we have compared a polarizable force field with the standard non-polarizable force field with and without charge rescaling to model the structural and dynamic properties. The result of our molecular dynamics simulations shows that both polarizable and non-polarizable force fields have similar structural factors, which are also in agreement with X-ray diffraction experimental results. In contrast, structural differences are observed for the lithium neighborhood, while the lithium–anion neighbourhood is much more pronounced for the polarizable force field. Comparison of EC/EMC coordination statistics with Fourier transformed infrared spectroscopy (FTIR) shows the best agreement for the polarizable force field. Also for transport quantities such as ionic conductivities, transference numbers, and viscosities, the agreement with the polarizable force field is by far better for a large range of salt concentrations and EC : EMC ratios. In contrast, for the non-polarizable variants, the dynamics are largely underestimated. The excellent performance of the polarizable force field is explored in different ways to pave the way to a realistic description of the structure–dynamics relationships for a wide range of salt and solvent compositions for this standard electrolyte. In particular, we can characterize the distinct correlation terms between like and unlike ions, relate them to structural properties, and explore to which degree the transport in this electrolyte is mass or charge limited.","container-title":"Physical Chemistry Chemical Physics","DOI":"10.1039/D3CP01236K","ISSN":"1463-9076, 1463-9084","issue":"30","journalAbbreviation":"Phys. Chem. Chem. Phys.","language":"en","note":"2 citations (Crossref/DOI) [2025-05-22]\n2 citations (Crossref/DOI) [2025-05-21]\nJCR分区: Q1\n5年影响因子: 3.0","page":"20350-20364","source":"DOI.org (Crossref)","title":"Mechanistic understanding of the correlation between structure and dynamics of liquid carbonate electrolytes: impact of polarization","title-short":"Mechanistic understanding of the correlation between structure and dynamics of liquid carbonate electrolytes","volume":"25","author":[{"family":"Maiti","given":"Moumita"},{"family":"Krishnamoorthy","given":"Anand Narayanan"},{"family":"Mabrouk","given":"Youssef"},{"family":"Mozhzhukhina","given":"Nataliia"},{"family":"Matic","given":"Aleksandar"},{"family":"Diddens","given":"Diddo"},{"family":"Heuer","given":"Andreas"}],"issued":{"date-parts":[["2023"]]}}}],"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19</w:t>
            </w:r>
            <w:r>
              <w:rPr>
                <w:rFonts w:ascii="Times New Roman" w:hAnsi="Times New Roman" w:cs="Times New Roman"/>
                <w:szCs w:val="21"/>
              </w:rPr>
              <w:fldChar w:fldCharType="end"/>
            </w:r>
          </w:p>
        </w:tc>
        <w:tc>
          <w:tcPr>
            <w:tcW w:w="598" w:type="pct"/>
            <w:vAlign w:val="center"/>
          </w:tcPr>
          <w:p w14:paraId="7A0FB9D9">
            <w:pPr>
              <w:widowControl/>
              <w:adjustRightInd w:val="0"/>
              <w:snapToGrid w:val="0"/>
              <w:jc w:val="center"/>
              <w:rPr>
                <w:rFonts w:ascii="Times New Roman" w:hAnsi="Times New Roman" w:cs="Times New Roman"/>
                <w:szCs w:val="21"/>
              </w:rPr>
            </w:pPr>
            <w:r>
              <w:rPr>
                <w:rFonts w:ascii="Times New Roman" w:hAnsi="Times New Roman" w:cs="Times New Roman"/>
                <w:szCs w:val="21"/>
              </w:rPr>
              <w:t>32</w:t>
            </w:r>
          </w:p>
        </w:tc>
        <w:tc>
          <w:tcPr>
            <w:tcW w:w="467" w:type="pct"/>
            <w:vAlign w:val="center"/>
          </w:tcPr>
          <w:p w14:paraId="4859AD72">
            <w:pPr>
              <w:widowControl/>
              <w:adjustRightInd w:val="0"/>
              <w:snapToGrid w:val="0"/>
              <w:jc w:val="center"/>
              <w:rPr>
                <w:rFonts w:ascii="Times New Roman" w:hAnsi="Times New Roman" w:cs="Times New Roman"/>
                <w:szCs w:val="21"/>
              </w:rPr>
            </w:pPr>
            <w:r>
              <w:rPr>
                <w:rFonts w:ascii="Times New Roman" w:hAnsi="Times New Roman" w:cs="Times New Roman"/>
                <w:szCs w:val="21"/>
              </w:rPr>
              <w:t>100</w:t>
            </w:r>
          </w:p>
        </w:tc>
        <w:tc>
          <w:tcPr>
            <w:tcW w:w="578" w:type="pct"/>
            <w:vAlign w:val="center"/>
          </w:tcPr>
          <w:p w14:paraId="335FD2BF">
            <w:pPr>
              <w:widowControl/>
              <w:adjustRightInd w:val="0"/>
              <w:snapToGrid w:val="0"/>
              <w:jc w:val="center"/>
              <w:rPr>
                <w:rFonts w:ascii="Times New Roman" w:hAnsi="Times New Roman" w:cs="Times New Roman"/>
                <w:szCs w:val="21"/>
              </w:rPr>
            </w:pPr>
            <w:r>
              <w:rPr>
                <w:rFonts w:ascii="Times New Roman" w:hAnsi="Times New Roman" w:cs="Times New Roman"/>
                <w:szCs w:val="21"/>
              </w:rPr>
              <w:t>264</w:t>
            </w:r>
          </w:p>
        </w:tc>
        <w:tc>
          <w:tcPr>
            <w:tcW w:w="732" w:type="pct"/>
            <w:vAlign w:val="center"/>
          </w:tcPr>
          <w:p w14:paraId="7E24A52D">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30" w:type="pct"/>
            <w:vAlign w:val="center"/>
          </w:tcPr>
          <w:p w14:paraId="5EE1AD9A">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58CC28D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7" w:type="pct"/>
            <w:vAlign w:val="center"/>
          </w:tcPr>
          <w:p w14:paraId="7BB19A4A">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6</w:t>
            </w:r>
          </w:p>
        </w:tc>
        <w:tc>
          <w:tcPr>
            <w:tcW w:w="1398" w:type="pct"/>
            <w:vAlign w:val="center"/>
          </w:tcPr>
          <w:p w14:paraId="677915F9">
            <w:pPr>
              <w:widowControl/>
              <w:adjustRightInd w:val="0"/>
              <w:snapToGrid w:val="0"/>
              <w:jc w:val="center"/>
              <w:rPr>
                <w:rFonts w:ascii="Times New Roman" w:hAnsi="Times New Roman" w:cs="Times New Roman"/>
                <w:szCs w:val="21"/>
              </w:rPr>
            </w:pPr>
            <w:r>
              <w:rPr>
                <w:rFonts w:ascii="Times New Roman" w:hAnsi="Times New Roman" w:cs="Times New Roman"/>
                <w:szCs w:val="21"/>
              </w:rPr>
              <w:t>7:20:40:0</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{"citationID":"RMv5H13H","properties":{"formattedCitation":"\\super 20\\uc0\\u8211{}23\\nosupersub{}","plainCitation":"20–23","noteIndex":0},"citationItems":[{"id":1042,"uris":["http://zotero.org/users/17156447/items/4YY59TQV"],"itemData":{"id":1042,"type":"article-journal","abstract":"Development of Li\n              +\n              -containing electrolytes with improved transport properties requires reliable, reproducible, and ideally low volume techniques to rigorously understand ion-transport with varying composition. Precisely measuring the complete set of transport coefficients in liquid electrolytes under battery-relevant operating conditions is difficult and the reliability of these methods are sparsely described in electrolyte transport literature. In this work, we apply a potentiostatic polarization-based transport characterization approach typically used for polymer electrolytes to liquid electrolyte systems in an attempt to fully measure all transport coefficients (conductivity, total salt diffusion coefficient, thermodynamic factor and transference number) for the model system of LiPF\n              6\n              in an ethylene carbonate—ethyl methyl carbonate (EC:EMC) mixture. Using systematic timescale and statistical analyses, we find that transport coefficients measured using potentiostatic polarization of Li-Li symmetric cells exhibit strong correlation to Li electrode interfacial resistance, indicating that such methods are probing both bulk and interfacial phenomena. This reveals a major roadblock in characterizing electrolyte systems where the interfacial resistance is significantly larger than ohmic electrolyte resistance. As a result, we find that methods that rely on potentiostatic Li metal stripping/plating do not readily result in reliable liquid electrolyte transport coefficients, unlike similar methods for solid polymer electrolytes, where interfacial resistances are typically smaller than electrolyte resistances at the elevated temperatures typically of interest for such electrolytes.","container-title":"Journal of the Electrochemical Society","DOI":"10.1149/1945-7111/ac0994","ISSN":"0013-4651, 1945-7111","issue":"6","journalAbbreviation":"J. Electrochem. Soc.","language":"en","note":"19 citations (Crossref/DOI) [2025-06-13]\nJCR分区: Q2\n5年影响因子: 3.8","page":"60543","source":"DOI.org (Crossref)","title":"Interfacial effects on transport coefficient measurements in Li-ion battery electrolytes","volume":"168","author":[{"family":"Bergstrom","given":"Helen K."},{"family":"Fong","given":"Kara D."},{"family":"McCloskey","given":"Bryan D."}],"issued":{"date-parts":[["2021",6,1]]}}},{"id":1044,"uris":["http://zotero.org/users/17156447/items/ZLJIVJBF"],"itemData":{"id":1044,"type":"article-journal","abstract":"Limitations of using the single-solvent approximation to quantify transport in mixed-solvent electrolytes are highlighted. A rigorous simulation approach to quantify selective solvent transport is presented and validated by electrophoretic NMR.\n          , \n            \n              Electrolytes in lithium-ion batteries comprise solvent mixtures, but analysis of ion transport is always based on treating the solvents as a single-entity. We combine electrophoretic NMR (eNMR) measurements and molecular dynamics (MD) simulations to quantify electric-field-induced transport in a concentrated solution containing LiPF\n              6\n              salt dissolved in an ethylene carbonate/ethyl methyl carbonate (EC/EMC) mixture. The selective transport of EC relative to EMC is reflected in the difference between two transference numbers, defined as the fraction of current carried by cations relative to the velocity of each solvent species. This difference arises from the preferential solvation of cations by EC and its dynamic consequences. The simulations reveal the presence of a large variety of transient solvent-containing clusters which migrate at different velocities. Rigorous averaging over different solvation environments is essential for comparing simulated and measured transference numbers. Our study emphasizes the necessity of acknowledging the presence of four species in mixed-solvent electrolytes.","container-title":"Chemical Science","DOI":"10.1039/D3SC01158E","ISSN":"2041-6520, 2041-6539","issue":"20","journalAbbreviation":"Chem. Sci.","language":"en","note":"8 citations (Crossref/DOI) [2025-06-13]\nJCR分区: Q1\n5年影响因子: 8.0","page":"5332-5339","source":"DOI.org (Crossref)","title":"Quantifying selective solvent transport under an electric field in mixed-solvent electrolytes","volume":"14","author":[{"family":"Fang","given":"Chao"},{"family":"Halat","given":"David M."},{"family":"Mistry","given":"Aashutosh"},{"family":"Reimer","given":"Jeffrey A."},{"family":"Balsara","given":"Nitash P."},{"family":"Wang","given":"Rui"}],"issued":{"date-parts":[["2023"]]}}},{"id":1332,"uris":["http://zotero.org/users/17156447/items/U9NI7YGQ"],"itemData":{"id":1332,"type":"article-journal","abstract":"Alkyl chain length influences ionicity, conductivity, and viscosity of lithium imidazole salts.\n          , \n            \n              Lithium-ion battery performance and longevity depend critically on the conducting salt utilized in the electrolyte. With new avenues for multifunctional integration and optimization of functional properties, conducting salts beyond lithium hexafluorophosphate (LiPF\n              6\n              ) need to be studied. Herein we elucidate on viscosity, ionicity, anion self-diffusion and ionic conductivity through variation of the length of the perfluoroalkyl side chain present in the anions of the used lithium imidazole salts. Specifically, we study LiPF\n              6\n              in comparison with lithium 4,5-dicyano-2-(trifluoromethyl)imidazolide (LiTDI), lithium 4,5-dicyano-2-(pentafluoroethyl)imidazolide (LiPDI), and lithium 4,5-dicyano-2-(\n              n\n              -heptafluoropropyl)imidazolide (LiHDI). We find that the ion mobility of LiPF\n              6\n              depends the least on viscosity and its ionicity is the highest among the electrolytes investigated here. LiTDI shows the strongest correlation between ion mobility and viscosity and the lowest ionicity. LiPDI and LiHDI range between these two regarding their ionicity and the correlation of mobility with viscosity. The previously rarely studied anion self-diffusion coefficients exhibit a strong correlation with viscosity as it was to be expected. Differences between the LiTDI, LiPDI and LiHDI salts are minute.","container-title":"Journal of Materials Chemistry A","DOI":"10.1039/D3TA01217D","ISSN":"2050-7488, 2050-7496","issue":"25","journalAbbreviation":"J. Mater. Chem. A","language":"en","note":"12 citations (Crossref/DOI) [2025-10-28]","page":"13483-13492","source":"DOI.org (Crossref)","title":"Ionic conductivity, viscosity, and self-diffusion coefficients of novel imidazole salts for lithium-ion battery electrolytes","volume":"11","author":[{"family":"Szczęsna-Chrzan","given":"Anna"},{"family":"Vogler","given":"Monika"},{"family":"Yan","given":"Peng"},{"family":"Żukowska","given":"Grażyna Zofia"},{"family":"Wölke","given":"Christian"},{"family":"Ostrowska","given":"Agnieszka"},{"family":"Szymańska","given":"Sara"},{"family":"Marcinek","given":"Marek"},{"family":"Winter","given":"Martin"},{"family":"Cekic-Laskovic","given":"Isidora"},{"family":"Wieczorek","given":"Władysław"},{"family":"Stein","given":"Helge S."}],"issued":{"date-parts":[["2023"]]}}},{"id":1334,"uris":["http://zotero.org/users/17156447/items/RYFLDX2S"],"itemData":{"id":1334,"type":"article-journal","abstract":"We studied the effect of salt concentration and solvent ratio on the cycling performance of LiMn2O4 cathode and graphite anode in LiPF6±ethylene carbonate 5EC)±ethyl methyl carbonate 5EMC) electrolytes. The results showthat solvent ratio has negligible impact on the performance of both electrodes but does affect the issues of thermal compatibility and ionic conductivity. Salt concentration affects the performance in two reverse ways: LiMn2O4 cathode requires lowconcentration, while graphite anode requires high concentration. It is observed that, during the ®rst cycle, both electrodes produce irreversible capacity and form a solid electrolyte interface 5SEI) ®lm on their surface. From the viewpoint of operation at lowtemperatures, 1 M LiPF 6 3:7 EC±EMC is recommended for Li-ion cells. # 2002 Elsevier Science B.V. All rights reserved.","container-title":"Journal of Power Sources","DOI":"10.1016/S0378-7753(01)00968-5","ISSN":"03787753","issue":"1","journalAbbreviation":"J. Power Sources","language":"en","license":"https://www.elsevier.com/tdm/userlicense/1.0/","note":"128 citations (Crossref/DOI) [2025-10-28]\nJCR分区: Q1\n5年影响因子: 8.4","page":"18-23","source":"DOI.org (Crossref)","title":"LiPF6–EC–EMC electrolyte for li-ion battery","volume":"107","author":[{"family":"Zhang","given":"S.S"},{"family":"Jow","given":"T.R"},{"family":"Amine","given":"K"},{"family":"Henriksen","given":"G.L"}],"issued":{"date-parts":[["2002",4]]}}}],"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20–23</w:t>
            </w:r>
            <w:r>
              <w:rPr>
                <w:rFonts w:ascii="Times New Roman" w:hAnsi="Times New Roman" w:cs="Times New Roman"/>
                <w:szCs w:val="21"/>
              </w:rPr>
              <w:fldChar w:fldCharType="end"/>
            </w:r>
          </w:p>
        </w:tc>
        <w:tc>
          <w:tcPr>
            <w:tcW w:w="598" w:type="pct"/>
            <w:vAlign w:val="center"/>
          </w:tcPr>
          <w:p w14:paraId="2B4CCC7F">
            <w:pPr>
              <w:widowControl/>
              <w:adjustRightInd w:val="0"/>
              <w:snapToGrid w:val="0"/>
              <w:jc w:val="center"/>
              <w:rPr>
                <w:rFonts w:ascii="Times New Roman" w:hAnsi="Times New Roman" w:cs="Times New Roman"/>
                <w:szCs w:val="21"/>
              </w:rPr>
            </w:pPr>
            <w:r>
              <w:rPr>
                <w:rFonts w:ascii="Times New Roman" w:hAnsi="Times New Roman" w:cs="Times New Roman"/>
                <w:szCs w:val="21"/>
              </w:rPr>
              <w:t>35</w:t>
            </w:r>
          </w:p>
        </w:tc>
        <w:tc>
          <w:tcPr>
            <w:tcW w:w="467" w:type="pct"/>
            <w:vAlign w:val="center"/>
          </w:tcPr>
          <w:p w14:paraId="3C4DF236">
            <w:pPr>
              <w:widowControl/>
              <w:adjustRightInd w:val="0"/>
              <w:snapToGrid w:val="0"/>
              <w:jc w:val="center"/>
              <w:rPr>
                <w:rFonts w:ascii="Times New Roman" w:hAnsi="Times New Roman" w:cs="Times New Roman"/>
                <w:szCs w:val="21"/>
              </w:rPr>
            </w:pPr>
            <w:r>
              <w:rPr>
                <w:rFonts w:ascii="Times New Roman" w:hAnsi="Times New Roman" w:cs="Times New Roman"/>
                <w:szCs w:val="21"/>
              </w:rPr>
              <w:t>100</w:t>
            </w:r>
          </w:p>
        </w:tc>
        <w:tc>
          <w:tcPr>
            <w:tcW w:w="578" w:type="pct"/>
            <w:vAlign w:val="center"/>
          </w:tcPr>
          <w:p w14:paraId="1551E5CD">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732" w:type="pct"/>
            <w:vAlign w:val="center"/>
          </w:tcPr>
          <w:p w14:paraId="01E99755">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30" w:type="pct"/>
            <w:vAlign w:val="center"/>
          </w:tcPr>
          <w:p w14:paraId="795F51A5">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1D884C5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7" w:type="pct"/>
            <w:vAlign w:val="center"/>
          </w:tcPr>
          <w:p w14:paraId="2B48BC38">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7</w:t>
            </w:r>
          </w:p>
        </w:tc>
        <w:tc>
          <w:tcPr>
            <w:tcW w:w="1398" w:type="pct"/>
            <w:vAlign w:val="center"/>
          </w:tcPr>
          <w:p w14:paraId="20697594">
            <w:pPr>
              <w:widowControl/>
              <w:adjustRightInd w:val="0"/>
              <w:snapToGrid w:val="0"/>
              <w:jc w:val="center"/>
              <w:rPr>
                <w:rFonts w:ascii="Times New Roman" w:hAnsi="Times New Roman" w:cs="Times New Roman"/>
                <w:szCs w:val="21"/>
              </w:rPr>
            </w:pPr>
            <w:r>
              <w:rPr>
                <w:rFonts w:ascii="Times New Roman" w:hAnsi="Times New Roman" w:cs="Times New Roman"/>
                <w:szCs w:val="21"/>
              </w:rPr>
              <w:t>0:1:0:0</w:t>
            </w:r>
          </w:p>
        </w:tc>
        <w:tc>
          <w:tcPr>
            <w:tcW w:w="598" w:type="pct"/>
            <w:vAlign w:val="center"/>
          </w:tcPr>
          <w:p w14:paraId="08D08250">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467" w:type="pct"/>
            <w:vAlign w:val="center"/>
          </w:tcPr>
          <w:p w14:paraId="4223FED8">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578" w:type="pct"/>
            <w:vAlign w:val="center"/>
          </w:tcPr>
          <w:p w14:paraId="79F47EC1">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32" w:type="pct"/>
            <w:vAlign w:val="center"/>
          </w:tcPr>
          <w:p w14:paraId="33AFAD99">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30" w:type="pct"/>
            <w:vAlign w:val="center"/>
          </w:tcPr>
          <w:p w14:paraId="75A3873E">
            <w:pPr>
              <w:widowControl/>
              <w:adjustRightInd w:val="0"/>
              <w:snapToGrid w:val="0"/>
              <w:jc w:val="center"/>
              <w:rPr>
                <w:rFonts w:ascii="Times New Roman" w:hAnsi="Times New Roman" w:cs="Times New Roman"/>
                <w:szCs w:val="21"/>
              </w:rPr>
            </w:pPr>
            <w:r>
              <w:rPr>
                <w:rFonts w:ascii="Times New Roman" w:hAnsi="Times New Roman" w:cs="Times New Roman"/>
                <w:szCs w:val="21"/>
              </w:rPr>
              <w:t>Neat EC</w:t>
            </w:r>
          </w:p>
        </w:tc>
      </w:tr>
      <w:tr w14:paraId="142B9B0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497" w:type="pct"/>
            <w:vAlign w:val="center"/>
          </w:tcPr>
          <w:p w14:paraId="10E64290">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8</w:t>
            </w:r>
          </w:p>
        </w:tc>
        <w:tc>
          <w:tcPr>
            <w:tcW w:w="1398" w:type="pct"/>
            <w:vAlign w:val="center"/>
          </w:tcPr>
          <w:p w14:paraId="6C943952">
            <w:pPr>
              <w:widowControl/>
              <w:adjustRightInd w:val="0"/>
              <w:snapToGrid w:val="0"/>
              <w:jc w:val="center"/>
              <w:rPr>
                <w:rFonts w:ascii="Times New Roman" w:hAnsi="Times New Roman" w:cs="Times New Roman"/>
                <w:szCs w:val="21"/>
              </w:rPr>
            </w:pPr>
            <w:r>
              <w:rPr>
                <w:rFonts w:ascii="Times New Roman" w:hAnsi="Times New Roman" w:cs="Times New Roman"/>
                <w:szCs w:val="21"/>
              </w:rPr>
              <w:t>0:0:1:0</w:t>
            </w:r>
          </w:p>
        </w:tc>
        <w:tc>
          <w:tcPr>
            <w:tcW w:w="598" w:type="pct"/>
            <w:vAlign w:val="center"/>
          </w:tcPr>
          <w:p w14:paraId="0D67E2AC">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467" w:type="pct"/>
            <w:vAlign w:val="center"/>
          </w:tcPr>
          <w:p w14:paraId="656F98E7">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578" w:type="pct"/>
            <w:vAlign w:val="center"/>
          </w:tcPr>
          <w:p w14:paraId="0549CD82">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732" w:type="pct"/>
            <w:vAlign w:val="center"/>
          </w:tcPr>
          <w:p w14:paraId="7B5DA3CE">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730" w:type="pct"/>
            <w:vAlign w:val="center"/>
          </w:tcPr>
          <w:p w14:paraId="5261FCC9">
            <w:pPr>
              <w:widowControl/>
              <w:adjustRightInd w:val="0"/>
              <w:snapToGrid w:val="0"/>
              <w:jc w:val="center"/>
              <w:rPr>
                <w:rFonts w:ascii="Times New Roman" w:hAnsi="Times New Roman" w:cs="Times New Roman"/>
                <w:szCs w:val="21"/>
              </w:rPr>
            </w:pPr>
            <w:r>
              <w:rPr>
                <w:rFonts w:ascii="Times New Roman" w:hAnsi="Times New Roman" w:cs="Times New Roman"/>
                <w:szCs w:val="21"/>
              </w:rPr>
              <w:t>Neat EMC</w:t>
            </w:r>
          </w:p>
        </w:tc>
      </w:tr>
    </w:tbl>
    <w:p w14:paraId="6E713D65">
      <w:pPr>
        <w:widowControl/>
        <w:adjustRightInd w:val="0"/>
        <w:snapToGrid w:val="0"/>
        <w:spacing w:after="156" w:afterLines="50" w:line="360" w:lineRule="auto"/>
        <w:rPr>
          <w:rStyle w:val="27"/>
          <w:rFonts w:cs="Times New Roman"/>
        </w:rPr>
      </w:pPr>
    </w:p>
    <w:p w14:paraId="094D4365">
      <w:pPr>
        <w:widowControl/>
        <w:adjustRightInd w:val="0"/>
        <w:snapToGrid w:val="0"/>
        <w:spacing w:after="156" w:afterLines="50" w:line="360" w:lineRule="auto"/>
        <w:rPr>
          <w:rStyle w:val="27"/>
          <w:rFonts w:cs="Times New Roman"/>
        </w:rPr>
      </w:pPr>
    </w:p>
    <w:p w14:paraId="268DD644">
      <w:pPr>
        <w:widowControl/>
        <w:adjustRightInd w:val="0"/>
        <w:snapToGrid w:val="0"/>
        <w:spacing w:after="156" w:afterLines="50" w:line="360" w:lineRule="auto"/>
        <w:rPr>
          <w:rFonts w:ascii="Times New Roman" w:hAnsi="Times New Roman" w:cs="Times New Roman"/>
          <w:sz w:val="24"/>
          <w:szCs w:val="24"/>
        </w:rPr>
      </w:pPr>
      <w:bookmarkStart w:id="9" w:name="_Toc221108131"/>
      <w:r>
        <w:rPr>
          <w:rStyle w:val="27"/>
          <w:rFonts w:cs="Times New Roman"/>
        </w:rPr>
        <w:t>Supplementary Table 4 | Compositions of LiPF</w:t>
      </w:r>
      <w:r>
        <w:rPr>
          <w:rStyle w:val="27"/>
          <w:rFonts w:cs="Times New Roman"/>
          <w:vertAlign w:val="subscript"/>
        </w:rPr>
        <w:t>6</w:t>
      </w:r>
      <w:r>
        <w:rPr>
          <w:rStyle w:val="27"/>
          <w:rFonts w:cs="Times New Roman"/>
        </w:rPr>
        <w:t>:EC:DMC carbonate-based systems.</w:t>
      </w:r>
      <w:bookmarkEnd w:id="9"/>
      <w:r>
        <w:rPr>
          <w:rStyle w:val="27"/>
          <w:rFonts w:cs="Times New Roman"/>
        </w:rPr>
        <w:t xml:space="preserve"> </w:t>
      </w:r>
      <w:r>
        <w:rPr>
          <w:rFonts w:ascii="Times New Roman" w:hAnsi="Times New Roman" w:cs="Times New Roman"/>
          <w:sz w:val="24"/>
          <w:szCs w:val="24"/>
        </w:rPr>
        <w:t>Molar ratios and numbers of molecules or formula units (</w:t>
      </w:r>
      <w:r>
        <w:rPr>
          <w:rFonts w:ascii="Times New Roman" w:hAnsi="Times New Roman" w:cs="Times New Roman"/>
          <w:i/>
          <w:iCs/>
          <w:sz w:val="24"/>
          <w:szCs w:val="24"/>
        </w:rPr>
        <w:t>N</w:t>
      </w:r>
      <w:r>
        <w:rPr>
          <w:rFonts w:ascii="Times New Roman" w:hAnsi="Times New Roman" w:cs="Times New Roman"/>
          <w:sz w:val="24"/>
          <w:szCs w:val="24"/>
        </w:rPr>
        <w:t>) for LiPF</w:t>
      </w:r>
      <w:r>
        <w:rPr>
          <w:rFonts w:ascii="Times New Roman" w:hAnsi="Times New Roman" w:cs="Times New Roman"/>
          <w:sz w:val="24"/>
          <w:szCs w:val="24"/>
          <w:vertAlign w:val="subscript"/>
        </w:rPr>
        <w:t>6</w:t>
      </w:r>
      <w:r>
        <w:rPr>
          <w:rFonts w:ascii="Times New Roman" w:hAnsi="Times New Roman" w:cs="Times New Roman"/>
          <w:sz w:val="24"/>
          <w:szCs w:val="24"/>
        </w:rPr>
        <w:t>:EC:DMC electrolyte and neat solvent (DMC).</w:t>
      </w:r>
    </w:p>
    <w:tbl>
      <w:tblPr>
        <w:tblStyle w:val="5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030"/>
        <w:gridCol w:w="2900"/>
        <w:gridCol w:w="1241"/>
        <w:gridCol w:w="966"/>
        <w:gridCol w:w="1213"/>
        <w:gridCol w:w="1514"/>
      </w:tblGrid>
      <w:tr w14:paraId="46F2F96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581" w:type="pct"/>
            <w:tcBorders>
              <w:bottom w:val="single" w:color="7E7E7E" w:themeColor="text1" w:themeTint="80" w:sz="4" w:space="0"/>
              <w:insideH w:val="single" w:sz="4" w:space="0"/>
            </w:tcBorders>
            <w:vAlign w:val="center"/>
          </w:tcPr>
          <w:p w14:paraId="6DC94F87">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System</w:t>
            </w:r>
          </w:p>
        </w:tc>
        <w:tc>
          <w:tcPr>
            <w:tcW w:w="1636" w:type="pct"/>
            <w:tcBorders>
              <w:bottom w:val="single" w:color="7E7E7E" w:themeColor="text1" w:themeTint="80" w:sz="4" w:space="0"/>
              <w:insideH w:val="single" w:sz="4" w:space="0"/>
            </w:tcBorders>
            <w:vAlign w:val="center"/>
          </w:tcPr>
          <w:p w14:paraId="5EFCE0FB">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LiPF</w:t>
            </w:r>
            <w:r>
              <w:rPr>
                <w:rFonts w:ascii="Times New Roman" w:hAnsi="Times New Roman" w:cs="Times New Roman"/>
                <w:b/>
                <w:bCs/>
                <w:szCs w:val="21"/>
                <w:vertAlign w:val="subscript"/>
              </w:rPr>
              <w:t>6</w:t>
            </w:r>
            <w:r>
              <w:rPr>
                <w:rFonts w:ascii="Times New Roman" w:hAnsi="Times New Roman" w:cs="Times New Roman"/>
                <w:b/>
                <w:bCs/>
                <w:szCs w:val="21"/>
              </w:rPr>
              <w:t>:EC:DMC</w:t>
            </w:r>
          </w:p>
        </w:tc>
        <w:tc>
          <w:tcPr>
            <w:tcW w:w="700" w:type="pct"/>
            <w:tcBorders>
              <w:bottom w:val="single" w:color="7E7E7E" w:themeColor="text1" w:themeTint="80" w:sz="4" w:space="0"/>
              <w:insideH w:val="single" w:sz="4" w:space="0"/>
            </w:tcBorders>
            <w:vAlign w:val="center"/>
          </w:tcPr>
          <w:p w14:paraId="264FEF9A">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63A7A86E">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(LiPF</w:t>
            </w:r>
            <w:r>
              <w:rPr>
                <w:rFonts w:ascii="Times New Roman" w:hAnsi="Times New Roman" w:cs="Times New Roman"/>
                <w:b/>
                <w:bCs/>
                <w:szCs w:val="21"/>
                <w:vertAlign w:val="subscript"/>
              </w:rPr>
              <w:t>6</w:t>
            </w:r>
            <w:r>
              <w:rPr>
                <w:rFonts w:ascii="Times New Roman" w:hAnsi="Times New Roman" w:cs="Times New Roman"/>
                <w:b/>
                <w:bCs/>
                <w:szCs w:val="21"/>
              </w:rPr>
              <w:t>)</w:t>
            </w:r>
          </w:p>
        </w:tc>
        <w:tc>
          <w:tcPr>
            <w:tcW w:w="545" w:type="pct"/>
            <w:tcBorders>
              <w:bottom w:val="single" w:color="7E7E7E" w:themeColor="text1" w:themeTint="80" w:sz="4" w:space="0"/>
              <w:insideH w:val="single" w:sz="4" w:space="0"/>
            </w:tcBorders>
            <w:vAlign w:val="center"/>
          </w:tcPr>
          <w:p w14:paraId="31F57AB9">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3171E13A">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(EC)</w:t>
            </w:r>
          </w:p>
        </w:tc>
        <w:tc>
          <w:tcPr>
            <w:tcW w:w="684" w:type="pct"/>
            <w:tcBorders>
              <w:bottom w:val="single" w:color="7E7E7E" w:themeColor="text1" w:themeTint="80" w:sz="4" w:space="0"/>
              <w:insideH w:val="single" w:sz="4" w:space="0"/>
            </w:tcBorders>
            <w:vAlign w:val="center"/>
          </w:tcPr>
          <w:p w14:paraId="78DA35A0">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664826DF">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(DMC)</w:t>
            </w:r>
          </w:p>
        </w:tc>
        <w:tc>
          <w:tcPr>
            <w:tcW w:w="854" w:type="pct"/>
            <w:tcBorders>
              <w:bottom w:val="single" w:color="7E7E7E" w:themeColor="text1" w:themeTint="80" w:sz="4" w:space="0"/>
              <w:insideH w:val="single" w:sz="4" w:space="0"/>
            </w:tcBorders>
            <w:vAlign w:val="center"/>
          </w:tcPr>
          <w:p w14:paraId="79081AA4">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Description</w:t>
            </w:r>
          </w:p>
        </w:tc>
      </w:tr>
      <w:tr w14:paraId="1588CD4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581" w:type="pct"/>
            <w:vAlign w:val="center"/>
          </w:tcPr>
          <w:p w14:paraId="725750D0">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1</w:t>
            </w:r>
          </w:p>
        </w:tc>
        <w:tc>
          <w:tcPr>
            <w:tcW w:w="1636" w:type="pct"/>
            <w:vAlign w:val="center"/>
          </w:tcPr>
          <w:p w14:paraId="1AC43EB1">
            <w:pPr>
              <w:widowControl/>
              <w:adjustRightInd w:val="0"/>
              <w:snapToGrid w:val="0"/>
              <w:jc w:val="center"/>
              <w:rPr>
                <w:rFonts w:ascii="Times New Roman" w:hAnsi="Times New Roman" w:cs="Times New Roman"/>
                <w:szCs w:val="21"/>
              </w:rPr>
            </w:pPr>
            <w:r>
              <w:rPr>
                <w:rFonts w:ascii="Times New Roman" w:hAnsi="Times New Roman" w:cs="Times New Roman"/>
                <w:szCs w:val="21"/>
              </w:rPr>
              <w:t>1:3:7</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{"citationID":"OcnBh0P7","properties":{"formattedCitation":"\\super 24,25\\nosupersub{}","plainCitation":"24,25","noteIndex":0},"citationItems":[{"id":1030,"uris":["http://zotero.org/users/17156447/items/4EREMGMU"],"itemData":{"id":1030,"type":"article-journal","abstract":"Abstract\n            \n              Developing high-energy and efficient battery technologies is a crucial aspect of advancing the electrification of transportation and aviation. However, battery innovations can take years to deliver. In the case of non-aqueous battery electrolyte solutions, the many design variables in selecting multiple solvents, salts and their relative ratios make electrolyte optimization time-consuming and laborious. To overcome these issues, we propose in this work an experimental design that couples robotics (a custom-built automated experiment named \"Clio”) to machine-learning (a Bayesian optimization-based experiment planner named \"Dragonfly”). An autonomous optimization of the electrolyte conductivity over a single-salt and ternary solvent design space identifies six fast-charging non-aqueous electrolyte solutions in two work-days and forty-two experiments. This result represents a six-fold time acceleration compared to a random search performed by the same automated experiment. To validate the practical use of these electrolytes, we tested them in a 220 mAh graphite</w:instrText>
            </w:r>
            <w:r>
              <w:rPr>
                <w:rFonts w:ascii="Cambria Math" w:hAnsi="Cambria Math" w:cs="Cambria Math"/>
                <w:szCs w:val="21"/>
              </w:rPr>
              <w:instrText xml:space="preserve">∣∣</w:instrText>
            </w:r>
            <w:r>
              <w:rPr>
                <w:rFonts w:ascii="Times New Roman" w:hAnsi="Times New Roman" w:cs="Times New Roman"/>
                <w:szCs w:val="21"/>
              </w:rPr>
              <w:instrText xml:space="preserve">LiNi\n              0.5\n              Mn\n              0.3\n              Co\n              0.2\n              O\n              2\n              pouch cell configuration. All the pouch cells containing the robot-developed electrolytes demonstrate improved fast-charging capability against a baseline experiment that uses a non-aqueous electrolyte solution selected a priori from the design space.","container-title":"Nature Communications","DOI":"10.1038/s41467-022-32938-1","ISSN":"2041-1723","issue":"1","journalAbbreviation":"Nat. Commun.","language":"en","note":"90 citations (Crossref/DOI) [2025-06-11]\nTLDR: An automated workflow is proposed that couples robotic experiments with machine learning to optimize liquid electrolyte formulations without human intervention to overcome time-consuming and laborious electrolyte optimization.\nJCR分区: Q1\n5年影响因子: 16.1","page":"5454","source":"DOI.org (Crossref)","title":"Autonomous optimization of non-aqueous li-ion battery electrolytes via robotic experimentation and machine learning coupling","volume":"13","author":[{"family":"Dave","given":"Adarsh"},{"family":"Mitchell","given":"Jared"},{"family":"Burke","given":"Sven"},{"family":"Lin","given":"Hongyi"},{"family":"Whitacre","given":"Jay"},{"family":"Viswanathan","given":"Venkatasubramanian"}],"issued":{"date-parts":[["2022",9,27]]}}},{"id":1329,"uris":["http://zotero.org/users/17156447/items/J3BIK2Y9"],"itemData":{"id":1329,"type":"article-journal","abstract":"Organic materials are promising candidates for next-generation battery systems. However, many organic battery materials suﬀer from high solubility in common battery electrolytes. Such solubility can be overcome by introducing tailored high-molecular-weight polymer structures, for example, by crosslinking, requiring enhanced synthetic eﬀorts. We herein propose a diﬀerent strategy by optimizing the battery electrolyte to obtain insolubility of non-cross-linked poly(3-vinyl-N-methylphenothiazine) (PVMPT). Successive investigation and theoretical insights into carbonate-based electrolytes and their interplay with PVMPT led to a strong decrease in the solubility of the redox polymer in ethylene carbonate/ethyl methyl carbonate (3:7) with 1 M LiPF6. This allowed accessing its full theoretical speciﬁc capacity by changing the charge/discharge mechanism compared to previous reports. Through electrochemical, spectroscopic, and theoretical investigations, we show that changing the constituents of the electrolyte signiﬁcantly inﬂuences the interactions between the electrolyte molecules and the redox polymer PVMPT. Our study demonstrates that choosing the ideal electrolyte composition without chemical modiﬁcation of the active material is a successful strategy to enhance the performance of organic polymer-based batteries.","container-title":"ACS Applied Materials &amp; Interfaces","DOI":"10.1021/acsami.0c20012","ISSN":"1944-8244, 1944-8252","issue":"10","journalAbbreviation":"ACS Appl. Mater. Interfaces","language":"en","license":"https://creativecommons.org/licenses/by/4.0/","note":"38 citations (Crossref/DOI) [2025-10-28]\nTLDR: This study demonstrates that choosing the ideal electrolyte composition without chemical modification of the active material is a successful strategy to enhance the performance of organic polymer-based batteries.","page":"12442-12453","source":"DOI.org (Crossref)","title":"Insights into the solubility of poly(vinylphenothiazine) in carbonate-based battery electrolytes","volume":"13","author":[{"family":"Perner","given":"Verena"},{"family":"Diddens","given":"Diddo"},{"family":"Otteny","given":"Fabian"},{"family":"Küpers","given":"Verena"},{"family":"Bieker","given":"Peter"},{"family":"Esser","given":"Birgit"},{"family":"Winter","given":"Martin"},{"family":"Kolek","given":"Martin"}],"issued":{"date-parts":[["2021",3,17]]}}}],"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24,25</w:t>
            </w:r>
            <w:r>
              <w:rPr>
                <w:rFonts w:ascii="Times New Roman" w:hAnsi="Times New Roman" w:cs="Times New Roman"/>
                <w:szCs w:val="21"/>
              </w:rPr>
              <w:fldChar w:fldCharType="end"/>
            </w:r>
          </w:p>
        </w:tc>
        <w:tc>
          <w:tcPr>
            <w:tcW w:w="700" w:type="pct"/>
            <w:vAlign w:val="center"/>
          </w:tcPr>
          <w:p w14:paraId="75A5BAFA">
            <w:pPr>
              <w:widowControl/>
              <w:adjustRightInd w:val="0"/>
              <w:snapToGrid w:val="0"/>
              <w:jc w:val="center"/>
              <w:rPr>
                <w:rFonts w:ascii="Times New Roman" w:hAnsi="Times New Roman" w:cs="Times New Roman"/>
                <w:szCs w:val="21"/>
              </w:rPr>
            </w:pPr>
            <w:r>
              <w:rPr>
                <w:rFonts w:ascii="Times New Roman" w:hAnsi="Times New Roman" w:cs="Times New Roman"/>
                <w:szCs w:val="21"/>
              </w:rPr>
              <w:t>32</w:t>
            </w:r>
          </w:p>
        </w:tc>
        <w:tc>
          <w:tcPr>
            <w:tcW w:w="545" w:type="pct"/>
            <w:vAlign w:val="center"/>
          </w:tcPr>
          <w:p w14:paraId="72030F3D">
            <w:pPr>
              <w:widowControl/>
              <w:adjustRightInd w:val="0"/>
              <w:snapToGrid w:val="0"/>
              <w:jc w:val="center"/>
              <w:rPr>
                <w:rFonts w:ascii="Times New Roman" w:hAnsi="Times New Roman" w:cs="Times New Roman"/>
                <w:szCs w:val="21"/>
              </w:rPr>
            </w:pPr>
            <w:r>
              <w:rPr>
                <w:rFonts w:ascii="Times New Roman" w:hAnsi="Times New Roman" w:cs="Times New Roman"/>
                <w:szCs w:val="21"/>
              </w:rPr>
              <w:t>96</w:t>
            </w:r>
          </w:p>
        </w:tc>
        <w:tc>
          <w:tcPr>
            <w:tcW w:w="684" w:type="pct"/>
            <w:vAlign w:val="center"/>
          </w:tcPr>
          <w:p w14:paraId="7A6C9244">
            <w:pPr>
              <w:widowControl/>
              <w:adjustRightInd w:val="0"/>
              <w:snapToGrid w:val="0"/>
              <w:jc w:val="center"/>
              <w:rPr>
                <w:rFonts w:ascii="Times New Roman" w:hAnsi="Times New Roman" w:cs="Times New Roman"/>
                <w:szCs w:val="21"/>
              </w:rPr>
            </w:pPr>
            <w:r>
              <w:rPr>
                <w:rFonts w:ascii="Times New Roman" w:hAnsi="Times New Roman" w:cs="Times New Roman"/>
                <w:szCs w:val="21"/>
              </w:rPr>
              <w:t>224</w:t>
            </w:r>
          </w:p>
        </w:tc>
        <w:tc>
          <w:tcPr>
            <w:tcW w:w="854" w:type="pct"/>
            <w:vAlign w:val="center"/>
          </w:tcPr>
          <w:p w14:paraId="32342554">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07CCB77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581" w:type="pct"/>
            <w:vAlign w:val="center"/>
          </w:tcPr>
          <w:p w14:paraId="3C37D464">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2</w:t>
            </w:r>
          </w:p>
        </w:tc>
        <w:tc>
          <w:tcPr>
            <w:tcW w:w="1636" w:type="pct"/>
            <w:vAlign w:val="center"/>
          </w:tcPr>
          <w:p w14:paraId="44DBD1A0">
            <w:pPr>
              <w:widowControl/>
              <w:adjustRightInd w:val="0"/>
              <w:snapToGrid w:val="0"/>
              <w:jc w:val="center"/>
              <w:rPr>
                <w:rFonts w:ascii="Times New Roman" w:hAnsi="Times New Roman" w:cs="Times New Roman"/>
                <w:szCs w:val="21"/>
              </w:rPr>
            </w:pPr>
            <w:r>
              <w:rPr>
                <w:rFonts w:ascii="Times New Roman" w:hAnsi="Times New Roman" w:cs="Times New Roman"/>
                <w:szCs w:val="21"/>
              </w:rPr>
              <w:t>0:0:1</w:t>
            </w:r>
          </w:p>
        </w:tc>
        <w:tc>
          <w:tcPr>
            <w:tcW w:w="700" w:type="pct"/>
            <w:vAlign w:val="center"/>
          </w:tcPr>
          <w:p w14:paraId="4005C409">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545" w:type="pct"/>
            <w:vAlign w:val="center"/>
          </w:tcPr>
          <w:p w14:paraId="383E701A">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684" w:type="pct"/>
            <w:vAlign w:val="center"/>
          </w:tcPr>
          <w:p w14:paraId="4E5F5F53">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854" w:type="pct"/>
            <w:vAlign w:val="center"/>
          </w:tcPr>
          <w:p w14:paraId="3BD8D0BD">
            <w:pPr>
              <w:widowControl/>
              <w:adjustRightInd w:val="0"/>
              <w:snapToGrid w:val="0"/>
              <w:jc w:val="center"/>
              <w:rPr>
                <w:rFonts w:ascii="Times New Roman" w:hAnsi="Times New Roman" w:cs="Times New Roman"/>
                <w:szCs w:val="21"/>
              </w:rPr>
            </w:pPr>
            <w:r>
              <w:rPr>
                <w:rFonts w:ascii="Times New Roman" w:hAnsi="Times New Roman" w:cs="Times New Roman"/>
                <w:szCs w:val="21"/>
              </w:rPr>
              <w:t>Neat DMC</w:t>
            </w:r>
          </w:p>
        </w:tc>
      </w:tr>
    </w:tbl>
    <w:p w14:paraId="53A7B4D6">
      <w:pPr>
        <w:widowControl/>
        <w:spacing w:line="360" w:lineRule="auto"/>
        <w:jc w:val="left"/>
        <w:rPr>
          <w:rFonts w:ascii="Times New Roman" w:hAnsi="Times New Roman" w:cs="Times New Roman"/>
          <w:sz w:val="24"/>
          <w:szCs w:val="24"/>
        </w:rPr>
      </w:pPr>
    </w:p>
    <w:p w14:paraId="63D156B3">
      <w:pPr>
        <w:widowControl/>
        <w:spacing w:line="360" w:lineRule="auto"/>
        <w:jc w:val="left"/>
        <w:rPr>
          <w:rFonts w:ascii="Times New Roman" w:hAnsi="Times New Roman" w:cs="Times New Roman"/>
          <w:szCs w:val="21"/>
        </w:rPr>
      </w:pPr>
      <w:r>
        <w:rPr>
          <w:rFonts w:ascii="Times New Roman" w:hAnsi="Times New Roman" w:cs="Times New Roman"/>
          <w:szCs w:val="21"/>
        </w:rPr>
        <w:br w:type="page"/>
      </w:r>
    </w:p>
    <w:p w14:paraId="2B98E755">
      <w:pPr>
        <w:widowControl/>
        <w:adjustRightInd w:val="0"/>
        <w:snapToGrid w:val="0"/>
        <w:spacing w:after="156" w:afterLines="50" w:line="360" w:lineRule="auto"/>
        <w:rPr>
          <w:rFonts w:ascii="Times New Roman" w:hAnsi="Times New Roman" w:cs="Times New Roman"/>
          <w:sz w:val="24"/>
          <w:szCs w:val="24"/>
        </w:rPr>
      </w:pPr>
      <w:bookmarkStart w:id="10" w:name="_Toc221108132"/>
      <w:r>
        <w:rPr>
          <w:rStyle w:val="27"/>
          <w:rFonts w:cs="Times New Roman"/>
        </w:rPr>
        <w:t>Supplementary Table 5 | Compositions of LiFSI:PSF fluorosulfonyl-based systems.</w:t>
      </w:r>
      <w:bookmarkEnd w:id="10"/>
      <w:r>
        <w:rPr>
          <w:rStyle w:val="27"/>
          <w:rFonts w:cs="Times New Roman"/>
        </w:rPr>
        <w:t xml:space="preserve"> </w:t>
      </w:r>
      <w:r>
        <w:rPr>
          <w:rFonts w:ascii="Times New Roman" w:hAnsi="Times New Roman" w:cs="Times New Roman"/>
          <w:sz w:val="24"/>
          <w:szCs w:val="24"/>
        </w:rPr>
        <w:t>Molar ratios and numbers of molecules or formula units (N) for LiFSI:PSF electrolyte and neat solvent (PSF).</w:t>
      </w:r>
    </w:p>
    <w:tbl>
      <w:tblPr>
        <w:tblStyle w:val="5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93"/>
        <w:gridCol w:w="3359"/>
        <w:gridCol w:w="1438"/>
        <w:gridCol w:w="1120"/>
        <w:gridCol w:w="1754"/>
      </w:tblGrid>
      <w:tr w14:paraId="77C0149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73" w:type="pct"/>
            <w:tcBorders>
              <w:bottom w:val="single" w:color="7E7E7E" w:themeColor="text1" w:themeTint="80" w:sz="4" w:space="0"/>
              <w:insideH w:val="single" w:sz="4" w:space="0"/>
            </w:tcBorders>
            <w:vAlign w:val="center"/>
          </w:tcPr>
          <w:p w14:paraId="72395579">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System</w:t>
            </w:r>
          </w:p>
        </w:tc>
        <w:tc>
          <w:tcPr>
            <w:tcW w:w="1895" w:type="pct"/>
            <w:tcBorders>
              <w:bottom w:val="single" w:color="7E7E7E" w:themeColor="text1" w:themeTint="80" w:sz="4" w:space="0"/>
              <w:insideH w:val="single" w:sz="4" w:space="0"/>
            </w:tcBorders>
            <w:vAlign w:val="center"/>
          </w:tcPr>
          <w:p w14:paraId="1C90F4C7">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LiFSI:PSF</w:t>
            </w:r>
          </w:p>
        </w:tc>
        <w:tc>
          <w:tcPr>
            <w:tcW w:w="811" w:type="pct"/>
            <w:tcBorders>
              <w:bottom w:val="single" w:color="7E7E7E" w:themeColor="text1" w:themeTint="80" w:sz="4" w:space="0"/>
              <w:insideH w:val="single" w:sz="4" w:space="0"/>
            </w:tcBorders>
            <w:vAlign w:val="center"/>
          </w:tcPr>
          <w:p w14:paraId="000B267A">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46CFC1EE">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(LiFSI)</w:t>
            </w:r>
          </w:p>
        </w:tc>
        <w:tc>
          <w:tcPr>
            <w:tcW w:w="632" w:type="pct"/>
            <w:tcBorders>
              <w:bottom w:val="single" w:color="7E7E7E" w:themeColor="text1" w:themeTint="80" w:sz="4" w:space="0"/>
              <w:insideH w:val="single" w:sz="4" w:space="0"/>
            </w:tcBorders>
            <w:vAlign w:val="center"/>
          </w:tcPr>
          <w:p w14:paraId="2B4F965D">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2748392A">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(PSF)</w:t>
            </w:r>
          </w:p>
        </w:tc>
        <w:tc>
          <w:tcPr>
            <w:tcW w:w="989" w:type="pct"/>
            <w:tcBorders>
              <w:bottom w:val="single" w:color="7E7E7E" w:themeColor="text1" w:themeTint="80" w:sz="4" w:space="0"/>
              <w:insideH w:val="single" w:sz="4" w:space="0"/>
            </w:tcBorders>
            <w:vAlign w:val="center"/>
          </w:tcPr>
          <w:p w14:paraId="18C5CFC2">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Description</w:t>
            </w:r>
          </w:p>
        </w:tc>
      </w:tr>
      <w:tr w14:paraId="0E2668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73" w:type="pct"/>
            <w:vAlign w:val="center"/>
          </w:tcPr>
          <w:p w14:paraId="1EE32A98">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1</w:t>
            </w:r>
          </w:p>
        </w:tc>
        <w:tc>
          <w:tcPr>
            <w:tcW w:w="1895" w:type="pct"/>
            <w:vAlign w:val="center"/>
          </w:tcPr>
          <w:p w14:paraId="0BE5CA2F">
            <w:pPr>
              <w:widowControl/>
              <w:adjustRightInd w:val="0"/>
              <w:snapToGrid w:val="0"/>
              <w:jc w:val="center"/>
              <w:rPr>
                <w:rFonts w:ascii="Times New Roman" w:hAnsi="Times New Roman" w:cs="Times New Roman"/>
                <w:szCs w:val="21"/>
              </w:rPr>
            </w:pPr>
            <w:r>
              <w:rPr>
                <w:rFonts w:ascii="Times New Roman" w:hAnsi="Times New Roman" w:cs="Times New Roman"/>
                <w:szCs w:val="21"/>
              </w:rPr>
              <w:t>1:6.5</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{"citationID":"A5Ynx5mY","properties":{"formattedCitation":"\\super 26\\nosupersub{}","plainCitation":"26","noteIndex":0},"citationItems":[{"id":1319,"uris":["http://zotero.org/users/17156447/items/5ILW38C5"],"itemData":{"id":1319,"type":"article-journal","abstract":"Abstract\n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26</w:t>
            </w:r>
            <w:r>
              <w:rPr>
                <w:rFonts w:ascii="Times New Roman" w:hAnsi="Times New Roman" w:cs="Times New Roman"/>
                <w:szCs w:val="21"/>
              </w:rPr>
              <w:fldChar w:fldCharType="end"/>
            </w:r>
          </w:p>
        </w:tc>
        <w:tc>
          <w:tcPr>
            <w:tcW w:w="811" w:type="pct"/>
            <w:vAlign w:val="center"/>
          </w:tcPr>
          <w:p w14:paraId="098A3310">
            <w:pPr>
              <w:widowControl/>
              <w:adjustRightInd w:val="0"/>
              <w:snapToGrid w:val="0"/>
              <w:jc w:val="center"/>
              <w:rPr>
                <w:rFonts w:ascii="Times New Roman" w:hAnsi="Times New Roman" w:cs="Times New Roman"/>
                <w:szCs w:val="21"/>
              </w:rPr>
            </w:pPr>
            <w:r>
              <w:rPr>
                <w:rFonts w:ascii="Times New Roman" w:hAnsi="Times New Roman" w:cs="Times New Roman"/>
                <w:szCs w:val="21"/>
              </w:rPr>
              <w:t>80</w:t>
            </w:r>
          </w:p>
        </w:tc>
        <w:tc>
          <w:tcPr>
            <w:tcW w:w="632" w:type="pct"/>
            <w:vAlign w:val="center"/>
          </w:tcPr>
          <w:p w14:paraId="15D592F4">
            <w:pPr>
              <w:widowControl/>
              <w:adjustRightInd w:val="0"/>
              <w:snapToGrid w:val="0"/>
              <w:jc w:val="center"/>
              <w:rPr>
                <w:rFonts w:ascii="Times New Roman" w:hAnsi="Times New Roman" w:cs="Times New Roman"/>
                <w:szCs w:val="21"/>
              </w:rPr>
            </w:pPr>
            <w:r>
              <w:rPr>
                <w:rFonts w:ascii="Times New Roman" w:hAnsi="Times New Roman" w:cs="Times New Roman"/>
                <w:szCs w:val="21"/>
              </w:rPr>
              <w:t>520</w:t>
            </w:r>
          </w:p>
        </w:tc>
        <w:tc>
          <w:tcPr>
            <w:tcW w:w="989" w:type="pct"/>
            <w:vAlign w:val="center"/>
          </w:tcPr>
          <w:p w14:paraId="3D735F93">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2B118B2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73" w:type="pct"/>
            <w:vAlign w:val="center"/>
          </w:tcPr>
          <w:p w14:paraId="728168F3">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2</w:t>
            </w:r>
          </w:p>
        </w:tc>
        <w:tc>
          <w:tcPr>
            <w:tcW w:w="1895" w:type="pct"/>
            <w:vAlign w:val="center"/>
          </w:tcPr>
          <w:p w14:paraId="69A4316E">
            <w:pPr>
              <w:widowControl/>
              <w:adjustRightInd w:val="0"/>
              <w:snapToGrid w:val="0"/>
              <w:jc w:val="center"/>
              <w:rPr>
                <w:rFonts w:ascii="Times New Roman" w:hAnsi="Times New Roman" w:cs="Times New Roman"/>
                <w:szCs w:val="21"/>
              </w:rPr>
            </w:pPr>
            <w:r>
              <w:rPr>
                <w:rFonts w:ascii="Times New Roman" w:hAnsi="Times New Roman" w:cs="Times New Roman"/>
                <w:szCs w:val="21"/>
              </w:rPr>
              <w:t>0:1</w:t>
            </w:r>
          </w:p>
        </w:tc>
        <w:tc>
          <w:tcPr>
            <w:tcW w:w="811" w:type="pct"/>
            <w:vAlign w:val="center"/>
          </w:tcPr>
          <w:p w14:paraId="5B092C3D">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632" w:type="pct"/>
            <w:vAlign w:val="center"/>
          </w:tcPr>
          <w:p w14:paraId="09F313DA">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989" w:type="pct"/>
            <w:vAlign w:val="center"/>
          </w:tcPr>
          <w:p w14:paraId="4D4D570E">
            <w:pPr>
              <w:widowControl/>
              <w:adjustRightInd w:val="0"/>
              <w:snapToGrid w:val="0"/>
              <w:jc w:val="center"/>
              <w:rPr>
                <w:rFonts w:ascii="Times New Roman" w:hAnsi="Times New Roman" w:cs="Times New Roman"/>
                <w:szCs w:val="21"/>
              </w:rPr>
            </w:pPr>
            <w:r>
              <w:rPr>
                <w:rFonts w:ascii="Times New Roman" w:hAnsi="Times New Roman" w:cs="Times New Roman"/>
                <w:szCs w:val="21"/>
              </w:rPr>
              <w:t>Neat PSF</w:t>
            </w:r>
          </w:p>
        </w:tc>
      </w:tr>
    </w:tbl>
    <w:p w14:paraId="5AF9359E">
      <w:pPr>
        <w:widowControl/>
        <w:adjustRightInd w:val="0"/>
        <w:snapToGrid w:val="0"/>
        <w:spacing w:after="156" w:afterLines="50" w:line="360" w:lineRule="auto"/>
        <w:rPr>
          <w:rStyle w:val="27"/>
          <w:rFonts w:cs="Times New Roman"/>
        </w:rPr>
      </w:pPr>
    </w:p>
    <w:p w14:paraId="3FBB1BC6">
      <w:pPr>
        <w:widowControl/>
        <w:adjustRightInd w:val="0"/>
        <w:snapToGrid w:val="0"/>
        <w:spacing w:after="156" w:afterLines="50" w:line="360" w:lineRule="auto"/>
        <w:rPr>
          <w:rStyle w:val="27"/>
          <w:rFonts w:cs="Times New Roman"/>
        </w:rPr>
      </w:pPr>
    </w:p>
    <w:p w14:paraId="1A5A9E5E">
      <w:pPr>
        <w:widowControl/>
        <w:adjustRightInd w:val="0"/>
        <w:snapToGrid w:val="0"/>
        <w:spacing w:after="156" w:afterLines="50" w:line="360" w:lineRule="auto"/>
        <w:rPr>
          <w:rFonts w:ascii="Times New Roman" w:hAnsi="Times New Roman" w:cs="Times New Roman"/>
          <w:sz w:val="24"/>
          <w:szCs w:val="24"/>
        </w:rPr>
      </w:pPr>
      <w:bookmarkStart w:id="11" w:name="_Toc221108133"/>
      <w:r>
        <w:rPr>
          <w:rStyle w:val="27"/>
          <w:rFonts w:cs="Times New Roman"/>
        </w:rPr>
        <w:t>Supplementary Table 6 | Compositions of LiFSI:TPSF fluorosulfonyl-based systems.</w:t>
      </w:r>
      <w:bookmarkEnd w:id="11"/>
      <w:r>
        <w:rPr>
          <w:rStyle w:val="27"/>
          <w:rFonts w:cs="Times New Roman"/>
        </w:rPr>
        <w:t xml:space="preserve"> </w:t>
      </w:r>
      <w:r>
        <w:rPr>
          <w:rFonts w:ascii="Times New Roman" w:hAnsi="Times New Roman" w:cs="Times New Roman"/>
          <w:sz w:val="24"/>
          <w:szCs w:val="24"/>
        </w:rPr>
        <w:t>Molar ratios and numbers of molecules or formula units (</w:t>
      </w:r>
      <w:r>
        <w:rPr>
          <w:rFonts w:ascii="Times New Roman" w:hAnsi="Times New Roman" w:cs="Times New Roman"/>
          <w:i/>
          <w:iCs/>
          <w:sz w:val="24"/>
          <w:szCs w:val="24"/>
        </w:rPr>
        <w:t>N</w:t>
      </w:r>
      <w:r>
        <w:rPr>
          <w:rFonts w:ascii="Times New Roman" w:hAnsi="Times New Roman" w:cs="Times New Roman"/>
          <w:sz w:val="24"/>
          <w:szCs w:val="24"/>
        </w:rPr>
        <w:t>) for LiFSI:TPSF electrolyte and neat solvent (TPSF).</w:t>
      </w:r>
    </w:p>
    <w:tbl>
      <w:tblPr>
        <w:tblStyle w:val="5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93"/>
        <w:gridCol w:w="3359"/>
        <w:gridCol w:w="1438"/>
        <w:gridCol w:w="1120"/>
        <w:gridCol w:w="1754"/>
      </w:tblGrid>
      <w:tr w14:paraId="639019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73" w:type="pct"/>
            <w:tcBorders>
              <w:bottom w:val="single" w:color="7E7E7E" w:themeColor="text1" w:themeTint="80" w:sz="4" w:space="0"/>
              <w:insideH w:val="single" w:sz="4" w:space="0"/>
            </w:tcBorders>
            <w:vAlign w:val="center"/>
          </w:tcPr>
          <w:p w14:paraId="50A46788">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System</w:t>
            </w:r>
          </w:p>
        </w:tc>
        <w:tc>
          <w:tcPr>
            <w:tcW w:w="1895" w:type="pct"/>
            <w:tcBorders>
              <w:bottom w:val="single" w:color="7E7E7E" w:themeColor="text1" w:themeTint="80" w:sz="4" w:space="0"/>
              <w:insideH w:val="single" w:sz="4" w:space="0"/>
            </w:tcBorders>
            <w:vAlign w:val="center"/>
          </w:tcPr>
          <w:p w14:paraId="4E24B9E1">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LiFSI:TPSF</w:t>
            </w:r>
          </w:p>
        </w:tc>
        <w:tc>
          <w:tcPr>
            <w:tcW w:w="811" w:type="pct"/>
            <w:tcBorders>
              <w:bottom w:val="single" w:color="7E7E7E" w:themeColor="text1" w:themeTint="80" w:sz="4" w:space="0"/>
              <w:insideH w:val="single" w:sz="4" w:space="0"/>
            </w:tcBorders>
            <w:vAlign w:val="center"/>
          </w:tcPr>
          <w:p w14:paraId="71FBBA23">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6120C2E7">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(LiFSI)</w:t>
            </w:r>
          </w:p>
        </w:tc>
        <w:tc>
          <w:tcPr>
            <w:tcW w:w="632" w:type="pct"/>
            <w:tcBorders>
              <w:bottom w:val="single" w:color="7E7E7E" w:themeColor="text1" w:themeTint="80" w:sz="4" w:space="0"/>
              <w:insideH w:val="single" w:sz="4" w:space="0"/>
            </w:tcBorders>
            <w:vAlign w:val="center"/>
          </w:tcPr>
          <w:p w14:paraId="40E2113A">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N</w:t>
            </w:r>
          </w:p>
          <w:p w14:paraId="3BBBBAD5">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(TPSF)</w:t>
            </w:r>
          </w:p>
        </w:tc>
        <w:tc>
          <w:tcPr>
            <w:tcW w:w="989" w:type="pct"/>
            <w:tcBorders>
              <w:bottom w:val="single" w:color="7E7E7E" w:themeColor="text1" w:themeTint="80" w:sz="4" w:space="0"/>
              <w:insideH w:val="single" w:sz="4" w:space="0"/>
            </w:tcBorders>
            <w:vAlign w:val="center"/>
          </w:tcPr>
          <w:p w14:paraId="2BFB5246">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Description</w:t>
            </w:r>
          </w:p>
        </w:tc>
      </w:tr>
      <w:tr w14:paraId="3F6E082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73" w:type="pct"/>
            <w:vAlign w:val="center"/>
          </w:tcPr>
          <w:p w14:paraId="2A31130F">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1</w:t>
            </w:r>
          </w:p>
        </w:tc>
        <w:tc>
          <w:tcPr>
            <w:tcW w:w="1895" w:type="pct"/>
            <w:vAlign w:val="center"/>
          </w:tcPr>
          <w:p w14:paraId="37B50250">
            <w:pPr>
              <w:widowControl/>
              <w:adjustRightInd w:val="0"/>
              <w:snapToGrid w:val="0"/>
              <w:jc w:val="center"/>
              <w:rPr>
                <w:rFonts w:ascii="Times New Roman" w:hAnsi="Times New Roman" w:cs="Times New Roman"/>
                <w:szCs w:val="21"/>
              </w:rPr>
            </w:pPr>
            <w:r>
              <w:rPr>
                <w:rFonts w:ascii="Times New Roman" w:hAnsi="Times New Roman" w:cs="Times New Roman"/>
                <w:szCs w:val="21"/>
              </w:rPr>
              <w:t>1:5</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{"citationID":"lQw1xdx4","properties":{"formattedCitation":"\\super 26\\uc0\\u8211{}28\\nosupersub{}","plainCitation":"26–28","noteIndex":0},"citationItems":[{"id":1319,"uris":["http://zotero.org/users/17156447/items/5ILW38C5"],"itemData":{"id":1319,"type":"article-journal","abstract":"Abstract\n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id":1325,"uris":["http://zotero.org/users/17156447/items/RJIU83Q4"],"itemData":{"id":1325,"type":"article-journal","container-title":"Nature Energy","DOI":"10.1038/s41560-021-00792-y","ISSN":"2058-7546","issue":"5","journalAbbreviation":"Nat. Energy","language":"en","note":"565 citations (Crossref/DOI) [2025-10-27]\nJCR分区: Q1\n5年影响因子: 68.9","page":"495-505","source":"DOI.org (Crossref)","title":"Ultra-high-voltage ni-rich layered cathodes in practical li metal batteries enabled by a sulfonamide-based electrolyte","volume":"6","author":[{"family":"Xue","given":"Weijiang"},{"family":"Huang","given":"Mingjun"},{"family":"Li","given":"Yutao"},{"family":"Zhu","given":"Yun Guang"},{"family":"Gao","given":"Rui"},{"family":"Xiao","given":"Xianghui"},{"family":"Zhang","given":"Wenxu"},{"family":"Li","given":"Sipei"},{"family":"Xu","given":"Guiyin"},{"family":"Yu","given":"Yang"},{"family":"Li","given":"Peng"},{"family":"Lopez","given":"Jeffrey"},{"family":"Yu","given":"Daiwei"},{"family":"Dong","given":"Yanhao"},{"family":"Fan","given":"Weiwei"},{"family":"Shi","given":"Zhe"},{"family":"Xiong","given":"Rui"},{"family":"Sun","given":"Cheng-Jun"},{"family":"Hwang","given":"Inhui"},{"family":"Lee","given":"Wah-Keat"},{"family":"Shao-Horn","given":"Yang"},{"family":"Johnson","given":"Jeremiah A."},{"family":"Li","given":"Ju"}],"issued":{"date-parts":[["2021",3,25]]}}},{"id":1327,"uris":["http://zotero.org/users/17156447/items/CZ698LBT"],"itemData":{"id":1327,"type":"article-journal","abstract":"Abstract\n            \n              To fulfill the requirements for practical applications, it is urgent to boost the gravimetric energy density of sodium‐ion batteries. An effective way is to increase the charging voltage of O3‐type layered cathodes preferably to 4.2 V versus Na/Na\n              +\n              (V\n              Na\n              ). Nevertheless, it is extremely challenging to achieve stable cycling of the cathodes at such a high cut‐off voltage. Here a novel electrolyte strategy to design an intermolecular‐reinforced electrolyte (IRE) is presented, utilizing meticulously protected ether molecules, which facilitates stable high‐voltage cycling of the commercially viable NaNi\n              1/3\n              Fe\n              1/3\n              Mn\n              1/3\n              O\n              2\n              (NFM). While the NFM with the IRE exhibits a high specific capacity of ≈158 mAh g\n              −1\n              at 4.2 V\n              Na\n              (130 mAh g\n              −1\n              at 4.0 V\n              Na\n              ), the aggressive cathode surface can still be effectively stabilized by the formation of favorable thin and inorganic‐rich cathode−electrolyte interfaces. Remarkably, under a high cut‐off voltage of 4.2 V\n              Na\n              , an industrial ampere‐hour‐level NFM||hard carbon pouch cell with the IRE electrolyte shows an excellent long‐term cycling stability with 82.8% capacity retention after 800 cycles, largely outperforming the localized high‐concentration electrolyte (82.9% after 200 cycles).","container-title":"Advanced Materials","DOI":"10.1002/adma.202415611","ISSN":"0935-9648, 1521-4095","issue":"12","journalAbbreviation":"Adv. Mater.","language":"en","note":"21 citations (Crossref/DOI) [2025-10-27]\nJCR分区: Q1\n5年影响因子: 28.9","page":"2415611","source":"DOI.org (Crossref)","title":"4.2 V O3‐layered cathodes in sodium‐ion pouch cells enabled by an intermolecular‐reinforced ether electrolyte","volume":"37","author":[{"family":"Cui","given":"Xinke"},{"family":"Ding","given":"Shuicen"},{"family":"Niu","given":"Yaoshen"},{"family":"Wang","given":"Hongkang"},{"family":"Lu","given":"Yaxiang"},{"family":"Hu","given":"Yongsheng"},{"family":"Xue","given":"Weijiang"}],"issued":{"date-parts":[["2025",3]]}}}],"schema":"https://github.com/citation-style-language/schema/raw/master/csl-citation.json"} </w:instrText>
            </w:r>
            <w:r>
              <w:rPr>
                <w:rFonts w:ascii="Times New Roman" w:hAnsi="Times New Roman" w:cs="Times New Roman"/>
                <w:szCs w:val="21"/>
              </w:rPr>
              <w:fldChar w:fldCharType="separate"/>
            </w:r>
            <w:r>
              <w:rPr>
                <w:rFonts w:ascii="Times New Roman" w:hAnsi="Times New Roman" w:eastAsia="等线" w:cs="Times New Roman"/>
                <w:kern w:val="0"/>
                <w:vertAlign w:val="superscript"/>
              </w:rPr>
              <w:t>26–28</w:t>
            </w:r>
            <w:r>
              <w:rPr>
                <w:rFonts w:ascii="Times New Roman" w:hAnsi="Times New Roman" w:cs="Times New Roman"/>
                <w:szCs w:val="21"/>
              </w:rPr>
              <w:fldChar w:fldCharType="end"/>
            </w:r>
          </w:p>
        </w:tc>
        <w:tc>
          <w:tcPr>
            <w:tcW w:w="811" w:type="pct"/>
            <w:vAlign w:val="center"/>
          </w:tcPr>
          <w:p w14:paraId="36268510">
            <w:pPr>
              <w:widowControl/>
              <w:adjustRightInd w:val="0"/>
              <w:snapToGrid w:val="0"/>
              <w:jc w:val="center"/>
              <w:rPr>
                <w:rFonts w:ascii="Times New Roman" w:hAnsi="Times New Roman" w:cs="Times New Roman"/>
                <w:szCs w:val="21"/>
              </w:rPr>
            </w:pPr>
            <w:r>
              <w:rPr>
                <w:rFonts w:ascii="Times New Roman" w:hAnsi="Times New Roman" w:cs="Times New Roman"/>
                <w:szCs w:val="21"/>
              </w:rPr>
              <w:t>80</w:t>
            </w:r>
          </w:p>
        </w:tc>
        <w:tc>
          <w:tcPr>
            <w:tcW w:w="632" w:type="pct"/>
            <w:vAlign w:val="center"/>
          </w:tcPr>
          <w:p w14:paraId="7ECB9405">
            <w:pPr>
              <w:widowControl/>
              <w:adjustRightInd w:val="0"/>
              <w:snapToGrid w:val="0"/>
              <w:jc w:val="center"/>
              <w:rPr>
                <w:rFonts w:ascii="Times New Roman" w:hAnsi="Times New Roman" w:cs="Times New Roman"/>
                <w:szCs w:val="21"/>
              </w:rPr>
            </w:pPr>
            <w:r>
              <w:rPr>
                <w:rFonts w:ascii="Times New Roman" w:hAnsi="Times New Roman" w:cs="Times New Roman"/>
                <w:szCs w:val="21"/>
              </w:rPr>
              <w:t>400</w:t>
            </w:r>
          </w:p>
        </w:tc>
        <w:tc>
          <w:tcPr>
            <w:tcW w:w="989" w:type="pct"/>
            <w:vAlign w:val="center"/>
          </w:tcPr>
          <w:p w14:paraId="62FA8285">
            <w:pPr>
              <w:widowControl/>
              <w:adjustRightInd w:val="0"/>
              <w:snapToGrid w:val="0"/>
              <w:jc w:val="center"/>
              <w:rPr>
                <w:rFonts w:ascii="Times New Roman" w:hAnsi="Times New Roman" w:cs="Times New Roman"/>
                <w:szCs w:val="21"/>
              </w:rPr>
            </w:pPr>
            <w:r>
              <w:rPr>
                <w:rFonts w:ascii="Times New Roman" w:hAnsi="Times New Roman" w:cs="Times New Roman"/>
                <w:szCs w:val="21"/>
              </w:rPr>
              <w:t>LCE</w:t>
            </w:r>
          </w:p>
        </w:tc>
      </w:tr>
      <w:tr w14:paraId="37E21AB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73" w:type="pct"/>
            <w:vAlign w:val="center"/>
          </w:tcPr>
          <w:p w14:paraId="7B3B7FDB">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2</w:t>
            </w:r>
          </w:p>
        </w:tc>
        <w:tc>
          <w:tcPr>
            <w:tcW w:w="1895" w:type="pct"/>
            <w:vAlign w:val="center"/>
          </w:tcPr>
          <w:p w14:paraId="34A4DD89">
            <w:pPr>
              <w:widowControl/>
              <w:adjustRightInd w:val="0"/>
              <w:snapToGrid w:val="0"/>
              <w:jc w:val="center"/>
              <w:rPr>
                <w:rFonts w:ascii="Times New Roman" w:hAnsi="Times New Roman" w:cs="Times New Roman"/>
                <w:szCs w:val="21"/>
              </w:rPr>
            </w:pPr>
            <w:r>
              <w:rPr>
                <w:rFonts w:ascii="Times New Roman" w:hAnsi="Times New Roman" w:cs="Times New Roman"/>
                <w:szCs w:val="21"/>
              </w:rPr>
              <w:t>0:1</w:t>
            </w:r>
          </w:p>
        </w:tc>
        <w:tc>
          <w:tcPr>
            <w:tcW w:w="811" w:type="pct"/>
            <w:vAlign w:val="center"/>
          </w:tcPr>
          <w:p w14:paraId="33D396AE">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632" w:type="pct"/>
            <w:vAlign w:val="center"/>
          </w:tcPr>
          <w:p w14:paraId="574856BE">
            <w:pPr>
              <w:widowControl/>
              <w:adjustRightInd w:val="0"/>
              <w:snapToGrid w:val="0"/>
              <w:jc w:val="center"/>
              <w:rPr>
                <w:rFonts w:ascii="Times New Roman" w:hAnsi="Times New Roman" w:cs="Times New Roman"/>
                <w:szCs w:val="21"/>
              </w:rPr>
            </w:pPr>
            <w:r>
              <w:rPr>
                <w:rFonts w:ascii="Times New Roman" w:hAnsi="Times New Roman" w:cs="Times New Roman"/>
                <w:szCs w:val="21"/>
              </w:rPr>
              <w:t>200</w:t>
            </w:r>
          </w:p>
        </w:tc>
        <w:tc>
          <w:tcPr>
            <w:tcW w:w="989" w:type="pct"/>
            <w:vAlign w:val="center"/>
          </w:tcPr>
          <w:p w14:paraId="0D34A672">
            <w:pPr>
              <w:widowControl/>
              <w:adjustRightInd w:val="0"/>
              <w:snapToGrid w:val="0"/>
              <w:jc w:val="center"/>
              <w:rPr>
                <w:rFonts w:ascii="Times New Roman" w:hAnsi="Times New Roman" w:cs="Times New Roman"/>
                <w:szCs w:val="21"/>
              </w:rPr>
            </w:pPr>
            <w:r>
              <w:rPr>
                <w:rFonts w:ascii="Times New Roman" w:hAnsi="Times New Roman" w:cs="Times New Roman"/>
                <w:szCs w:val="21"/>
              </w:rPr>
              <w:t>Neat TPSF</w:t>
            </w:r>
          </w:p>
        </w:tc>
      </w:tr>
    </w:tbl>
    <w:p w14:paraId="782793E7">
      <w:pPr>
        <w:widowControl/>
        <w:spacing w:line="360" w:lineRule="auto"/>
        <w:jc w:val="left"/>
        <w:rPr>
          <w:rFonts w:ascii="Times New Roman" w:hAnsi="Times New Roman" w:cs="Times New Roman"/>
          <w:sz w:val="24"/>
          <w:szCs w:val="24"/>
        </w:rPr>
      </w:pPr>
    </w:p>
    <w:p w14:paraId="2161F251">
      <w:pPr>
        <w:widowControl/>
        <w:spacing w:line="360" w:lineRule="auto"/>
        <w:jc w:val="left"/>
        <w:rPr>
          <w:rFonts w:ascii="Times New Roman" w:hAnsi="Times New Roman" w:cs="Times New Roman"/>
          <w:szCs w:val="21"/>
        </w:rPr>
      </w:pPr>
      <w:r>
        <w:rPr>
          <w:rFonts w:ascii="Times New Roman" w:hAnsi="Times New Roman" w:cs="Times New Roman"/>
          <w:szCs w:val="21"/>
        </w:rPr>
        <w:br w:type="page"/>
      </w:r>
    </w:p>
    <w:p w14:paraId="338C30E1">
      <w:pPr>
        <w:pStyle w:val="2"/>
        <w:spacing w:after="156"/>
        <w:rPr>
          <w:rFonts w:cs="Times New Roman"/>
        </w:rPr>
      </w:pPr>
      <w:bookmarkStart w:id="12" w:name="_Toc221108134"/>
      <w:r>
        <w:rPr>
          <w:rFonts w:cs="Times New Roman"/>
        </w:rPr>
        <w:t>Supplementary Note 4 | Realization of Polarizable Force Field Framework in OPLS&amp;Pol</w:t>
      </w:r>
      <w:bookmarkEnd w:id="12"/>
    </w:p>
    <w:p w14:paraId="62389D8E">
      <w:pPr>
        <w:adjustRightInd w:val="0"/>
        <w:snapToGrid w:val="0"/>
        <w:spacing w:line="360" w:lineRule="auto"/>
        <w:jc w:val="center"/>
        <w:rPr>
          <w:rFonts w:ascii="Times New Roman" w:hAnsi="Times New Roman" w:eastAsia="宋体" w:cs="Times New Roman"/>
          <w:sz w:val="24"/>
          <w:szCs w:val="24"/>
        </w:rPr>
      </w:pPr>
      <w:r>
        <w:rPr>
          <w:rFonts w:ascii="Times New Roman" w:hAnsi="Times New Roman" w:cs="Times New Roman"/>
        </w:rPr>
        <w:drawing>
          <wp:inline distT="0" distB="0" distL="0" distR="0">
            <wp:extent cx="5039995" cy="3436620"/>
            <wp:effectExtent l="0" t="0" r="8255" b="0"/>
            <wp:docPr id="555084007" name="图片 1"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84007" name="图片 1" descr="图片包含 图示&#10;&#10;AI 生成的内容可能不正确。"/>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040000" cy="3436735"/>
                    </a:xfrm>
                    <a:prstGeom prst="rect">
                      <a:avLst/>
                    </a:prstGeom>
                    <a:noFill/>
                    <a:ln>
                      <a:noFill/>
                    </a:ln>
                  </pic:spPr>
                </pic:pic>
              </a:graphicData>
            </a:graphic>
          </wp:inline>
        </w:drawing>
      </w:r>
    </w:p>
    <w:p w14:paraId="40DECCD8">
      <w:pPr>
        <w:adjustRightInd w:val="0"/>
        <w:snapToGrid w:val="0"/>
        <w:spacing w:line="360" w:lineRule="auto"/>
        <w:rPr>
          <w:rFonts w:ascii="Times New Roman" w:hAnsi="Times New Roman" w:eastAsia="宋体" w:cs="Times New Roman"/>
          <w:sz w:val="24"/>
          <w:szCs w:val="24"/>
        </w:rPr>
      </w:pPr>
      <w:bookmarkStart w:id="13" w:name="_Toc221108135"/>
      <w:r>
        <w:rPr>
          <w:rStyle w:val="27"/>
          <w:rFonts w:cs="Times New Roman"/>
        </w:rPr>
        <w:t>Supplementary Fig. 1 | Atomic structures and LJ atom-type classifications.</w:t>
      </w:r>
      <w:bookmarkEnd w:id="13"/>
      <w:r>
        <w:rPr>
          <w:rStyle w:val="27"/>
          <w:rFonts w:cs="Times New Roman"/>
        </w:rPr>
        <w:t xml:space="preserve"> </w:t>
      </w:r>
      <w:r>
        <w:rPr>
          <w:rFonts w:ascii="Times New Roman" w:hAnsi="Times New Roman" w:eastAsia="宋体" w:cs="Times New Roman"/>
          <w:sz w:val="24"/>
          <w:szCs w:val="24"/>
        </w:rPr>
        <w:t>Illustrated are representative electrolyte components used in lithium batteries, categorized into anions (FSI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TFSI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PF</w:t>
      </w:r>
      <w:r>
        <w:rPr>
          <w:rFonts w:ascii="Times New Roman" w:hAnsi="Times New Roman" w:eastAsia="宋体" w:cs="Times New Roman"/>
          <w:sz w:val="24"/>
          <w:szCs w:val="24"/>
          <w:vertAlign w:val="subscript"/>
        </w:rPr>
        <w:t>6</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solvents (DME, EC, EMC, DMC, PSF, TPSF, DOL), an additive (FEC), and a diluent (TFEO). Atoms are labeled and color-coded by their LJ atom types to distinguish local topological and chemical environments.</w:t>
      </w:r>
    </w:p>
    <w:p w14:paraId="5A54ABD4">
      <w:pPr>
        <w:adjustRightInd w:val="0"/>
        <w:snapToGrid w:val="0"/>
        <w:spacing w:line="360" w:lineRule="auto"/>
        <w:rPr>
          <w:rFonts w:ascii="Times New Roman" w:hAnsi="Times New Roman" w:eastAsia="宋体" w:cs="Times New Roman"/>
          <w:sz w:val="24"/>
          <w:szCs w:val="24"/>
        </w:rPr>
      </w:pPr>
    </w:p>
    <w:p w14:paraId="2AF7A8B8">
      <w:pPr>
        <w:widowControl/>
        <w:spacing w:line="360" w:lineRule="auto"/>
        <w:jc w:val="left"/>
        <w:rPr>
          <w:rFonts w:ascii="Times New Roman" w:hAnsi="Times New Roman" w:cs="Times New Roman"/>
          <w:sz w:val="24"/>
          <w:szCs w:val="24"/>
        </w:rPr>
      </w:pPr>
      <w:r>
        <w:rPr>
          <w:rFonts w:ascii="Times New Roman" w:hAnsi="Times New Roman" w:cs="Times New Roman"/>
          <w:sz w:val="24"/>
          <w:szCs w:val="24"/>
        </w:rPr>
        <w:br w:type="page"/>
      </w:r>
    </w:p>
    <w:p w14:paraId="2BA98226">
      <w:pPr>
        <w:adjustRightInd w:val="0"/>
        <w:snapToGrid w:val="0"/>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5039995" cy="5525770"/>
            <wp:effectExtent l="0" t="0" r="8255" b="0"/>
            <wp:docPr id="625339068" name="图片 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39068" name="图片 2" descr="图示&#10;&#10;AI 生成的内容可能不正确。"/>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040000" cy="5526050"/>
                    </a:xfrm>
                    <a:prstGeom prst="rect">
                      <a:avLst/>
                    </a:prstGeom>
                    <a:noFill/>
                    <a:ln>
                      <a:noFill/>
                    </a:ln>
                  </pic:spPr>
                </pic:pic>
              </a:graphicData>
            </a:graphic>
          </wp:inline>
        </w:drawing>
      </w:r>
    </w:p>
    <w:p w14:paraId="2B292496">
      <w:pPr>
        <w:widowControl/>
        <w:adjustRightInd w:val="0"/>
        <w:snapToGrid w:val="0"/>
        <w:spacing w:line="360" w:lineRule="auto"/>
        <w:rPr>
          <w:rFonts w:ascii="Times New Roman" w:hAnsi="Times New Roman" w:eastAsia="宋体" w:cs="Times New Roman"/>
          <w:sz w:val="24"/>
          <w:szCs w:val="24"/>
        </w:rPr>
      </w:pPr>
      <w:bookmarkStart w:id="14" w:name="_Toc221108136"/>
      <w:r>
        <w:rPr>
          <w:rStyle w:val="27"/>
          <w:rFonts w:cs="Times New Roman"/>
        </w:rPr>
        <w:t>Supplementary Fig. 2 | Summary of LJ parameters and assignments.</w:t>
      </w:r>
      <w:bookmarkEnd w:id="14"/>
      <w:r>
        <w:rPr>
          <w:rStyle w:val="27"/>
          <w:rFonts w:cs="Times New Roman"/>
        </w:rPr>
        <w:t xml:space="preserve"> </w:t>
      </w:r>
      <w:r>
        <w:rPr>
          <w:rFonts w:ascii="Times New Roman" w:hAnsi="Times New Roman" w:eastAsia="宋体" w:cs="Times New Roman"/>
          <w:sz w:val="24"/>
          <w:szCs w:val="24"/>
        </w:rPr>
        <w:t>Overview of LJ parameters for representative electrolyte components, comprising ions, solvents, an additive, and a diluent. The table (left) tabulates the defined LJ atom types and their corresponding interaction parameters, where the parameters were adopted from OPLS-AA.</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{"citationID":"daRKi2ij","properties":{"formattedCitation":"\\super 1\\nosupersub{}","plainCitation":"1","noteIndex":0},"citationItems":[{"id":1337,"uris":["http://zotero.org/users/17156447/items/YAQQI5Q4"],"itemData":{"id":1337,"type":"article-journal","abstract":"Our OPLS-2009IL force ﬁeld parameters (J. Chem. Theory Comput. 2009, 5, 1038−1050) were originally developed and tested on 68 unique ionic liquids featuring the 1-alkyl-3-methylimidazolium [RMIM], N-alkylpyridinium [RPyr], and choline cations. Experimental validation was limited to densities and a few, largely conﬂicting, heat of vaporization (ΔHvap) values reported in the literature at the time. Owing to the use of Monte Carlo as our sampling technique, it was also not possible to investigate the reproduction of dynamics. The [RMIM] OPLS-2009IL parameters have been revisited in this work and adapted for use in molecular dynamics (MD) simulations. In addition, new OPLS-AA parameters have been developed for multiple anions, i.e., AlCl4−, BF4−, Br−, Cl−, NO3−, PF6−, acetate, benzoate bis(pentaﬂuoroethylsulfonyl)amide, bis(triﬂuoroethylsulfonyl)amide, dicyanamide, formate, methylsulfate, perchlorate, propanoate, thiocyanate, tricyanomethanide, and triﬂuoromethanesulfonate. The computed solvent densities, heats of vaporization, viscosities, diﬀusion coeﬃcients, heat capacities, surface tensions, and other relevant solvent data compared favorably with experiment. A charge scaling of ±0.8 e was also investigated as a means to mimic polarization and charge transfer eﬀects. The 0.8-scaling led to signiﬁcant improvements for ΔHvap, surface tension, and self-diﬀusivity; however, a concern when scaling charges is the potential degradation of local intermolecular interactions at short ranges. Radial distribution functions (RDFs) were used to examine cation−anion interactions when employing 0.8*OPLS-2009IL and the scaled force ﬁeld accurately reproduced RDFs from ab initio MD simulations.","container-title":"Journal of Chemical Theory and Computation","DOI":"10.1021/acs.jctc.7b00520","ISSN":"1549-9618, 1549-9626","issue":"12","journalAbbreviation":"J. Chem. Theory Comput.","language":"en","license":"http://pubs.acs.org/page/policy/authorchoice_termsofuse.html","note":"472 citations (Crossref/DOI) [2025-11-02]\nTLDR: The computed solvent densities, heats of vaporization, viscosities, diffusion coefficients, heat capacities, surface tensions, and other relevant solvent data compared favorably with experiment and the scaled force field accurately reproduced RDFs from ab initio MD simulations.\nJCR分区: Q1\n5年影响因子: 6.4","page":"6131-6145","source":"DOI.org (Crossref)","title":"Revisiting OPLS force field parameters for ionic liquid simulations","volume":"13","author":[{"family":"Doherty","given":"Brian"},{"family":"Zhong","given":"Xiang"},{"family":"Gathiaka","given":"Symon"},{"family":"Li","given":"Bin"},{"family":"Acevedo","given":"Orlando"}],"issued":{"date-parts":[["2017",12,12]]}}}],"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1</w:t>
      </w:r>
      <w:r>
        <w:rPr>
          <w:rFonts w:ascii="Times New Roman" w:hAnsi="Times New Roman" w:cs="Times New Roman"/>
          <w:sz w:val="24"/>
          <w:szCs w:val="24"/>
        </w:rPr>
        <w:fldChar w:fldCharType="end"/>
      </w:r>
      <w:r>
        <w:rPr>
          <w:rFonts w:ascii="Times New Roman" w:hAnsi="Times New Roman" w:eastAsia="宋体" w:cs="Times New Roman"/>
          <w:sz w:val="24"/>
          <w:szCs w:val="24"/>
        </w:rPr>
        <w:t xml:space="preserve"> The schematic (right) maps these atom types to specific atomic sites within each molecule, serving as a reference for force field (FF) construction.</w:t>
      </w:r>
    </w:p>
    <w:p w14:paraId="3A1341B1">
      <w:pPr>
        <w:widowControl/>
        <w:spacing w:line="360" w:lineRule="auto"/>
        <w:jc w:val="left"/>
        <w:rPr>
          <w:rFonts w:ascii="Times New Roman" w:hAnsi="Times New Roman" w:eastAsia="宋体" w:cs="Times New Roman"/>
          <w:sz w:val="24"/>
          <w:szCs w:val="24"/>
        </w:rPr>
      </w:pPr>
    </w:p>
    <w:p w14:paraId="64E8CCC4">
      <w:pPr>
        <w:widowControl/>
        <w:spacing w:line="360" w:lineRule="auto"/>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56102899">
      <w:pPr>
        <w:adjustRightInd w:val="0"/>
        <w:snapToGrid w:val="0"/>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5039995" cy="5454015"/>
            <wp:effectExtent l="0" t="0" r="8255" b="0"/>
            <wp:docPr id="1313533929" name="图片 2" descr="图表, 日历, 树状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33929" name="图片 2" descr="图表, 日历, 树状图&#10;&#10;AI 生成的内容可能不正确。"/>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040000" cy="5454366"/>
                    </a:xfrm>
                    <a:prstGeom prst="rect">
                      <a:avLst/>
                    </a:prstGeom>
                    <a:noFill/>
                    <a:ln>
                      <a:noFill/>
                    </a:ln>
                  </pic:spPr>
                </pic:pic>
              </a:graphicData>
            </a:graphic>
          </wp:inline>
        </w:drawing>
      </w:r>
    </w:p>
    <w:p w14:paraId="319B21EE">
      <w:pPr>
        <w:widowControl/>
        <w:adjustRightInd w:val="0"/>
        <w:snapToGrid w:val="0"/>
        <w:spacing w:line="360" w:lineRule="auto"/>
        <w:rPr>
          <w:rFonts w:ascii="Times New Roman" w:hAnsi="Times New Roman" w:cs="Times New Roman"/>
          <w:sz w:val="24"/>
          <w:szCs w:val="24"/>
        </w:rPr>
      </w:pPr>
      <w:bookmarkStart w:id="15" w:name="_Toc221108137"/>
      <w:r>
        <w:rPr>
          <w:rStyle w:val="27"/>
          <w:rFonts w:cs="Times New Roman"/>
          <w:szCs w:val="24"/>
        </w:rPr>
        <w:t>Supplementary Fig. 3 | Comparison of atomic partial charge assignment schemes.</w:t>
      </w:r>
      <w:bookmarkEnd w:id="15"/>
      <w:r>
        <w:rPr>
          <w:rStyle w:val="27"/>
          <w:rFonts w:cs="Times New Roman"/>
          <w:szCs w:val="24"/>
        </w:rPr>
        <w:t xml:space="preserve"> </w:t>
      </w:r>
      <w:r>
        <w:rPr>
          <w:rFonts w:ascii="Times New Roman" w:hAnsi="Times New Roman" w:eastAsia="宋体" w:cs="Times New Roman"/>
          <w:sz w:val="24"/>
          <w:szCs w:val="24"/>
        </w:rPr>
        <w:t>The heatmap visualizes the atomic partial charges derived from the restrained electrostatic potential (RESP),</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{"citationID":"FTKsCCQz","properties":{"formattedCitation":"\\super 29\\nosupersub{}","plainCitation":"29","noteIndex":0},"citationItems":[{"id":1354,"uris":["http://zotero.org/users/17156447/items/C6XMXYF4"],"itemData":{"id":1354,"type":"article-journal","container-title":"Journal of Physical Chemistry","DOI":"10.1021/j100142a004","ISSN":"0022-3654","issue":"40","journalAbbreviation":"J. Phys. Chem.","language":"en","note":"7082 citations (Crossref/DOI) [2025-11-10]","page":"10269-10280","publisher":"American Chemical Society","title":"A well-behaved electrostatic potential based method using charge restraints for deriving atomic charges: the RESP model","volume":"97","author":[{"family":"Bayly","given":"Christopher I."},{"family":"Cieplak","given":"Piotr"},{"family":"Cornell","given":"Wendy"},{"family":"Kollman","given":"Peter A."}],"issued":{"date-parts":[["1993",10,1]]}}}],"schema":"https://github.com/citation-style-language/schema/raw/master/csl-citation.json"}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29</w:t>
      </w:r>
      <w:r>
        <w:rPr>
          <w:rFonts w:ascii="Times New Roman" w:hAnsi="Times New Roman" w:cs="Times New Roman"/>
          <w:sz w:val="24"/>
          <w:szCs w:val="24"/>
        </w:rPr>
        <w:fldChar w:fldCharType="end"/>
      </w:r>
      <w:r>
        <w:rPr>
          <w:rFonts w:ascii="Times New Roman" w:hAnsi="Times New Roman" w:eastAsia="宋体" w:cs="Times New Roman"/>
          <w:sz w:val="24"/>
          <w:szCs w:val="24"/>
        </w:rPr>
        <w:t xml:space="preserve"> 1.14</w:t>
      </w:r>
      <w:r>
        <w:rPr>
          <w:rFonts w:ascii="Times New Roman" w:hAnsi="Times New Roman" w:cs="Times New Roman"/>
          <w:sz w:val="24"/>
          <w:szCs w:val="24"/>
        </w:rPr>
        <w:t>*</w:t>
      </w:r>
      <w:r>
        <w:rPr>
          <w:rFonts w:ascii="Times New Roman" w:hAnsi="Times New Roman" w:eastAsia="宋体" w:cs="Times New Roman"/>
          <w:sz w:val="24"/>
          <w:szCs w:val="24"/>
        </w:rPr>
        <w:t>CM1A,</w:t>
      </w:r>
      <w:r>
        <w:rPr>
          <w:rFonts w:ascii="Times New Roman" w:hAnsi="Times New Roman" w:cs="Times New Roman"/>
          <w:sz w:val="24"/>
          <w:szCs w:val="24"/>
          <w:highlight w:val="yellow"/>
        </w:rPr>
        <w:fldChar w:fldCharType="begin"/>
      </w:r>
      <w:r>
        <w:rPr>
          <w:rFonts w:ascii="Times New Roman" w:hAnsi="Times New Roman" w:cs="Times New Roman"/>
          <w:sz w:val="24"/>
          <w:szCs w:val="24"/>
          <w:highlight w:val="yellow"/>
        </w:rPr>
        <w:instrText xml:space="preserve"> ADDIN ZOTERO_ITEM CSL_CITATION {"citationID":"SRBycxfM","properties":{"formattedCitation":"\\super 30\\uc0\\u8211{}32\\nosupersub{}","plainCitation":"30–32","noteIndex":0},"citationItems":[{"id":1362,"uris":["http://zotero.org/users/17156447/items/Q7UN2LVM"],"itemData":{"id":1362,"type":"article-journal","abstract":"The quality of the 1.14*CM1A and 1.20*CM5 charge models was evaluated for calculations of free energies of hydration. For a set of 426 neutral molecules, 1.14*CM1A and 1.20*CM5 yield MADs of 1.26 and 1.21 kcal/mol, respectively. The 1.14*CM1A charges, which can be readily obtained for large systems, exhibit large deviations only for a subset of functional groups. The results for these cases were systematically improved using localized bondcharge corrections (LBCC) by which oﬀsetting adjustments are made to the partial charges for atoms in speciﬁed bond types. Only 19 LBCCs were needed to yield 1.14*CM1A-LBCC charges that reduce the errors for the 426 ΔGhyd values to only 0.61 kcal/mol. The modiﬁed charge method was also tested in computation of heats of vaporization and densities for pure organic liquids, yielding average errors of 1.40 kcal/mol and 0.024 g/cm3, similar to those for 1.14*CM1A.","container-title":"Journal of Physical Chemistry B","DOI":"10.1021/acs.jpcb.7b00272","ISSN":"1520-6106, 1520-5207","issue":"15","journalAbbreviation":"J. Phys. Chem. B","language":"en","note":"667 citations (Crossref/DOI) [2025-11-10]\nTLDR: The quality of the 1.14*CM1A and 1.20*CM5 charge models was evaluated for calculations of free energies of hydration and offsetting adjustments are made to the partial charges for atoms in specified bond types using localized bond-charge corrections (LBCC).\nJCR分区: Q3\n5年影响因子: 2.9","page":"3864-3870","source":"DOI.org (Crossref)","title":"1.14*CM1A-LBCC: Localized bond-charge corrected CM1A charges for condensed-phase simulations","title-short":"1.14*cm1a-lbcc","volume":"121","author":[{"family":"Dodda","given":"Leela S."},{"family":"Vilseck","given":"Jonah Z."},{"family":"Tirado-Rives","given":"Julian"},{"family":"Jorgensen","given":"William L."}],"issued":{"date-parts":[["2017",4,20]]}}},{"id":1360,"uris":["http://zotero.org/users/17156447/items/QQAKPPZ9"],"itemData":{"id":1360,"type":"article-journal","abstract":"An overview is provided on the development and status of potential energy functions that are used in atomic-level statistical mechanics and molecular dynamics simulations of water and of organic and biomolecular systems. Some topics that are considered are the form of force fields, their parameterization and performance, simulations of organic liquids, computation of free energies of hydration, universal extension for organic molecules, and choice of atomic charges. The discussion of water models covers some history, performance issues, and special topics such as nuclear quantum effects.","container-title":"Proceedings of the National Academy of Sciences","DOI":"10.1073/pnas.0408037102","ISSN":"0027-8424, 1091-6490","issue":"19","journalAbbreviation":"Proc. Natl. Acad. Sci.","language":"en","note":"1344 citations (Crossref/DOI) [2025-11-10]\nTLDR: An overview is provided on the development and status of potential energy functions that are used in atomic-level statistical mechanics and molecular dynamics simulations of water and of organic and biomolecular systems.\nJCR分区: Q1\n5年影响因子: 10.6","page":"6665-6670","source":"DOI.org (Crossref)","title":"Potential energy functions for atomic-level simulations of water and organic and biomolecular systems","volume":"102","author":[{"family":"Jorgensen","given":"William L."},{"family":"Tirado-Rives","given":"Julian"}],"issued":{"date-parts":[["2005",5,10]]}}},{"id":1365,"uris":["http://zotero.org/users/17156447/items/CEGIJCZT"],"itemData":{"id":1365,"type":"article-journal","abstract":"The accurate calculation of protein/nucleic acid–ligand interactions or condensed phase properties by force ﬁeld-based methods require a precise description of the energetics of intermolecular interactions. Despite the progress made in force ﬁelds, small molecule parameterization remains an open problem due to the magnitude of the chemical space; the most critical issue is the estimation of a balanced set of atomic charges with the ability to reproduce experimental properties. The LigParGen web server provides an intuitive interface for generating OPLS-AA/1.14*CM1A(-LBCC) force ﬁeld parameters for organic ligands, in the formats of commonly used molecular dynamics and Monte Carlo simulation packages. This server has high value for researchers interested in studying any phenomena based on intermolecular interactions with ligands via molecular mechanics simulations. It is free and open to all at jorgensenresearch.com/ligpargen, and has no login requirements.","container-title":"Nucleic Acids Research","DOI":"10.1093/nar/gkx312","ISSN":"0305-1048, 1362-4962","issue":"W1","journalAbbreviation":"Nucleic Acids Res.","language":"en","license":"http://creativecommons.org/licenses/by-nc/4.0/","note":"1358 citations (Crossref/DOI) [2025-11-10]\nTLDR: The LigParGen web server provides an intuitive interface for generating OPLS-AA/1.14*CM1A(-LBCC) force field parameters for organic ligands, in the formats of commonly used molecular dynamics and Monte Carlo simulation packages.\nJCR分区: Q1\n5年影响因子: 16.8","page":"W331-W336","source":"DOI.org (Crossref)","title":"LigParGen web server: An automatic OPLS-AA parameter generator for organic ligands","title-short":"LigParGen web server","volume":"45","author":[{"family":"Dodda","given":"Leela S."},{"family":"Cabeza de Vaca","given":"Israel"},{"family":"Tirado-Rives","given":"Julian"},{"family":"Jorgensen","given":"William L."}],"issued":{"date-parts":[["2017",7,3]]}}}],"schema":"https://github.com/citation-style-language/schema/raw/master/csl-citation.json"} </w:instrText>
      </w:r>
      <w:r>
        <w:rPr>
          <w:rFonts w:ascii="Times New Roman" w:hAnsi="Times New Roman" w:cs="Times New Roman"/>
          <w:sz w:val="24"/>
          <w:szCs w:val="24"/>
          <w:highlight w:val="yellow"/>
        </w:rPr>
        <w:fldChar w:fldCharType="separate"/>
      </w:r>
      <w:r>
        <w:rPr>
          <w:rFonts w:ascii="Times New Roman" w:hAnsi="Times New Roman" w:eastAsia="等线" w:cs="Times New Roman"/>
          <w:kern w:val="0"/>
          <w:sz w:val="24"/>
          <w:vertAlign w:val="superscript"/>
        </w:rPr>
        <w:t>30–32</w:t>
      </w:r>
      <w:r>
        <w:rPr>
          <w:rFonts w:ascii="Times New Roman" w:hAnsi="Times New Roman" w:cs="Times New Roman"/>
          <w:sz w:val="24"/>
          <w:szCs w:val="24"/>
          <w:highlight w:val="yellow"/>
        </w:rPr>
        <w:fldChar w:fldCharType="end"/>
      </w:r>
      <w:r>
        <w:rPr>
          <w:rFonts w:ascii="Times New Roman" w:hAnsi="Times New Roman" w:eastAsia="宋体" w:cs="Times New Roman"/>
          <w:sz w:val="24"/>
          <w:szCs w:val="24"/>
        </w:rPr>
        <w:t xml:space="preserve"> and 1.2</w:t>
      </w:r>
      <w:r>
        <w:rPr>
          <w:rFonts w:ascii="Times New Roman" w:hAnsi="Times New Roman" w:cs="Times New Roman"/>
          <w:sz w:val="24"/>
          <w:szCs w:val="24"/>
        </w:rPr>
        <w:t>*</w:t>
      </w:r>
      <w:r>
        <w:rPr>
          <w:rFonts w:ascii="Times New Roman" w:hAnsi="Times New Roman" w:eastAsia="宋体" w:cs="Times New Roman"/>
          <w:sz w:val="24"/>
          <w:szCs w:val="24"/>
        </w:rPr>
        <w:t>CM5</w:t>
      </w:r>
      <w:r>
        <w:rPr>
          <w:rFonts w:ascii="Times New Roman" w:hAnsi="Times New Roman" w:cs="Times New Roman"/>
          <w:sz w:val="24"/>
          <w:szCs w:val="24"/>
          <w:highlight w:val="yellow"/>
        </w:rPr>
        <w:fldChar w:fldCharType="begin"/>
      </w:r>
      <w:r>
        <w:rPr>
          <w:rFonts w:ascii="Times New Roman" w:hAnsi="Times New Roman" w:cs="Times New Roman"/>
          <w:sz w:val="24"/>
          <w:szCs w:val="24"/>
          <w:highlight w:val="yellow"/>
        </w:rPr>
        <w:instrText xml:space="preserve"> ADDIN ZOTERO_ITEM CSL_CITATION {"citationID":"ZaWb1OTk","properties":{"formattedCitation":"\\super 30,33\\nosupersub{}","plainCitation":"30,33","noteIndex":0},"citationItems":[{"id":1391,"uris":["http://zotero.org/users/17156447/items/MXHBWWX6"],"itemData":{"id":1391,"type":"article-journal","container-title":"Journal of Chemical Theory and Computation","DOI":"10.1021/ct200866d","ISSN":"1549-9618, 1549-9626","issue":"2","journalAbbreviation":"J. Chem. Theory Comput.","language":"en","license":"http://pubs.acs.org/page/policy/authorchoice_termsofuse.html","note":"833 citations (Crossref/DOI) [2025-11-19]\nJCR分区: Q1\n5年影响因子: 6.4\nTLDR: The CM5 model predicts dipole moments for the tested molecules that are more accurate on average than those from the original Hirshfeld method or from many other popular schemes including atomic polar tensor and Löwdin, Mulliken, and natural population analyses.","page":"527-541","source":"DOI.org (Crossref)","title":"Charge model 5: An extension of hirshfeld population analysis for the accurate description of molecular interactions in gaseous and condensed phases","title-short":"Charge model 5","volume":"8","author":[{"family":"Marenich","given":"Aleksandr V."},{"family":"Jerome","given":"Steven V."},{"family":"Cramer","given":"Christopher J."},{"family":"Truhlar","given":"Donald G."}],"issued":{"date-parts":[["2012",2,14]]}}},{"id":1362,"uris":["http://zotero.org/users/17156447/items/Q7UN2LVM"],"itemData":{"id":1362,"type":"article-journal","abstract":"The quality of the 1.14*CM1A and 1.20*CM5 charge models was evaluated for calculations of free energies of hydration. For a set of 426 neutral molecules, 1.14*CM1A and 1.20*CM5 yield MADs of 1.26 and 1.21 kcal/mol, respectively. The 1.14*CM1A charges, which can be readily obtained for large systems, exhibit large deviations only for a subset of functional groups. The results for these cases were systematically improved using localized bondcharge corrections (LBCC) by which oﬀsetting adjustments are made to the partial charges for atoms in speciﬁed bond types. Only 19 LBCCs were needed to yield 1.14*CM1A-LBCC charges that reduce the errors for the 426 ΔGhyd values to only 0.61 kcal/mol. The modiﬁed charge method was also tested in computation of heats of vaporization and densities for pure organic liquids, yielding average errors of 1.40 kcal/mol and 0.024 g/cm3, similar to those for 1.14*CM1A.","container-title":"Journal of Physical Chemistry B","DOI":"10.1021/acs.jpcb.7b00272","ISSN":"1520-6106, 1520-5207","issue":"15","journalAbbreviation":"J. Phys. Chem. B","language":"en","note":"667 citations (Crossref/DOI) [2025-11-10]\nTLDR: The quality of the 1.14*CM1A and 1.20*CM5 charge models was evaluated for calculations of free energies of hydration and offsetting adjustments are made to the partial charges for atoms in specified bond types using localized bond-charge corrections (LBCC).\nJCR分区: Q3\n5年影响因子: 2.9","page":"3864-3870","source":"DOI.org (Crossref)","title":"1.14*CM1A-LBCC: Localized bond-charge corrected CM1A charges for condensed-phase simulations","title-short":"1.14*cm1a-lbcc","volume":"121","author":[{"family":"Dodda","given":"Leela S."},{"family":"Vilseck","given":"Jonah Z."},{"family":"Tirado-Rives","given":"Julian"},{"family":"Jorgensen","given":"William L."}],"issued":{"date-parts":[["2017",4,20]]}}}],"schema":"https://github.com/citation-style-language/schema/raw/master/csl-citation.json"} </w:instrText>
      </w:r>
      <w:r>
        <w:rPr>
          <w:rFonts w:ascii="Times New Roman" w:hAnsi="Times New Roman" w:cs="Times New Roman"/>
          <w:sz w:val="24"/>
          <w:szCs w:val="24"/>
          <w:highlight w:val="yellow"/>
        </w:rPr>
        <w:fldChar w:fldCharType="separate"/>
      </w:r>
      <w:r>
        <w:rPr>
          <w:rFonts w:ascii="Times New Roman" w:hAnsi="Times New Roman" w:eastAsia="等线" w:cs="Times New Roman"/>
          <w:kern w:val="0"/>
          <w:sz w:val="24"/>
          <w:vertAlign w:val="superscript"/>
        </w:rPr>
        <w:t>30,33</w:t>
      </w:r>
      <w:r>
        <w:rPr>
          <w:rFonts w:ascii="Times New Roman" w:hAnsi="Times New Roman" w:cs="Times New Roman"/>
          <w:sz w:val="24"/>
          <w:szCs w:val="24"/>
          <w:highlight w:val="yellow"/>
        </w:rPr>
        <w:fldChar w:fldCharType="end"/>
      </w:r>
      <w:r>
        <w:rPr>
          <w:rFonts w:ascii="Times New Roman" w:hAnsi="Times New Roman" w:eastAsia="宋体" w:cs="Times New Roman"/>
          <w:sz w:val="24"/>
          <w:szCs w:val="24"/>
        </w:rPr>
        <w:t xml:space="preserve"> </w:t>
      </w:r>
      <w:r>
        <w:rPr>
          <w:rFonts w:ascii="Times New Roman" w:hAnsi="Times New Roman" w:cs="Times New Roman"/>
          <w:sz w:val="24"/>
          <w:szCs w:val="24"/>
        </w:rPr>
        <w:t>schemes</w:t>
      </w:r>
      <w:r>
        <w:rPr>
          <w:rFonts w:ascii="Times New Roman" w:hAnsi="Times New Roman" w:eastAsia="宋体" w:cs="Times New Roman"/>
          <w:sz w:val="24"/>
          <w:szCs w:val="24"/>
        </w:rPr>
        <w:t xml:space="preserve"> across various electrolyte components, including solvents (DME, EC, EMC, DMC, PSF, TPSF, DOL), an additive (FEC), and a diluent (TFEO). Methodological details: To obtain the atomic partial charges, geometry optimizations were performed </w:t>
      </w:r>
      <w:r>
        <w:rPr>
          <w:rFonts w:ascii="Times New Roman" w:hAnsi="Times New Roman" w:cs="Times New Roman"/>
          <w:sz w:val="24"/>
          <w:szCs w:val="24"/>
        </w:rPr>
        <w:t>at the B3LYP</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{"citationID":"0jdacYDJ","properties":{"formattedCitation":"\\super 34\\nosupersub{}","plainCitation":"34","noteIndex":0},"citationItems":[{"id":1074,"uris":["http://zotero.org/users/17156447/items/6JHQ54LL"],"itemData":{"id":1074,"type":"article-journal","container-title":"Journal of Physical Chemistry","DOI":"10.1021/j100096a001","ISSN":"0022-3654, 1541-5740","issue":"45","journalAbbreviation":"J. Phys. Chem.","language":"en","note":"20216 citations (Crossref/DOI) [2025-06-23]","page":"11623-11627","source":"DOI.org (Crossref)","title":"Ab initio calculation of vibrational absorption and circular dichroism spectra using density functional force fields","volume":"98","author":[{"family":"Stephens","given":"P. J."},{"family":"Devlin","given":"F. J."},{"family":"Chabalowski","given":"C. F."},{"family":"Frisch","given":"M. J."}],"issued":{"date-parts":[["1994",11]]}}}],"schema":"https://github.com/citation-style-language/schema/raw/master/csl-citation.json"}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34</w:t>
      </w:r>
      <w:r>
        <w:rPr>
          <w:rFonts w:ascii="Times New Roman" w:hAnsi="Times New Roman" w:cs="Times New Roman"/>
          <w:sz w:val="24"/>
          <w:szCs w:val="24"/>
        </w:rPr>
        <w:fldChar w:fldCharType="end"/>
      </w:r>
      <w:r>
        <w:rPr>
          <w:rFonts w:ascii="Times New Roman" w:hAnsi="Times New Roman" w:cs="Times New Roman"/>
          <w:sz w:val="24"/>
          <w:szCs w:val="24"/>
        </w:rPr>
        <w:t>/def2-SVP</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{"citationID":"TLAw1Ztd","properties":{"formattedCitation":"\\super 35,36\\nosupersub{}","plainCitation":"35,36","noteIndex":0},"citationItems":[{"id":1066,"uris":["http://zotero.org/users/17156447/items/SKP273IY"],"itemData":{"id":1066,"type":"article-journal","container-title":"Physical Chemistry Chemical Physics","DOI":"10.1039/b508541a","ISSN":"1463-9076, 1463-9084","issue":"18","journalAbbreviation":"Phys. Chem. Chem. Phys.","language":"en","note":"24164 citations (Crossref/DOI) [2025-06-23]\nJCR分区: Q2\n5年影响因子: 3.0\nTLDR: A large set of more than 300 molecules representing all elements-except lanthanides-in their common oxidation states was used to assess the quality of the bases all across the periodic table, and recommendations are given which type of basis set is used best for a certain level of theory and a desired quality of results.","page":"3297","source":"DOI.org (Crossref)","title":"Balanced basis sets of split valence, triple zeta valence and quadruple zeta valence quality for H to rn: design and assessment of accuracy","title-short":"Balanced basis sets of split valence, triple zeta valence and quadruple zeta valence quality for H to Rn","volume":"7","author":[{"family":"Weigend","given":"Florian"},{"family":"Ahlrichs","given":"Reinhart"}],"issued":{"date-parts":[["2005"]]}}},{"id":1386,"uris":["http://zotero.org/users/17156447/items/NGTEJN3E"],"itemData":{"id":1386,"type":"article-journal","abstract":"Various contracted Gaussian basis sets for atoms up to Kr are presented which have been determined by optimizing atomic self-consistent field ground state energies with respect to all basis set parameters, i.e., orbital exponents and contraction coefficients.","container-title":"Journal of Chemical Physics","DOI":"10.1063/1.463096","ISSN":"0021-9606, 1089-7690","issue":"4","journalAbbreviation":"J. Chem. Phys.","language":"en","note":"8889 citations (Crossref/DOI) [2025-11-18]","page":"2571-2577","source":"DOI.org (Crossref)","title":"Fully optimized contracted gaussian basis sets for atoms Li to Kr","volume":"97","author":[{"family":"Schäfer","given":"Ansgar"},{"family":"Horn","given":"Hans"},{"family":"Ahlrichs","given":"Reinhart"}],"issued":{"date-parts":[["1992",8,15]]}}}],"schema":"https://github.com/citation-style-language/schema/raw/master/csl-citation.json"}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35,36</w:t>
      </w:r>
      <w:r>
        <w:rPr>
          <w:rFonts w:ascii="Times New Roman" w:hAnsi="Times New Roman" w:cs="Times New Roman"/>
          <w:sz w:val="24"/>
          <w:szCs w:val="24"/>
        </w:rPr>
        <w:fldChar w:fldCharType="end"/>
      </w:r>
      <w:r>
        <w:rPr>
          <w:rFonts w:ascii="Times New Roman" w:hAnsi="Times New Roman" w:cs="Times New Roman"/>
          <w:sz w:val="24"/>
          <w:szCs w:val="24"/>
        </w:rPr>
        <w:t xml:space="preserve"> level</w:t>
      </w:r>
      <w:r>
        <w:rPr>
          <w:rFonts w:ascii="Times New Roman" w:hAnsi="Times New Roman" w:eastAsia="宋体" w:cs="Times New Roman"/>
          <w:sz w:val="24"/>
          <w:szCs w:val="24"/>
        </w:rPr>
        <w:t xml:space="preserve">, </w:t>
      </w:r>
      <w:r>
        <w:rPr>
          <w:rFonts w:ascii="Times New Roman" w:hAnsi="Times New Roman" w:cs="Times New Roman"/>
          <w:sz w:val="24"/>
          <w:szCs w:val="24"/>
        </w:rPr>
        <w:t>incorporating Grimme’s D3 dispersion correction with Becke-Johnson damping D3(BJ).</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{"citationID":"5M1GUNx6","properties":{"formattedCitation":"\\super 37,38\\nosupersub{}","plainCitation":"37,38","noteIndex":0},"citationItems":[{"id":1078,"uris":["http://zotero.org/users/17156447/items/ES2WRAGM"],"itemData":{"id":1078,"type":"article-journal","abstract":"It is shown by an extensive benchmark on molecular energy data that the mathematical form of the damping function in DFT-D methods has only a minor impact on the quality of the results. For 12 different functionals, a standard “zero-damping” formula and rational damping to ﬁnite values for small interatomic distances according to Becke and Johnson (BJ-damping) has been tested. The same (DFT-D3) scheme for the computation of the dispersion coefﬁcients is used. The BJ-damping requires one ﬁt parameter more for each functional (three instead of two) but has the advantage of avoiding repulsive interatomic forces at shorter distances. With BJ-damping better results for nonbonded distances and more clear effects of intramolecular dispersion in four representative molecular structures are found. For the noncovalentlybonded structures in the S22 set, both schemes lead to very similar intermolecular distances. For noncovalent interaction energies BJ-damping performs slightly better but both variants can be recommended in general. The exception to this is Hartree-Fock that can be recommended only in the BJ-variant and which is then close to the accuracy of corrected GGAs for non-covalent interactions. According to the thermodynamic benchmarks BJ-damping is more accurate especially for medium-range electron correlation problems and only small and practically insigniﬁcant double-counting effects are observed. It seems to provide a physically correct short-range behavior of correlation/dispersion even with unmodiﬁed standard functionals. In any case, the differences between the two methods are much smaller than the overall dispersion effect and often also smaller than the inﬂuence of the underlying density functional.","container-title":"Journal of Computational Chemistry","DOI":"10.1002/jcc.21759","ISSN":"0192-8651, 1096-987X","issue":"7","journalAbbreviation":"J. Comput. Chem.","language":"en","license":"http://onlinelibrary.wiley.com/termsAndConditions#vor","note":"21014 citations (Crossref/DOI) [2025-06-23]\nJCR分区: Q2\n5年影响因子: 4.2\nTLDR: It is shown by an extensive benchmark on molecular energy data that the mathematical form of the damping function in DFT‐D methods has only a minor impact on the quality of the results and BJ‐damping seems to provide a physically correct short‐range behavior of correlation/dispersion even with unmodified standard functionals.","page":"1456-1465","source":"DOI.org (Crossref)","title":"Effect of the damping function in dispersion corrected density functional theory","volume":"32","author":[{"family":"Grimme","given":"Stefan"},{"family":"Ehrlich","given":"Stephan"},{"family":"Goerigk","given":"Lars"}],"issued":{"date-parts":[["2011",5]]}}},{"id":1076,"uris":["http://zotero.org/users/17156447/items/BGUAJ7EF"],"itemData":{"id":1076,"type":"article-journal","abstract":"The method of dispersion correction as an add-on to standard Kohn–Sham density functional theory (DFT-D) has been refined regarding higher accuracy, broader range of applicability, and less empiricism. The main new ingredients are atom-pairwise specific dispersion coefficients and cutoff radii that are both computed from first principles. The coefficients for new eighth-order dispersion terms are computed using established recursion relations. System (geometry) dependent information is used for the first time in a DFT-D type approach by employing the new concept of fractional coordination numbers (CN). They are used to interpolate between dispersion coefficients of atoms in different chemical environments. The method only requires adjustment of two global parameters for each density functional, is asymptotically exact for a gas of weakly interacting neutral atoms, and easily allows the computation of atomic forces. Three-body nonadditivity terms are considered. The method has been assessed on standard benchmark sets for inter- and intramolecular noncovalent interactions with a particular emphasis on a consistent description of light and heavy element systems. The mean absolute deviations for the S22 benchmark set of noncovalent interactions for 11 standard density functionals decrease by 15%–40% compared to the previous (already accurate) DFT-D version. Spectacular improvements are found for a tripeptide-folding model and all tested metallic systems. The rectification of the long-range behavior and the use of more accurate C6 coefficients also lead to a much better description of large (infinite) systems as shown for graphene sheets and the adsorption of benzene on an Ag(111) surface. For graphene it is found that the inclusion of three-body terms substantially (by about 10%) weakens the interlayer binding. We propose the revised DFT-D method as a general tool for the computation of the dispersion energy in molecules and solids of any kind with DFT and related (low-cost) electronic structure methods for large systems.","container-title":"Journal of Chemical Physics","DOI":"10.1063/1.3382344","ISSN":"0021-9606, 1089-7690","issue":"15","journalAbbreviation":"J. Chem. Phys.","language":"en","note":"45983 citations (Crossref/DOI) [2025-06-23]\nJCR分区: Q2\n5年影响因子: 3.8\nTLDR: The revised DFT-D method is proposed as a general tool for the computation of the dispersion energy in molecules and solids of any kind with DFT and related (low-cost) electronic structure methods for large systems.","page":"154104","source":"DOI.org (Crossref)","title":"A consistent and accurate &lt;i&gt;ab initio&lt;/i&gt; parametrization of density functional dispersion correction (DFT-D) for the 94 elements H-pu","volume":"132","author":[{"family":"Grimme","given":"Stefan"},{"family":"Antony","given":"Jens"},{"family":"Ehrlich","given":"Stephan"},{"family":"Krieg","given":"Helge"}],"issued":{"date-parts":[["2010",4,21]]}}}],"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37,38</w:t>
      </w:r>
      <w:r>
        <w:rPr>
          <w:rFonts w:ascii="Times New Roman" w:hAnsi="Times New Roman" w:cs="Times New Roman"/>
          <w:sz w:val="24"/>
          <w:szCs w:val="24"/>
        </w:rPr>
        <w:fldChar w:fldCharType="end"/>
      </w:r>
    </w:p>
    <w:p w14:paraId="6DF9DCCB">
      <w:pPr>
        <w:widowControl/>
        <w:spacing w:line="360" w:lineRule="auto"/>
        <w:jc w:val="left"/>
        <w:rPr>
          <w:rFonts w:ascii="Times New Roman" w:hAnsi="Times New Roman" w:eastAsia="宋体" w:cs="Times New Roman"/>
          <w:sz w:val="24"/>
          <w:szCs w:val="24"/>
        </w:rPr>
      </w:pPr>
    </w:p>
    <w:p w14:paraId="35D6DA34">
      <w:pPr>
        <w:widowControl/>
        <w:spacing w:line="360" w:lineRule="auto"/>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5E05F42F">
      <w:pPr>
        <w:adjustRightInd w:val="0"/>
        <w:snapToGrid w:val="0"/>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5039995" cy="2237740"/>
            <wp:effectExtent l="0" t="0" r="8255" b="0"/>
            <wp:docPr id="1765864131" name="图片 4"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864131" name="图片 4" descr="日程表&#10;&#10;AI 生成的内容可能不正确。"/>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040000" cy="2237928"/>
                    </a:xfrm>
                    <a:prstGeom prst="rect">
                      <a:avLst/>
                    </a:prstGeom>
                    <a:noFill/>
                    <a:ln>
                      <a:noFill/>
                    </a:ln>
                  </pic:spPr>
                </pic:pic>
              </a:graphicData>
            </a:graphic>
          </wp:inline>
        </w:drawing>
      </w:r>
    </w:p>
    <w:p w14:paraId="7F8F904B">
      <w:pPr>
        <w:pStyle w:val="39"/>
        <w:spacing w:line="360" w:lineRule="auto"/>
        <w:ind w:firstLine="0"/>
        <w:rPr>
          <w:rFonts w:ascii="Times New Roman" w:hAnsi="Times New Roman"/>
          <w:szCs w:val="24"/>
          <w:lang w:eastAsia="zh-CN"/>
        </w:rPr>
      </w:pPr>
      <w:bookmarkStart w:id="16" w:name="_Toc221108138"/>
      <w:r>
        <w:rPr>
          <w:rStyle w:val="27"/>
          <w:rFonts w:cs="Times New Roman"/>
          <w:lang w:eastAsia="zh-CN"/>
        </w:rPr>
        <w:t>Supplementary Fig. 4 | Molecular electrostatic potential distributions.</w:t>
      </w:r>
      <w:bookmarkEnd w:id="16"/>
      <w:r>
        <w:rPr>
          <w:rStyle w:val="27"/>
          <w:rFonts w:cs="Times New Roman"/>
          <w:lang w:eastAsia="zh-CN"/>
        </w:rPr>
        <w:t xml:space="preserve"> </w:t>
      </w:r>
      <w:r>
        <w:rPr>
          <w:rFonts w:ascii="Times New Roman" w:hAnsi="Times New Roman"/>
          <w:szCs w:val="24"/>
          <w:lang w:eastAsia="zh-CN"/>
        </w:rPr>
        <w:t>Electrostatic potential (</w:t>
      </w:r>
      <w:r>
        <w:rPr>
          <w:rFonts w:ascii="Times New Roman" w:hAnsi="Times New Roman"/>
          <w:i/>
          <w:iCs/>
          <w:szCs w:val="24"/>
          <w:lang w:eastAsia="zh-CN"/>
        </w:rPr>
        <w:t>ESP</w:t>
      </w:r>
      <w:r>
        <w:rPr>
          <w:rFonts w:ascii="Times New Roman" w:hAnsi="Times New Roman"/>
          <w:szCs w:val="24"/>
          <w:lang w:eastAsia="zh-CN"/>
        </w:rPr>
        <w:t>)</w:t>
      </w:r>
      <w:r>
        <w:rPr>
          <w:rFonts w:ascii="Times New Roman" w:hAnsi="Times New Roman" w:eastAsia="宋体"/>
          <w:szCs w:val="24"/>
          <w:lang w:eastAsia="zh-CN"/>
        </w:rPr>
        <w:t xml:space="preserve"> </w:t>
      </w:r>
      <w:r>
        <w:rPr>
          <w:rFonts w:ascii="Times New Roman" w:hAnsi="Times New Roman"/>
          <w:szCs w:val="24"/>
          <w:lang w:eastAsia="zh-CN"/>
        </w:rPr>
        <w:t>surfaces for the investigated solvents</w:t>
      </w:r>
      <w:r>
        <w:rPr>
          <w:rFonts w:ascii="Times New Roman" w:hAnsi="Times New Roman" w:eastAsia="宋体"/>
          <w:szCs w:val="24"/>
          <w:lang w:eastAsia="zh-CN"/>
        </w:rPr>
        <w:t xml:space="preserve"> (DME, EC, EMC, DMC, PSF, TPSF, DOL), additive (FEC), and diluent (TFEO)</w:t>
      </w:r>
      <w:r>
        <w:rPr>
          <w:rFonts w:ascii="Times New Roman" w:hAnsi="Times New Roman"/>
          <w:szCs w:val="24"/>
          <w:lang w:eastAsia="zh-CN"/>
        </w:rPr>
        <w:t>.</w:t>
      </w:r>
      <w:r>
        <w:rPr>
          <w:rFonts w:ascii="Times New Roman" w:hAnsi="Times New Roman" w:eastAsia="宋体"/>
          <w:szCs w:val="24"/>
          <w:lang w:eastAsia="zh-CN"/>
        </w:rPr>
        <w:t xml:space="preserve"> </w:t>
      </w:r>
      <w:r>
        <w:rPr>
          <w:rFonts w:ascii="Times New Roman" w:hAnsi="Times New Roman"/>
          <w:szCs w:val="24"/>
          <w:lang w:eastAsia="zh-CN"/>
        </w:rPr>
        <w:t>The maximum (</w:t>
      </w:r>
      <w:r>
        <w:rPr>
          <w:rFonts w:ascii="Times New Roman" w:hAnsi="Times New Roman"/>
          <w:i/>
          <w:iCs/>
          <w:szCs w:val="24"/>
          <w:lang w:eastAsia="zh-CN"/>
        </w:rPr>
        <w:t>ESP</w:t>
      </w:r>
      <w:r>
        <w:rPr>
          <w:rFonts w:ascii="Times New Roman" w:hAnsi="Times New Roman"/>
          <w:szCs w:val="24"/>
          <w:vertAlign w:val="subscript"/>
          <w:lang w:eastAsia="zh-CN"/>
        </w:rPr>
        <w:t>max</w:t>
      </w:r>
      <w:r>
        <w:rPr>
          <w:rFonts w:ascii="Times New Roman" w:hAnsi="Times New Roman"/>
          <w:szCs w:val="24"/>
          <w:lang w:eastAsia="zh-CN"/>
        </w:rPr>
        <w:t>), and minimum (</w:t>
      </w:r>
      <w:r>
        <w:rPr>
          <w:rFonts w:ascii="Times New Roman" w:hAnsi="Times New Roman"/>
          <w:i/>
          <w:iCs/>
          <w:szCs w:val="24"/>
          <w:lang w:eastAsia="zh-CN"/>
        </w:rPr>
        <w:t>ESP</w:t>
      </w:r>
      <w:r>
        <w:rPr>
          <w:rFonts w:ascii="Times New Roman" w:hAnsi="Times New Roman"/>
          <w:szCs w:val="24"/>
          <w:vertAlign w:val="subscript"/>
          <w:lang w:eastAsia="zh-CN"/>
        </w:rPr>
        <w:t>min</w:t>
      </w:r>
      <w:r>
        <w:rPr>
          <w:rFonts w:ascii="Times New Roman" w:hAnsi="Times New Roman"/>
          <w:szCs w:val="24"/>
          <w:lang w:eastAsia="zh-CN"/>
        </w:rPr>
        <w:t>) potentials, along with the potential span (∆</w:t>
      </w:r>
      <w:r>
        <w:rPr>
          <w:rFonts w:ascii="Times New Roman" w:hAnsi="Times New Roman"/>
          <w:i/>
          <w:iCs/>
          <w:lang w:eastAsia="zh-CN"/>
        </w:rPr>
        <w:t>ESP</w:t>
      </w:r>
      <w:r>
        <w:rPr>
          <w:rFonts w:ascii="Times New Roman" w:hAnsi="Times New Roman"/>
          <w:lang w:eastAsia="zh-CN"/>
        </w:rPr>
        <w:t xml:space="preserve"> = </w:t>
      </w:r>
      <w:r>
        <w:rPr>
          <w:rFonts w:ascii="Times New Roman" w:hAnsi="Times New Roman"/>
          <w:i/>
          <w:iCs/>
          <w:lang w:eastAsia="zh-CN"/>
        </w:rPr>
        <w:t>ESP</w:t>
      </w:r>
      <w:r>
        <w:rPr>
          <w:rFonts w:ascii="Times New Roman" w:hAnsi="Times New Roman"/>
          <w:vertAlign w:val="subscript"/>
          <w:lang w:eastAsia="zh-CN"/>
        </w:rPr>
        <w:t>max</w:t>
      </w:r>
      <w:r>
        <w:rPr>
          <w:rFonts w:ascii="Times New Roman" w:hAnsi="Times New Roman"/>
          <w:lang w:eastAsia="zh-CN"/>
        </w:rPr>
        <w:t>-</w:t>
      </w:r>
      <w:r>
        <w:rPr>
          <w:rFonts w:ascii="Times New Roman" w:hAnsi="Times New Roman"/>
          <w:i/>
          <w:iCs/>
          <w:lang w:eastAsia="zh-CN"/>
        </w:rPr>
        <w:t>ESP</w:t>
      </w:r>
      <w:r>
        <w:rPr>
          <w:rFonts w:ascii="Times New Roman" w:hAnsi="Times New Roman"/>
          <w:vertAlign w:val="subscript"/>
          <w:lang w:eastAsia="zh-CN"/>
        </w:rPr>
        <w:t>min</w:t>
      </w:r>
      <w:r>
        <w:rPr>
          <w:rFonts w:ascii="Times New Roman" w:hAnsi="Times New Roman"/>
          <w:szCs w:val="24"/>
          <w:lang w:eastAsia="zh-CN"/>
        </w:rPr>
        <w:t>) are</w:t>
      </w:r>
      <w:r>
        <w:rPr>
          <w:rFonts w:ascii="Times New Roman" w:hAnsi="Times New Roman" w:eastAsia="宋体"/>
          <w:szCs w:val="24"/>
          <w:lang w:eastAsia="zh-CN"/>
        </w:rPr>
        <w:t xml:space="preserve"> indicated. </w:t>
      </w:r>
      <w:r>
        <w:rPr>
          <w:rFonts w:ascii="Times New Roman" w:hAnsi="Times New Roman"/>
          <w:szCs w:val="24"/>
          <w:lang w:eastAsia="zh-CN"/>
        </w:rPr>
        <w:t>Calculation protocol: Following geometry optimization, single-point energy calculations were conducted at the B3LYP</w:t>
      </w:r>
      <w:r>
        <w:rPr>
          <w:rFonts w:ascii="Times New Roman" w:hAnsi="Times New Roman"/>
          <w:szCs w:val="24"/>
        </w:rPr>
        <w:fldChar w:fldCharType="begin"/>
      </w:r>
      <w:r>
        <w:rPr>
          <w:rFonts w:ascii="Times New Roman" w:hAnsi="Times New Roman"/>
          <w:szCs w:val="24"/>
          <w:lang w:eastAsia="zh-CN"/>
        </w:rPr>
        <w:instrText xml:space="preserve"> ADDIN ZOTERO_ITEM CSL_CITATION {"citationID":"Q2QRA6HY","properties":{"formattedCitation":"\\super 34\\nosupersub{}","plainCitation":"34","noteIndex":0},"citationItems":[{"id":1074,"uris":["http://zotero.org/users/17156447/items/6JHQ54LL"],"itemData":{"id":1074,"type":"article-journal","container-title":"Journal of Physical Ch</w:instrText>
      </w:r>
      <w:r>
        <w:rPr>
          <w:rFonts w:ascii="Times New Roman" w:hAnsi="Times New Roman"/>
          <w:szCs w:val="24"/>
        </w:rPr>
        <w:instrText xml:space="preserve">emistry","DOI":"10.1021/j100096a001","ISSN":"0022-3654, 1541-5740","issue":"45","journalAbbreviation":"J. Phys. Chem.","language":"en","note":"20216 citations (Crossref/DOI) [2025-06-23]","page":"11623-11627","source":"DOI.org (Crossref)","title":"Ab initio calculation of vibrational absorption and circular dichroism spectra using density functional force fields","volume":"98","author":[{"family":"Stephens","given":"P. J."},{"family":"Devlin","given":"F. J."},{"family":"Chabalowski","given":"C. F."},{"family":"Frisch","given":"M. J."}],"issued":{"date-parts":[["1994",11]]}}}],"schema":"https://github.com/citation-style-language/schema/raw/master/csl-citation.json"} </w:instrText>
      </w:r>
      <w:r>
        <w:rPr>
          <w:rFonts w:ascii="Times New Roman" w:hAnsi="Times New Roman"/>
          <w:szCs w:val="24"/>
        </w:rPr>
        <w:fldChar w:fldCharType="separate"/>
      </w:r>
      <w:r>
        <w:rPr>
          <w:rFonts w:ascii="Times New Roman" w:hAnsi="Times New Roman"/>
          <w:vertAlign w:val="superscript"/>
        </w:rPr>
        <w:t>34</w:t>
      </w:r>
      <w:r>
        <w:rPr>
          <w:rFonts w:ascii="Times New Roman" w:hAnsi="Times New Roman"/>
          <w:szCs w:val="24"/>
        </w:rPr>
        <w:fldChar w:fldCharType="end"/>
      </w:r>
      <w:r>
        <w:rPr>
          <w:rFonts w:ascii="Times New Roman" w:hAnsi="Times New Roman"/>
          <w:szCs w:val="24"/>
          <w:lang w:eastAsia="zh-CN"/>
        </w:rPr>
        <w:t>-D3(BJ)</w:t>
      </w:r>
      <w:r>
        <w:rPr>
          <w:rFonts w:ascii="Times New Roman" w:hAnsi="Times New Roman"/>
          <w:szCs w:val="24"/>
        </w:rPr>
        <w:fldChar w:fldCharType="begin"/>
      </w:r>
      <w:r>
        <w:rPr>
          <w:rFonts w:ascii="Times New Roman" w:hAnsi="Times New Roman"/>
          <w:szCs w:val="24"/>
        </w:rPr>
        <w:instrText xml:space="preserve"> ADDIN ZOTERO_ITEM CSL_CITATION {"citationID":"JLQG4gHo","properties":{"formattedCitation":"\\super 37,38\\nosupersub{}","plainCitation":"37,38","noteIndex":0},"citationItems":[{"id":1078,"uris":["http://zotero.org/users/17156447/items/ES2WRAGM"],"itemData":{"id":1078,"type":"article-journal","abstract":"It is shown by an extensive benchmark on molecular energy data that the mathematical form of the damping function in DFT-D methods has only a minor impact on the quality of the results. For 12 different functionals, a standard “zero-damping” formula and rational damping to ﬁnite values for small interatomic distances according to Becke and Johnson (BJ-damping) has been tested. The same (DFT-D3) scheme for the computation of the dispersion coefﬁcients is used. The BJ-damping requires one ﬁt parameter more for each functional (three instead of two) but has the advantage of avoiding repulsive interatomic forces at shorter distances. With BJ-damping better results for nonbonded distances and more clear effects of intramolecular dispersion in four representative molecular structures are found. For the noncovalentlybonded structures in the S22 set, both schemes lead to very similar intermolecular distances. For noncovalent interaction energies BJ-damping performs slightly better but both variants can be recommended in general. The exception to this is Hartree-Fock that can be recommended only in the BJ-variant and which is then close to the accuracy of corrected GGAs for non-covalent interactions. According to the thermodynamic benchmarks BJ-damping is more accurate especially for medium-range electron correlation problems and only small and practically insigniﬁcant double-counting effects are observed. It seems to provide a physically correct short-range behavior of correlation/dispersion even with unmodiﬁed standard functionals. In any case, the differences between the two methods are much smaller than the overall dispersion effect and often also smaller than the inﬂuence of the underlying density functional.","container-title":"Journal of Computational Chemistry","DOI":"10.1002/jcc.21759","ISSN":"0192-8651, 1096-987X","issue":"7","journalAbbreviation":"J. Comput. Chem.","language":"en","license":"http://onlinelibrary.wiley.com/termsAndConditions#vor","note":"21014 citations (Crossref/DOI) [2025-06-23]\nJCR分区: Q2\n5年影响因子: 4.2\nTLDR: It is shown by an extensive benchmark on molecular energy data that the mathematical form of the damping function in DFT‐D methods has only a minor impact on the quality of the results and BJ‐damping seems to provide a physically correct short‐range behavior of correlation/dispersion even with unmodified standard functionals.","page":"1456-1465","source":"DOI.org (Crossref)","title":"Effect of the damping function in dispersion corrected density functional theory","volume":"32","author":[{"family":"Grimme","given":"Stefan"},{"family":"Ehrlich","given":"Stephan"},{"family":"Goerigk","given":"Lars"}],"issued":{"date-parts":[["2011",5]]}}},{"id":1076,"uris":["http://zotero.org/users/17156447/items/BGUAJ7EF"],"itemData":{"id":1076,"type":"article-journal","abstract":"The method of dispersion correction as an add-on to standard Kohn–Sham density functional theory (DFT-D) has been refined regarding higher accuracy, broader range of applicability, and less empiricism. The main new ingredients are atom-pairwise specific dispersion coefficients and cutoff radii that are both computed from first principles. The coefficients for new eighth-order dispersion terms are computed using established recursion relations. System (geometry) dependent information is used for the first time in a DFT-D type approach by employing the new concept of fractional coordination numbers (CN). They are used to interpolate between dispersion coefficients of atoms in different chemical environments. The method only requires adjustment of two global parameters for each density functional, is asymptotically exact for a gas of weakly interacting neutral atoms, and easily allows the computation of atomic forces. Three-body nonadditivity terms are considered. The method has been assessed on standard benchmark sets for inter- and intramolecular noncovalent interactions with a particular emphasis on a consistent description of light and heavy element systems. The mean absolute deviations for the S22 benchmark set of noncovalent interactions for 11 standard density functionals decrease by 15%–40% compared to the previous (already accurate) DFT-D version. Spectacular improvements are found for a tripeptide-folding model and all tested metallic systems. The rectification of the long-range behavior and the use of more accurate C6 coefficients also lead to a much better description of large (infinite) systems as shown for graphene sheets and the adsorption of benzene on an Ag(111) surface. For graphene it is found that the inclusion of three-body terms substantially (by about 10%) weakens the interlayer binding. We propose the revised DFT-D method as a general tool for the computation of the dispersion energy in molecules and solids of any kind with DFT and related (low-cost) electronic structure methods for large systems.","container-title":"Journal of Chemical Physics","DOI":"10.1063/1.3382344","ISSN":"0021-9606, 1089-7690","issue":"15","journalAbbreviation":"J. Chem. Phys.","language":"en","note":"45983 citations (Crossref/DOI) [2025-06-23]\nJCR分区: Q2\n5年影响因子: 3.8\nTLDR: The revised DFT-D method is proposed as a general tool for the computation of the dispersion energy in molecules and solids of any kind with DFT and related (low-cost) electronic structure methods for large systems.","page":"154104","source":"DOI.org (Crossref)","title":"A consistent and accurate &lt;i&gt;ab initio&lt;/i&gt; parametrization of density functional dispersion correction (DFT-D) for the 94 elements H-pu","volume":"132","author":[{"family":"Grimme","given":"Stefan"},{"family":"Antony","given":"Jens"},{"family":"Ehrlich","given":"Stephan"},{"family":"Krieg","given":"Helge"}],"issued":{"date-parts":[["2010",4,21]]}}}],"schema":"https://github.com/citation-style-language/schema/raw/master/csl-citation.json"} </w:instrText>
      </w:r>
      <w:r>
        <w:rPr>
          <w:rFonts w:ascii="Times New Roman" w:hAnsi="Times New Roman"/>
          <w:szCs w:val="24"/>
        </w:rPr>
        <w:fldChar w:fldCharType="separate"/>
      </w:r>
      <w:r>
        <w:rPr>
          <w:rFonts w:ascii="Times New Roman" w:hAnsi="Times New Roman"/>
          <w:vertAlign w:val="superscript"/>
        </w:rPr>
        <w:t>37,38</w:t>
      </w:r>
      <w:r>
        <w:rPr>
          <w:rFonts w:ascii="Times New Roman" w:hAnsi="Times New Roman"/>
          <w:szCs w:val="24"/>
        </w:rPr>
        <w:fldChar w:fldCharType="end"/>
      </w:r>
      <w:r>
        <w:rPr>
          <w:rFonts w:ascii="Times New Roman" w:hAnsi="Times New Roman"/>
          <w:szCs w:val="24"/>
        </w:rPr>
        <w:t>/def2-TZVP</w:t>
      </w:r>
      <w:r>
        <w:rPr>
          <w:rFonts w:ascii="Times New Roman" w:hAnsi="Times New Roman"/>
          <w:szCs w:val="24"/>
        </w:rPr>
        <w:fldChar w:fldCharType="begin"/>
      </w:r>
      <w:r>
        <w:rPr>
          <w:rFonts w:ascii="Times New Roman" w:hAnsi="Times New Roman"/>
          <w:szCs w:val="24"/>
        </w:rPr>
        <w:instrText xml:space="preserve"> ADDIN ZOTERO_ITEM CSL_CITATION {"citationID":"OxlUrdBu","properties":{"formattedCitation":"\\super 35,39\\nosupersub{}","plainCitation":"35,39","noteIndex":0},"citationItems":[{"id":1066,"uris":["http://zotero.org/users/17156447/items/SKP273IY"],"itemData":{"id":1066,"type":"article-journal","container-title":"Physical Chemistry Chemical Physics","DOI":"10.1039/b508541a","ISSN":"1463-9076, 1463-9084","issue":"18","journalAbbreviation":"Phys. Chem. Chem. Phys.","language":"en","note":"24164 citations (Crossref/DOI) [2025-06-23]\nJCR分区: Q2\n5年影响因子: 3.0\nTLDR: A large set of more than 300 molecules representing all elements-except lanthanides-in their common oxidation states was used to assess the quality of the bases all across the periodic table, and recommendations are given which type of basis set is used best for a certain level of theory and a desired quality of results.","page":"3297","source":"DOI.org (Crossref)","title":"Balanced basis sets of split valence, triple zeta valence and quadruple zeta valence quality for H to rn: design and assessment of accuracy","title-short":"Balanced basis sets of split valence, triple zeta valence and quadruple zeta valence quality for H to Rn","volume":"7","author":[{"family":"Weigend","given":"Florian"},{"family":"Ahlrichs","given":"Reinhart"}],"issued":{"date-parts":[["2005"]]}}},{"id":1382,"uris":["http://zotero.org/users/17156447/items/3QCPPHDZ"],"itemData":{"id":1382,"type":"article-journal","abstract":"Contracted Gaussian basis sets of triple zeta valence (TZV) quality are presented for Li to Kr. The TZV bases are characterized by typically including a single contraction to describe inner shells and three basis functions for valence shells. All parameters—orbital exponents and contraction coefficients—have been determined by minimization of atomic self-consistent field ground state energies. Advantages and necessary modifications of TZV basis sets are discussed for simple test calculations of molecular energies and nuclear magnetic resonance (NMR) chemical shieldings in treatments with and without inclusion of electron correlation.","container-title":"Journal of Chemical Physics","DOI":"10.1063/1.467146","ISSN":"0021-9606, 1089-7690","issue":"8","journalAbbreviation":"J. Chem. Phys.","language":"en","note":"8555 citations (Crossref/DOI) [2025-11-18]\nJCR分区: Q2\n5年影响因子: 3.8","page":"5829-5835","source":"DOI.org (Crossref)","title":"Fully optimized contracted gaussian basis sets of triple zeta valence quality for atoms li to kr","volume":"100","author":[{"family":"Schäfer","given":"Ansgar"},{"family":"Huber","given":"Christian"},{"family":"Ahlrichs","given":"Reinhart"}],"issued":{"date-parts":[["1994",4,15]]}}}],"schema":"https://github.com/citation-style-language/schema/raw/master/csl-citation.json"} </w:instrText>
      </w:r>
      <w:r>
        <w:rPr>
          <w:rFonts w:ascii="Times New Roman" w:hAnsi="Times New Roman"/>
          <w:szCs w:val="24"/>
        </w:rPr>
        <w:fldChar w:fldCharType="separate"/>
      </w:r>
      <w:r>
        <w:rPr>
          <w:rFonts w:ascii="Times New Roman" w:hAnsi="Times New Roman"/>
          <w:vertAlign w:val="superscript"/>
        </w:rPr>
        <w:t>35,39</w:t>
      </w:r>
      <w:r>
        <w:rPr>
          <w:rFonts w:ascii="Times New Roman" w:hAnsi="Times New Roman"/>
          <w:szCs w:val="24"/>
        </w:rPr>
        <w:fldChar w:fldCharType="end"/>
      </w:r>
      <w:r>
        <w:rPr>
          <w:rFonts w:ascii="Times New Roman" w:hAnsi="Times New Roman"/>
          <w:szCs w:val="24"/>
        </w:rPr>
        <w:t xml:space="preserve"> level to generate the </w:t>
      </w:r>
      <w:r>
        <w:rPr>
          <w:rFonts w:ascii="Times New Roman" w:hAnsi="Times New Roman"/>
          <w:i/>
          <w:iCs/>
          <w:szCs w:val="24"/>
        </w:rPr>
        <w:t>ESP</w:t>
      </w:r>
      <w:r>
        <w:rPr>
          <w:rFonts w:ascii="Times New Roman" w:hAnsi="Times New Roman"/>
          <w:szCs w:val="24"/>
          <w:lang w:eastAsia="zh-CN"/>
        </w:rPr>
        <w:t xml:space="preserve">. This high-level theory ensures the generation of physically smooth and transferable </w:t>
      </w:r>
      <w:r>
        <w:rPr>
          <w:rFonts w:ascii="Times New Roman" w:hAnsi="Times New Roman"/>
          <w:i/>
          <w:iCs/>
          <w:szCs w:val="24"/>
          <w:lang w:eastAsia="zh-CN"/>
        </w:rPr>
        <w:t>ESP</w:t>
      </w:r>
      <w:r>
        <w:rPr>
          <w:rFonts w:ascii="Times New Roman" w:hAnsi="Times New Roman"/>
          <w:szCs w:val="24"/>
          <w:lang w:eastAsia="zh-CN"/>
        </w:rPr>
        <w:t xml:space="preserve"> surfaces, which is critical for compatibility with CFFs.</w:t>
      </w:r>
      <w:r>
        <w:rPr>
          <w:rFonts w:ascii="Times New Roman" w:hAnsi="Times New Roman"/>
          <w:szCs w:val="24"/>
          <w:lang w:eastAsia="zh-CN"/>
        </w:rPr>
        <w:fldChar w:fldCharType="begin"/>
      </w:r>
      <w:r>
        <w:rPr>
          <w:rFonts w:ascii="Times New Roman" w:hAnsi="Times New Roman"/>
          <w:szCs w:val="24"/>
          <w:lang w:eastAsia="zh-CN"/>
        </w:rPr>
        <w:instrText xml:space="preserve"> ADDIN ZOTERO_ITEM CSL_CITATION {"citationID":"jNw8EFRy","properties":{"formattedCitation":"\\super 26,40,41\\nosupersub{}","plainCitation":"26,40,41","noteIndex":0},"citationItems":[{"id":1319,"uris":["http://zotero.org/users/17156447/items/5ILW38C5"],"itemData":{"id":1319,"type":"article-journal","abstract":"Abstract\n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id":310,"uris":["http://zotero.org/users/17156447/items/KYMPZ5JN"],"itemData":{"id":310,"type":"article-journal","abstract":"Explorations into new electrolytes have highlighted the critical impact of solvation structure on battery performance. Classical molecular dynamics (CMD) using semi-empirical force ﬁelds has become an essential tool for simulating solvation structures. However, mainstream force ﬁelds often lack accuracy in describing strong ion-solvent interactions, causing disparities between CMD simulations and experimental observations. Although some empirical methods have been employed in some of the studies to address this issue, their effectiveness has been limited. Our CMD research, supported by quantum chemical calculations and experimental data, reveals that the solvation structure is inﬂuenced not only by the charge model but also by the polarization description. Previous empirical approaches that focused solely on adjusting ion-solvent interaction strengths overlooked the importance of polarization effects. Building on this insight, we propose integrating the Drude polarization model into mainstream force ﬁelds and verify its feasibility in carbonate, ether, and nitrile electrolytes. Our experimental results demonstrate that this approach signiﬁcantly enhances the accuracy of CMD-simulated solvation structures. This work is expected to provide a more reliable CMD method for electrolyte design, shielding researchers from the pitfalls of erroneous simulation outcomes.","container-title":"Journal of Energy Chemistry","DOI":"10.1016/j.jechem.2024.09.038","ISSN":"20954956","journalAbbreviation":"J. Energy Chem.","language":"en","note":"2 citations (Crossref/DOI) [2025-05-22]\n2 citations (Crossref/DOI) [2025-05-16]\nJCR分区: Q1\n中科院分区升级版: 化学1区\n影响因子: 14.0\n5年影响因子: 12.3\nEI: 是\n南农高质量: A","page":"34-41","source":"DOI.org (Crossref)","title":"Improving the reliability of classical molecular dynamics simulations in battery electrolyte design","volume":"101","author":[{"family":"He","given":"Xin"},{"family":"Zhang","given":"Yujie"},{"family":"Li","given":"Haomiao"},{"family":"Zhou","given":"Min"},{"family":"Wang","given":"Wei"},{"family":"Wang","given":"Ruxing"},{"family":"Jiang","given":"Kai"},{"family":"Wang","given":"Kangli"}],"issued":{"date-parts":[["2025",2]]}}},{"id":1108,"uris":["http://zotero.org/users/17156447/items/QDNRN6T2"],"itemData":{"id":1108,"type":"article-journal","abstract":"AbstractArtificial intelligence/machine learning (AI/ML) applied to battery research is considered to be a powerful tool for accelerating the research cycle. However, the development of appropriate materials descriptors is often the first hurdle toward implementing meaningful and accurate AI/ML. Currently, rational solvent selection remains a significant challenge in electrolyte development and is still based on experiments. The dielectric constant (ε) and donor number (DN) in electrolyte design are insufficient. Finding theoretically computable solvent descriptors for evaluating Li+ solvation is a significant step toward accelerating electrolyte development. Here, based on the electrostatic interaction between Li+ and solvent, the electrostatic potential (ESP) of electrolyte solvent is calculated by density functional theory calculations and reveals significant regularity. ESP as a direct and simple solvent descriptor for conveniently designing electrolytes is proposed. The lowest negative electrostatic potential (ESPmin) ensures the nucleophilic capacity of the solvating solvent and the weak ESPmin means decreased solvation energy. Weak ESPmin and strong highest positive electrostatic potential (ESPmax) are the main characteristics of non‐solvating antisolvents. Using the plot of ESPmin – ESPmax strong solvating solvent, weakly solvating solvent, or antisolvent are identified that have been used in electrolyte engineering. This solvent descriptor can boost AI/ML to develop high performance electrolytes.","container-title":"Advanced Energy Materials","DOI":"10.1002/aenm.202300259","ISSN":"1614-6832, 1614-6840","issue":"22","journalAbbreviation":"Adv. Energy Mater.","language":"en","license":"http://onlinelibrary.wiley.com/termsAndConditions#vor","note":"130 citations (Crossref/DOI) [2025-07-13]\nJCR分区: Q1\n5年影响因子: 26.8","publisher":"Wiley","source":"Crossref","title":"Electrostatic potential as solvent descriptor to enable rational electrolyte design for lithium batteries","URL":"https://onlinelibrary.wiley.com/doi/10.1002/aenm.202300259","volume":"13","author":[{"family":"Wu","given":"Yanzhou"},{"family":"Hu","given":"Qiao"},{"family":"Liang","given":"Hongmei"},{"family":"Wang","given":"Aiping"},{"family":"Xu","given":"Hong"},{"family":"Wang","given":"Li"},{"family":"He","given":"Xiangming"}],"accessed":{"date-parts":[["2025",7,13]]},"issued":{"date-parts":[["2023",6]]}}}],"schema":"https://github.com/citation-style-language/schema/raw/master/csl-citation.json"} </w:instrText>
      </w:r>
      <w:r>
        <w:rPr>
          <w:rFonts w:ascii="Times New Roman" w:hAnsi="Times New Roman"/>
          <w:szCs w:val="24"/>
          <w:lang w:eastAsia="zh-CN"/>
        </w:rPr>
        <w:fldChar w:fldCharType="separate"/>
      </w:r>
      <w:r>
        <w:rPr>
          <w:rFonts w:ascii="Times New Roman" w:hAnsi="Times New Roman"/>
          <w:vertAlign w:val="superscript"/>
        </w:rPr>
        <w:t>26,40,41</w:t>
      </w:r>
      <w:r>
        <w:rPr>
          <w:rFonts w:ascii="Times New Roman" w:hAnsi="Times New Roman"/>
          <w:szCs w:val="24"/>
          <w:lang w:eastAsia="zh-CN"/>
        </w:rPr>
        <w:fldChar w:fldCharType="end"/>
      </w:r>
    </w:p>
    <w:p w14:paraId="7D45749B">
      <w:pPr>
        <w:pStyle w:val="39"/>
        <w:spacing w:line="360" w:lineRule="auto"/>
        <w:ind w:firstLine="0"/>
        <w:rPr>
          <w:rFonts w:ascii="Times New Roman" w:hAnsi="Times New Roman"/>
          <w:szCs w:val="24"/>
          <w:lang w:eastAsia="zh-CN"/>
        </w:rPr>
      </w:pPr>
    </w:p>
    <w:p w14:paraId="1EEE7E87">
      <w:pPr>
        <w:widowControl/>
        <w:spacing w:line="360" w:lineRule="auto"/>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1F5793A2">
      <w:pPr>
        <w:pStyle w:val="39"/>
        <w:spacing w:line="360" w:lineRule="auto"/>
        <w:ind w:firstLine="0"/>
        <w:jc w:val="center"/>
        <w:rPr>
          <w:rFonts w:ascii="Times New Roman" w:hAnsi="Times New Roman"/>
          <w:szCs w:val="24"/>
          <w:lang w:eastAsia="zh-CN"/>
        </w:rPr>
      </w:pPr>
      <w:r>
        <w:rPr>
          <w:rFonts w:ascii="Times New Roman" w:hAnsi="Times New Roman"/>
        </w:rPr>
        <w:drawing>
          <wp:inline distT="0" distB="0" distL="0" distR="0">
            <wp:extent cx="5039995" cy="3698875"/>
            <wp:effectExtent l="0" t="0" r="8255" b="0"/>
            <wp:docPr id="1607710055" name="图片 5" descr="徽标, 公司名称&#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10055" name="图片 5" descr="徽标, 公司名称&#10;&#10;AI 生成的内容可能不正确。"/>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040000" cy="3698992"/>
                    </a:xfrm>
                    <a:prstGeom prst="rect">
                      <a:avLst/>
                    </a:prstGeom>
                    <a:noFill/>
                    <a:ln>
                      <a:noFill/>
                    </a:ln>
                  </pic:spPr>
                </pic:pic>
              </a:graphicData>
            </a:graphic>
          </wp:inline>
        </w:drawing>
      </w:r>
    </w:p>
    <w:p w14:paraId="7CA96EE7">
      <w:pPr>
        <w:widowControl/>
        <w:adjustRightInd w:val="0"/>
        <w:snapToGrid w:val="0"/>
        <w:spacing w:line="360" w:lineRule="auto"/>
        <w:rPr>
          <w:rFonts w:ascii="Times New Roman" w:hAnsi="Times New Roman" w:cs="Times New Roman"/>
          <w:sz w:val="24"/>
          <w:szCs w:val="24"/>
        </w:rPr>
      </w:pPr>
      <w:bookmarkStart w:id="17" w:name="_Toc221108139"/>
      <w:r>
        <w:rPr>
          <w:rStyle w:val="27"/>
          <w:rFonts w:cs="Times New Roman"/>
        </w:rPr>
        <w:t>Supplementary Fig. 5 | Gas-phase energetics and geometries of Li</w:t>
      </w:r>
      <w:r>
        <w:rPr>
          <w:rStyle w:val="27"/>
          <w:rFonts w:cs="Times New Roman"/>
          <w:vertAlign w:val="superscript"/>
        </w:rPr>
        <w:t>+</w:t>
      </w:r>
      <w:r>
        <w:rPr>
          <w:rStyle w:val="27"/>
          <w:rFonts w:cs="Times New Roman"/>
        </w:rPr>
        <w:t>-ligand complexes.</w:t>
      </w:r>
      <w:bookmarkEnd w:id="17"/>
      <w:r>
        <w:rPr>
          <w:rStyle w:val="27"/>
          <w:rFonts w:cs="Times New Roman"/>
        </w:rPr>
        <w:t xml:space="preserve"> </w:t>
      </w:r>
      <w:r>
        <w:rPr>
          <w:rFonts w:ascii="Times New Roman" w:hAnsi="Times New Roman" w:eastAsia="宋体" w:cs="Times New Roman"/>
          <w:sz w:val="24"/>
          <w:szCs w:val="24"/>
        </w:rPr>
        <w:t>Calculated binding energies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w:t>
      </w:r>
      <w:r>
        <w:rPr>
          <w:rFonts w:ascii="Times New Roman" w:hAnsi="Times New Roman" w:eastAsia="宋体" w:cs="Times New Roman"/>
          <w:sz w:val="24"/>
          <w:szCs w:val="24"/>
        </w:rPr>
        <w:t xml:space="preserve">) </w:t>
      </w:r>
      <w:r>
        <w:rPr>
          <w:rFonts w:ascii="Times New Roman" w:hAnsi="Times New Roman" w:cs="Times New Roman"/>
          <w:sz w:val="24"/>
          <w:szCs w:val="24"/>
        </w:rPr>
        <w:t>and optimized coordination motifs for</w:t>
      </w:r>
      <w:r>
        <w:rPr>
          <w:rFonts w:ascii="Times New Roman" w:hAnsi="Times New Roman" w:eastAsia="宋体" w:cs="Times New Roman"/>
          <w:sz w:val="24"/>
          <w:szCs w:val="24"/>
        </w:rPr>
        <w:t xml:space="preserve">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w:t>
      </w:r>
      <w:r>
        <w:rPr>
          <w:rFonts w:ascii="Times New Roman" w:hAnsi="Times New Roman" w:cs="Times New Roman"/>
          <w:sz w:val="24"/>
          <w:szCs w:val="24"/>
        </w:rPr>
        <w:t xml:space="preserve">with the full spectrum of electrolyte components, including </w:t>
      </w:r>
      <w:r>
        <w:rPr>
          <w:rFonts w:ascii="Times New Roman" w:hAnsi="Times New Roman" w:eastAsia="宋体" w:cs="Times New Roman"/>
          <w:sz w:val="24"/>
          <w:szCs w:val="24"/>
        </w:rPr>
        <w:t>anions (FSI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TFSI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PF</w:t>
      </w:r>
      <w:r>
        <w:rPr>
          <w:rFonts w:ascii="Times New Roman" w:hAnsi="Times New Roman" w:eastAsia="宋体" w:cs="Times New Roman"/>
          <w:sz w:val="24"/>
          <w:szCs w:val="24"/>
          <w:vertAlign w:val="subscript"/>
        </w:rPr>
        <w:t>6</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solvents (DME, EC, EMC, DMC, PSF, TPSF, DOL), the additive (FEC), and the diluent (TFEO). Dashed </w:t>
      </w:r>
      <w:r>
        <w:rPr>
          <w:rFonts w:ascii="Times New Roman" w:hAnsi="Times New Roman" w:cs="Times New Roman"/>
          <w:sz w:val="24"/>
          <w:szCs w:val="24"/>
        </w:rPr>
        <w:t>lines denote contact distances between</w:t>
      </w:r>
      <w:r>
        <w:rPr>
          <w:rFonts w:ascii="Times New Roman" w:hAnsi="Times New Roman" w:eastAsia="宋体" w:cs="Times New Roman"/>
          <w:sz w:val="24"/>
          <w:szCs w:val="24"/>
        </w:rPr>
        <w:t xml:space="preserve">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and coordinating atoms. The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w:t>
      </w:r>
      <w:r>
        <w:rPr>
          <w:rFonts w:ascii="Times New Roman" w:hAnsi="Times New Roman" w:eastAsia="宋体" w:cs="Times New Roman"/>
          <w:sz w:val="24"/>
          <w:szCs w:val="24"/>
        </w:rPr>
        <w:t xml:space="preserve"> represents the stability gain upon complexation relative to isolated species, defined as: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w:t>
      </w:r>
      <w:r>
        <w:rPr>
          <w:rFonts w:ascii="Times New Roman" w:hAnsi="Times New Roman" w:eastAsia="宋体" w:cs="Times New Roman"/>
          <w:sz w:val="24"/>
          <w:szCs w:val="24"/>
        </w:rPr>
        <w:t xml:space="preserve"> =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Li+</w:t>
      </w:r>
      <w:r>
        <w:rPr>
          <w:rFonts w:ascii="Times New Roman" w:hAnsi="Times New Roman" w:eastAsia="宋体" w:cs="Times New Roman"/>
          <w:sz w:val="24"/>
          <w:szCs w:val="24"/>
        </w:rPr>
        <w:t xml:space="preserve"> +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mol</w:t>
      </w:r>
      <w:r>
        <w:rPr>
          <w:rFonts w:ascii="Times New Roman" w:hAnsi="Times New Roman" w:eastAsia="宋体" w:cs="Times New Roman"/>
          <w:sz w:val="24"/>
          <w:szCs w:val="24"/>
        </w:rPr>
        <w:t xml:space="preserve"> -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bound</w:t>
      </w:r>
      <w:r>
        <w:rPr>
          <w:rFonts w:ascii="Times New Roman" w:hAnsi="Times New Roman" w:eastAsia="宋体" w:cs="Times New Roman"/>
          <w:sz w:val="24"/>
          <w:szCs w:val="24"/>
        </w:rPr>
        <w:t xml:space="preserve">. Here,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Li+</w:t>
      </w:r>
      <w:r>
        <w:rPr>
          <w:rFonts w:ascii="Times New Roman" w:hAnsi="Times New Roman" w:eastAsia="宋体" w:cs="Times New Roman"/>
          <w:sz w:val="24"/>
          <w:szCs w:val="24"/>
        </w:rPr>
        <w:t xml:space="preserve">,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mol</w:t>
      </w:r>
      <w:r>
        <w:rPr>
          <w:rFonts w:ascii="Times New Roman" w:hAnsi="Times New Roman" w:eastAsia="宋体" w:cs="Times New Roman"/>
          <w:sz w:val="24"/>
          <w:szCs w:val="24"/>
        </w:rPr>
        <w:t xml:space="preserve">, and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bound</w:t>
      </w:r>
      <w:r>
        <w:rPr>
          <w:rFonts w:ascii="Times New Roman" w:hAnsi="Times New Roman" w:eastAsia="宋体" w:cs="Times New Roman"/>
          <w:sz w:val="24"/>
          <w:szCs w:val="24"/>
        </w:rPr>
        <w:t xml:space="preserve"> </w:t>
      </w:r>
      <w:r>
        <w:rPr>
          <w:rFonts w:ascii="Times New Roman" w:hAnsi="Times New Roman" w:cs="Times New Roman"/>
          <w:sz w:val="24"/>
          <w:szCs w:val="24"/>
        </w:rPr>
        <w:t>represent the energies of the isolated</w:t>
      </w:r>
      <w:r>
        <w:rPr>
          <w:rFonts w:ascii="Times New Roman" w:hAnsi="Times New Roman" w:eastAsia="宋体" w:cs="Times New Roman"/>
          <w:sz w:val="24"/>
          <w:szCs w:val="24"/>
        </w:rPr>
        <w:t xml:space="preserve">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the fully relaxed isolated molecule or anion, and the fully relaxed bound complex, respectively. Computational details: </w:t>
      </w:r>
      <w:r>
        <w:rPr>
          <w:rFonts w:ascii="Times New Roman" w:hAnsi="Times New Roman" w:cs="Times New Roman"/>
          <w:sz w:val="24"/>
          <w:szCs w:val="24"/>
        </w:rPr>
        <w:t>Geometries of isolated species and ion-ligand complexes were optimized at the M06-2X</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{"citationID":"Yiz1rnGK","properties":{"formattedCitation":"\\super 42\\nosupersub{}","plainCitation":"42","noteIndex":0},"citationItems":[{"id":1068,"uris":["http://zotero.org/users/17156447/items/5FDC47WH"],"itemData":{"id":1068,"type":"article-journal","container-title":"Theoretical Chemistry Accounts","DOI":"10.1007/s00214-007-0310-x","ISSN":"1432-881X, 1432-2234","issue":"1-3","journalAbbreviation":"Theor. Chem. Acc.","language":"en","note":"JCR分区: Q4\n5年影响因子: 1.6","page":"215-241","source":"DOI.org (Crossref)","title":"The M06 suite of density functionals for main group thermochemistry, thermochemical kinetics, noncovalent interactions, excited states, and transition elements: two new functionals and systematic testing of four M06-class functionals and 12 other functionals","title-short":"The M06 suite of density functionals for main group thermochemistry, thermochemical kinetics, noncovalent interactions, excited states, and transition elements","volume":"120","author":[{"family":"Zhao","given":"Yan"},{"family":"Truhlar","given":"Donald G."}],"issued":{"date-parts":[["2008",5]]}}}],"schema":"https://github.com/citation-style-language/schema/raw/master/csl-citation.json"}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42</w:t>
      </w:r>
      <w:r>
        <w:rPr>
          <w:rFonts w:ascii="Times New Roman" w:hAnsi="Times New Roman" w:cs="Times New Roman"/>
          <w:sz w:val="24"/>
          <w:szCs w:val="24"/>
        </w:rPr>
        <w:fldChar w:fldCharType="end"/>
      </w:r>
      <w:r>
        <w:rPr>
          <w:rFonts w:ascii="Times New Roman" w:hAnsi="Times New Roman" w:cs="Times New Roman"/>
          <w:sz w:val="24"/>
          <w:szCs w:val="24"/>
        </w:rPr>
        <w:t>/def2-TZVP</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{"citationID":"WWXT05eb","properties":{"formattedCitation":"\\super 35,39\\nosupersub{}","plainCitation":"35,39","noteIndex":0},"citationItems":[{"id":1066,"uris":["http://zotero.org/users/17156447/items/SKP273IY"],"itemData":{"id":1066,"type":"article-journal","container-title":"Physical Chemistry Chemical Physics","DOI":"10.1039/b508541a","ISSN":"1463-9076, 1463-9084","issue":"18","journalAbbreviation":"Phys. Chem. Chem. Phys.","language":"en","note":"24164 citations (Crossref/DOI) [2025-06-23]\nJCR分区: Q2\n5年影响因子: 3.0\nTLDR: A large set of more than 300 molecules representing all elements-except lanthanides-in their common oxidation states was used to assess the quality of the bases all across the periodic table, and recommendations are given which type of basis set is used best for a certain level of theory and a desired quality of results.","page":"3297","source":"DOI.org (Crossref)","title":"Balanced basis sets of split valence, triple zeta valence and quadruple zeta valence quality for H to rn: design and assessment of accuracy","title-short":"Balanced basis sets of split valence, triple zeta valence and quadruple zeta valence quality for H to Rn","volume":"7","author":[{"family":"Weigend","given":"Florian"},{"family":"Ahlrichs","given":"Reinhart"}],"issued":{"date-parts":[["2005"]]}}},{"id":1382,"uris":["http://zotero.org/users/17156447/items/3QCPPHDZ"],"itemData":{"id":1382,"type":"article-journal","abstract":"Contracted Gaussian basis sets of triple zeta valence (TZV) quality are presented for Li to Kr. The TZV bases are characterized by typically including a single contraction to describe inner shells and three basis functions for valence shells. All parameters—orbital exponents and contraction coefficients—have been determined by minimization of atomic self-consistent field ground state energies. Advantages and necessary modifications of TZV basis sets are discussed for simple test calculations of molecular energies and nuclear magnetic resonance (NMR) chemical shieldings in treatments with and without inclusion of electron correlation.","container-title":"Journal of Chemical Physics","DOI":"10.1063/1.467146","ISSN":"0021-9606, 1089-7690","issue":"8","journalAbbreviation":"J. Chem. Phys.","language":"en","note":"8555 citations (Crossref/DOI) [2025-11-18]\nJCR分区: Q2\n5年影响因子: 3.8","page":"5829-5835","source":"DOI.org (Crossref)","title":"Fully optimized contracted gaussian basis sets of triple zeta valence quality for atoms li to kr","volume":"100","author":[{"family":"Schäfer","given":"Ansgar"},{"family":"Huber","given":"Christian"},{"family":"Ahlrichs","given":"Reinhart"}],"issued":{"date-parts":[["1994",4,15]]}}}],"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35,39</w:t>
      </w:r>
      <w:r>
        <w:rPr>
          <w:rFonts w:ascii="Times New Roman" w:hAnsi="Times New Roman" w:cs="Times New Roman"/>
          <w:sz w:val="24"/>
          <w:szCs w:val="24"/>
        </w:rPr>
        <w:fldChar w:fldCharType="end"/>
      </w:r>
      <w:r>
        <w:rPr>
          <w:rFonts w:ascii="Times New Roman" w:hAnsi="Times New Roman" w:cs="Times New Roman"/>
          <w:sz w:val="24"/>
          <w:szCs w:val="24"/>
        </w:rPr>
        <w:t xml:space="preserve"> level, with D3zero</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{"citationID":"yj0TvGUt","properties":{"formattedCitation":"\\super 43\\nosupersub{}","plainCitation":"43","noteIndex":0},"citationItems":[{"id":1070,"uris":["http://zotero.org/users/17156447/items/GDX3UVQY"],"itemData":{"id":1070,"type":"article-journal","abstract":"Density functional approximations for the exchange-correlation energy EDFAxc of an electronic system are often improved by admixing some exact exchange Ex: Exc</w:instrText>
      </w:r>
      <w:r>
        <w:rPr>
          <w:rFonts w:ascii="Cambria Math" w:hAnsi="Cambria Math" w:cs="Cambria Math"/>
          <w:sz w:val="24"/>
          <w:szCs w:val="24"/>
        </w:rPr>
        <w:instrText xml:space="preserve">≊</w:instrText>
      </w:r>
      <w:r>
        <w:rPr>
          <w:rFonts w:ascii="Times New Roman" w:hAnsi="Times New Roman" w:cs="Times New Roman"/>
          <w:sz w:val="24"/>
          <w:szCs w:val="24"/>
        </w:rPr>
        <w:instrText xml:space="preserve">EDFAxc+(1/n)(Ex−EDFAx). This procedure is justified when the error in EDFAxc arises from the λ=0 or exchange end of the coupling-constant integral ∫10 dλ EDFAxc,λ. We argue that the optimum integer n is approximately the lowest order of Görling–Levy perturbation theory which provides a realistic description of the coupling-constant dependence Exc,λ in the range 0≤λ≤1, whence n</w:instrText>
      </w:r>
      <w:r>
        <w:rPr>
          <w:rFonts w:ascii="Cambria Math" w:hAnsi="Cambria Math" w:cs="Cambria Math"/>
          <w:sz w:val="24"/>
          <w:szCs w:val="24"/>
        </w:rPr>
        <w:instrText xml:space="preserve">≊</w:instrText>
      </w:r>
      <w:r>
        <w:rPr>
          <w:rFonts w:ascii="Times New Roman" w:hAnsi="Times New Roman" w:cs="Times New Roman"/>
          <w:sz w:val="24"/>
          <w:szCs w:val="24"/>
        </w:rPr>
        <w:instrText xml:space="preserve">4 for atomization energies of typical molecules. We also propose a continuous generalization of n as an index of correlation strength, and a possible mixing of second-order perturbation theory with the generalized gradient approximation.","container-title":"Journal of Chemical Physics","DOI":"10.1063/1.472933","ISSN":"0021-9606, 1089-7690","issue":"22","journalAbbreviation":"J. Chem. Phys.","language":"en","note":"5558 citations (Crossref/DOI) [2025-06-23]\nJCR分区: Q2\n5年影响因子: 3.8","page":"9982-9985","source":"DOI.org (Crossref)","title":"Rationale for mixing exact exchange with density functional approximations","volume":"105","author":[{"family":"Perdew","given":"John P."},{"family":"Ernzerhof","given":"Matthias"},{"family":"Burke","given":"Kieron"}],"issued":{"date-parts":[["1996",12,8]]}}}],"schema":"https://github.com/citation-style-language/schema/raw/master/csl-citation.json"}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43</w:t>
      </w:r>
      <w:r>
        <w:rPr>
          <w:rFonts w:ascii="Times New Roman" w:hAnsi="Times New Roman" w:cs="Times New Roman"/>
          <w:sz w:val="24"/>
          <w:szCs w:val="24"/>
        </w:rPr>
        <w:fldChar w:fldCharType="end"/>
      </w:r>
      <w:r>
        <w:rPr>
          <w:rFonts w:ascii="Times New Roman" w:hAnsi="Times New Roman" w:cs="Times New Roman"/>
          <w:sz w:val="24"/>
          <w:szCs w:val="24"/>
        </w:rPr>
        <w:t xml:space="preserve"> dispersion correction applied to accurately capture mid-range noncovalent interactions. The M06-2X functional was selected for its proven reliability in modeling main-group thermochemistry and noncovalent interactions.</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{"citationID":"hoQbnC4G","properties":{"formattedCitation":"\\super 44\\nosupersub{}","plainCitation":"44","noteIndex":0},"citationItems":[{"id":1173,"uris":["http://zotero.org/users/17156447/items/LHP76CGC"],"itemData":{"id":1173,"type":"article-journal","abstract":"Organic carbonyl electrode materials have shown great promise for high-performance lithium batteries due to their high capacity, renewability, and environmental friendliness. However, their practical application is hindered by the high solubility of these materials in traditional electrolytes, leading to poor cycling stability and serious shuttle effects. Here, we develop a series of hydrofluoroethers (HFEs) with weak electrostatic interaction toward organic carbonyl cathode materials, aiming to address the dissolution issue and achieve high cycling stability in lithium batteries. Theoretical calculations reveal that the electrostatic interactions between HFEs and pyrene-4,5,9,10-tetraone (PTO) are significantly weaker compared with common solvents such as 1,2-dimethoxyethane. Consequently, the dissolution of PTO in the HFE-based electrolyte is remarkably reduced, as observed by in situ ultraviolet−visible spectra. Notably, when using the electrolyte based on 1,1,1,3,3,3-hexafluoro-2-methoxypropane with a certain coordination ability, PTO exhibits excellent cycling stability with a high capacity retention of 78% after 1000 cycles. This work proposes the regulation of electrostatic interactions to inhibit the dissolution of organic carbonyl cathode materials and significantly enhance their cycle life.","container-title":"Journal of the American Chemical Society","DOI":"10.1021/jacs.3c12358","ISSN":"0002-7863, 1520-5126","issue":"1","journalAbbreviation":"J. Am. Chem. Soc.","language":"en","license":"https://doi.org/10.15223/policy-029","note":"32 citations (Crossref/DOI) [2025-08-18]\nJCR分区: Q1\n5年影响因子: 15.5","page":"1100-1108","source":"DOI.org (Crossref)","title":"Regulating electrostatic interaction between hydrofluoroethers and carbonyl cathodes toward highly stable lithium–organic batteries","volume":"146","author":[{"family":"Lu","given":"Yong"},{"family":"Yang","given":"Zhuo"},{"family":"Zhang","given":"Qiu"},{"family":"Xie","given":"Weiwei"},{"family":"Chen","given":"Jun"}],"issued":{"date-parts":[["2024",1,10]]}}}],"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44</w:t>
      </w:r>
      <w:r>
        <w:rPr>
          <w:rFonts w:ascii="Times New Roman" w:hAnsi="Times New Roman" w:cs="Times New Roman"/>
          <w:sz w:val="24"/>
          <w:szCs w:val="24"/>
        </w:rPr>
        <w:fldChar w:fldCharType="end"/>
      </w:r>
    </w:p>
    <w:p w14:paraId="5C93F606">
      <w:pPr>
        <w:widowControl/>
        <w:adjustRightInd w:val="0"/>
        <w:snapToGrid w:val="0"/>
        <w:spacing w:line="360" w:lineRule="auto"/>
        <w:rPr>
          <w:rFonts w:ascii="Times New Roman" w:hAnsi="Times New Roman" w:cs="Times New Roman"/>
          <w:sz w:val="24"/>
          <w:szCs w:val="24"/>
        </w:rPr>
      </w:pPr>
    </w:p>
    <w:p w14:paraId="6127E8E4">
      <w:pPr>
        <w:widowControl/>
        <w:adjustRightInd w:val="0"/>
        <w:snapToGrid w:val="0"/>
        <w:spacing w:line="360" w:lineRule="auto"/>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0C8D65E4">
      <w:pPr>
        <w:widowControl/>
        <w:adjustRightInd w:val="0"/>
        <w:snapToGrid w:val="0"/>
        <w:spacing w:line="360" w:lineRule="auto"/>
        <w:jc w:val="center"/>
        <w:rPr>
          <w:rStyle w:val="26"/>
          <w:rFonts w:cs="Times New Roman" w:eastAsiaTheme="minorEastAsia"/>
          <w:szCs w:val="24"/>
          <w:highlight w:val="yellow"/>
        </w:rPr>
      </w:pPr>
      <w:r>
        <w:rPr>
          <w:rFonts w:ascii="Times New Roman" w:hAnsi="Times New Roman" w:cs="Times New Roman"/>
        </w:rPr>
        <w:drawing>
          <wp:inline distT="0" distB="0" distL="0" distR="0">
            <wp:extent cx="4319905" cy="4919980"/>
            <wp:effectExtent l="0" t="0" r="4445" b="0"/>
            <wp:docPr id="2079765484" name="图片 1"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65484" name="图片 1" descr="图表, 条形图&#10;&#10;AI 生成的内容可能不正确。"/>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320000" cy="4920444"/>
                    </a:xfrm>
                    <a:prstGeom prst="rect">
                      <a:avLst/>
                    </a:prstGeom>
                    <a:noFill/>
                    <a:ln>
                      <a:noFill/>
                    </a:ln>
                  </pic:spPr>
                </pic:pic>
              </a:graphicData>
            </a:graphic>
          </wp:inline>
        </w:drawing>
      </w:r>
    </w:p>
    <w:p w14:paraId="4C25F422">
      <w:pPr>
        <w:widowControl/>
        <w:adjustRightInd w:val="0"/>
        <w:snapToGrid w:val="0"/>
        <w:spacing w:line="360" w:lineRule="auto"/>
        <w:rPr>
          <w:rFonts w:ascii="Times New Roman" w:hAnsi="Times New Roman" w:cs="Times New Roman"/>
          <w:sz w:val="24"/>
          <w:szCs w:val="24"/>
        </w:rPr>
      </w:pPr>
      <w:bookmarkStart w:id="18" w:name="_Toc221108140"/>
      <w:r>
        <w:rPr>
          <w:rStyle w:val="27"/>
          <w:rFonts w:cs="Times New Roman"/>
          <w:szCs w:val="24"/>
        </w:rPr>
        <w:t>Supplementary Fig. 6 | Benchmarking gas-phase energetics of Li</w:t>
      </w:r>
      <w:r>
        <w:rPr>
          <w:rStyle w:val="27"/>
          <w:rFonts w:cs="Times New Roman"/>
          <w:szCs w:val="24"/>
          <w:vertAlign w:val="superscript"/>
        </w:rPr>
        <w:t>+</w:t>
      </w:r>
      <w:r>
        <w:rPr>
          <w:rStyle w:val="27"/>
          <w:rFonts w:cs="Times New Roman"/>
          <w:szCs w:val="24"/>
        </w:rPr>
        <w:t>-molecule complexes.</w:t>
      </w:r>
      <w:bookmarkEnd w:id="18"/>
      <w:r>
        <w:rPr>
          <w:rStyle w:val="27"/>
          <w:rFonts w:cs="Times New Roman"/>
          <w:szCs w:val="24"/>
        </w:rPr>
        <w:t xml:space="preserve"> </w:t>
      </w:r>
      <w:r>
        <w:rPr>
          <w:rFonts w:ascii="Times New Roman" w:hAnsi="Times New Roman" w:eastAsia="宋体" w:cs="Times New Roman"/>
          <w:sz w:val="24"/>
          <w:szCs w:val="24"/>
        </w:rPr>
        <w:t xml:space="preserve">(a) Comparison of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w:t>
      </w:r>
      <w:r>
        <w:rPr>
          <w:rFonts w:ascii="Times New Roman" w:hAnsi="Times New Roman" w:cs="Times New Roman"/>
          <w:sz w:val="24"/>
          <w:szCs w:val="24"/>
        </w:rPr>
        <w:t xml:space="preserve"> derived from MD simulations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bind-MD</w:t>
      </w:r>
      <w:r>
        <w:rPr>
          <w:rFonts w:ascii="Times New Roman" w:hAnsi="Times New Roman" w:cs="Times New Roman"/>
          <w:sz w:val="24"/>
          <w:szCs w:val="24"/>
        </w:rPr>
        <w:t>) using three schemes relative to density functional theory (DFT) benchmarks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bind-DFT</w:t>
      </w:r>
      <w:r>
        <w:rPr>
          <w:rFonts w:ascii="Times New Roman" w:hAnsi="Times New Roman" w:cs="Times New Roman"/>
          <w:sz w:val="24"/>
          <w:szCs w:val="24"/>
        </w:rPr>
        <w:t xml:space="preserve">, referenced in </w:t>
      </w:r>
      <w:r>
        <w:rPr>
          <w:rFonts w:ascii="Times New Roman" w:hAnsi="Times New Roman" w:cs="Times New Roman"/>
          <w:b/>
          <w:bCs/>
          <w:sz w:val="24"/>
          <w:szCs w:val="24"/>
        </w:rPr>
        <w:t>Supplementary Fig. 5</w:t>
      </w:r>
      <w:r>
        <w:rPr>
          <w:rFonts w:ascii="Times New Roman" w:hAnsi="Times New Roman" w:cs="Times New Roman"/>
          <w:sz w:val="24"/>
          <w:szCs w:val="24"/>
        </w:rPr>
        <w:t>). (b) Heatmap visualizing the deviations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w:t>
      </w:r>
      <w:r>
        <w:rPr>
          <w:rFonts w:ascii="Times New Roman" w:hAnsi="Times New Roman" w:cs="Times New Roman"/>
          <w:sz w:val="24"/>
          <w:szCs w:val="24"/>
        </w:rPr>
        <w:t xml:space="preserve"> =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bind-MD</w:t>
      </w:r>
      <w:r>
        <w:rPr>
          <w:rFonts w:ascii="Times New Roman" w:hAnsi="Times New Roman" w:cs="Times New Roman"/>
          <w:sz w:val="24"/>
          <w:szCs w:val="24"/>
        </w:rPr>
        <w:t xml:space="preserve"> -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bind-DFT</w:t>
      </w:r>
      <w:r>
        <w:rPr>
          <w:rFonts w:ascii="Times New Roman" w:hAnsi="Times New Roman" w:cs="Times New Roman"/>
          <w:sz w:val="24"/>
          <w:szCs w:val="24"/>
        </w:rPr>
        <w:t xml:space="preserve">) for each species. (c) Correlation plot of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bind-MD</w:t>
      </w:r>
      <w:r>
        <w:rPr>
          <w:rFonts w:ascii="Times New Roman" w:hAnsi="Times New Roman" w:cs="Times New Roman"/>
          <w:sz w:val="24"/>
          <w:szCs w:val="24"/>
        </w:rPr>
        <w:t xml:space="preserve"> versus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w:t>
      </w:r>
      <w:r>
        <w:rPr>
          <w:rFonts w:ascii="Times New Roman" w:hAnsi="Times New Roman" w:cs="Times New Roman"/>
          <w:sz w:val="24"/>
          <w:szCs w:val="24"/>
        </w:rPr>
        <w:t>. The dashed diagonal indicates perfect agreement, while the shaded region denotes a ±5 kcal</w:t>
      </w:r>
      <w:r>
        <w:rPr>
          <w:rFonts w:ascii="Times New Roman" w:hAnsi="Times New Roman" w:eastAsia="宋体" w:cs="Times New Roman"/>
          <w:kern w:val="0"/>
          <w:sz w:val="24"/>
          <w:szCs w:val="24"/>
        </w:rPr>
        <w:t>·mol</w:t>
      </w:r>
      <w:r>
        <w:rPr>
          <w:rFonts w:ascii="Times New Roman" w:hAnsi="Times New Roman" w:eastAsia="宋体" w:cs="Times New Roman"/>
          <w:kern w:val="0"/>
          <w:sz w:val="24"/>
          <w:szCs w:val="24"/>
          <w:vertAlign w:val="superscript"/>
        </w:rPr>
        <w:t>-1</w:t>
      </w:r>
      <w:r>
        <w:rPr>
          <w:rFonts w:ascii="Times New Roman" w:hAnsi="Times New Roman" w:cs="Times New Roman"/>
          <w:sz w:val="24"/>
          <w:szCs w:val="24"/>
        </w:rPr>
        <w:t xml:space="preserve"> tolerance. (d) Statistical accuracy of </w:t>
      </w:r>
      <w:r>
        <w:rPr>
          <w:rFonts w:ascii="Times New Roman" w:hAnsi="Times New Roman" w:eastAsia="宋体" w:cs="Times New Roman"/>
          <w:i/>
          <w:iCs/>
          <w:sz w:val="24"/>
          <w:szCs w:val="24"/>
        </w:rPr>
        <w:t>E</w:t>
      </w:r>
      <w:r>
        <w:rPr>
          <w:rFonts w:ascii="Times New Roman" w:hAnsi="Times New Roman" w:eastAsia="宋体" w:cs="Times New Roman"/>
          <w:sz w:val="24"/>
          <w:szCs w:val="24"/>
          <w:vertAlign w:val="subscript"/>
        </w:rPr>
        <w:t>bind</w:t>
      </w:r>
      <w:r>
        <w:rPr>
          <w:rFonts w:ascii="Times New Roman" w:hAnsi="Times New Roman" w:cs="Times New Roman"/>
          <w:sz w:val="24"/>
          <w:szCs w:val="24"/>
        </w:rPr>
        <w:t xml:space="preserve"> predictions, quantified by the root-mean-square error (</w:t>
      </w:r>
      <w:r>
        <w:rPr>
          <w:rFonts w:ascii="Times New Roman" w:hAnsi="Times New Roman" w:cs="Times New Roman"/>
          <w:i/>
          <w:iCs/>
          <w:sz w:val="24"/>
          <w:szCs w:val="24"/>
        </w:rPr>
        <w:t>RMSE</w:t>
      </w:r>
      <w:r>
        <w:rPr>
          <w:rFonts w:ascii="Times New Roman" w:hAnsi="Times New Roman" w:cs="Times New Roman"/>
          <w:sz w:val="24"/>
          <w:szCs w:val="24"/>
        </w:rPr>
        <w:t>) and mean absolute error (</w:t>
      </w:r>
      <w:r>
        <w:rPr>
          <w:rFonts w:ascii="Times New Roman" w:hAnsi="Times New Roman" w:cs="Times New Roman"/>
          <w:i/>
          <w:iCs/>
          <w:sz w:val="24"/>
          <w:szCs w:val="24"/>
        </w:rPr>
        <w:t>MAE</w:t>
      </w:r>
      <w:r>
        <w:rPr>
          <w:rFonts w:ascii="Times New Roman" w:hAnsi="Times New Roman" w:cs="Times New Roman"/>
          <w:sz w:val="24"/>
          <w:szCs w:val="24"/>
        </w:rPr>
        <w:t>) for each scheme.</w:t>
      </w:r>
    </w:p>
    <w:p w14:paraId="683C443F">
      <w:pPr>
        <w:widowControl/>
        <w:jc w:val="left"/>
        <w:rPr>
          <w:rFonts w:ascii="Times New Roman" w:hAnsi="Times New Roman" w:cs="Times New Roman"/>
          <w:sz w:val="24"/>
          <w:szCs w:val="24"/>
        </w:rPr>
      </w:pPr>
    </w:p>
    <w:p w14:paraId="386D35F9">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13C52A21">
      <w:pPr>
        <w:widowControl/>
        <w:adjustRightInd w:val="0"/>
        <w:snapToGrid w:val="0"/>
        <w:spacing w:after="156" w:afterLines="50" w:line="360" w:lineRule="auto"/>
        <w:rPr>
          <w:rFonts w:ascii="Times New Roman" w:hAnsi="Times New Roman" w:cs="Times New Roman"/>
          <w:sz w:val="24"/>
          <w:szCs w:val="24"/>
        </w:rPr>
      </w:pPr>
      <w:bookmarkStart w:id="19" w:name="_Toc221108141"/>
      <w:r>
        <w:rPr>
          <w:rStyle w:val="27"/>
          <w:rFonts w:cs="Times New Roman"/>
        </w:rPr>
        <w:t>Supplementary Table 7 | RESP-derived atomic partial charges for molecules.</w:t>
      </w:r>
      <w:bookmarkEnd w:id="19"/>
      <w:r>
        <w:rPr>
          <w:rStyle w:val="27"/>
          <w:rFonts w:cs="Times New Roman"/>
        </w:rPr>
        <w:t xml:space="preserve"> </w:t>
      </w:r>
      <w:r>
        <w:rPr>
          <w:rFonts w:ascii="Times New Roman" w:hAnsi="Times New Roman" w:cs="Times New Roman"/>
          <w:sz w:val="24"/>
          <w:szCs w:val="24"/>
        </w:rPr>
        <w:t>Atomic partial charges (</w:t>
      </w:r>
      <w:r>
        <w:rPr>
          <w:rFonts w:ascii="Times New Roman" w:hAnsi="Times New Roman" w:cs="Times New Roman"/>
          <w:i/>
          <w:iCs/>
          <w:sz w:val="24"/>
          <w:szCs w:val="24"/>
        </w:rPr>
        <w:t>q</w:t>
      </w:r>
      <w:r>
        <w:rPr>
          <w:rFonts w:ascii="Times New Roman" w:hAnsi="Times New Roman" w:cs="Times New Roman"/>
          <w:sz w:val="24"/>
          <w:szCs w:val="24"/>
        </w:rPr>
        <w:t>’), atom counts (</w:t>
      </w:r>
      <w:r>
        <w:rPr>
          <w:rFonts w:ascii="Times New Roman" w:hAnsi="Times New Roman" w:cs="Times New Roman"/>
          <w:i/>
          <w:iCs/>
          <w:sz w:val="24"/>
          <w:szCs w:val="24"/>
        </w:rPr>
        <w:t>N</w:t>
      </w:r>
      <w:r>
        <w:rPr>
          <w:rFonts w:ascii="Times New Roman" w:hAnsi="Times New Roman" w:cs="Times New Roman"/>
          <w:sz w:val="24"/>
          <w:szCs w:val="24"/>
          <w:vertAlign w:val="subscript"/>
        </w:rPr>
        <w:t>atoms</w:t>
      </w:r>
      <w:r>
        <w:rPr>
          <w:rFonts w:ascii="Times New Roman" w:hAnsi="Times New Roman" w:cs="Times New Roman"/>
          <w:sz w:val="24"/>
          <w:szCs w:val="24"/>
        </w:rPr>
        <w:t>), and total net charges (</w:t>
      </w:r>
      <w:r>
        <w:rPr>
          <w:rFonts w:ascii="Times New Roman" w:hAnsi="Times New Roman" w:cs="Times New Roman"/>
          <w:i/>
          <w:iCs/>
          <w:sz w:val="24"/>
          <w:szCs w:val="24"/>
        </w:rPr>
        <w:t>Q</w:t>
      </w:r>
      <w:r>
        <w:rPr>
          <w:rFonts w:ascii="Times New Roman" w:hAnsi="Times New Roman" w:cs="Times New Roman"/>
          <w:sz w:val="24"/>
          <w:szCs w:val="24"/>
        </w:rPr>
        <w:t>) for the molecules (</w:t>
      </w:r>
      <w:r>
        <w:rPr>
          <w:rFonts w:ascii="Times New Roman" w:hAnsi="Times New Roman" w:eastAsia="宋体" w:cs="Times New Roman"/>
          <w:sz w:val="24"/>
          <w:szCs w:val="24"/>
        </w:rPr>
        <w:t xml:space="preserve">DME, EC, EMC, DMC, PSF, TPSF, DOL, FEC, TFEO), </w:t>
      </w:r>
      <w:r>
        <w:rPr>
          <w:rFonts w:ascii="Times New Roman" w:hAnsi="Times New Roman" w:cs="Times New Roman"/>
          <w:sz w:val="24"/>
          <w:szCs w:val="24"/>
        </w:rPr>
        <w:t>computed using the Multiwfn 3.7.</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{"citationID":"D04xaqok","properties":{"formattedCitation":"\\super 45\\uc0\\u8211{}48\\nosupersub{}","plainCitation":"45–48","noteIndex":0},"citationItems":[{"id":1080,"uris":["http://zotero.org/users/17156447/items/XJFIBMMR"],"itemData":{"id":1080,"type":"article-journal","abstract":"Abstract\n            \n              Multiwfn is a multifunctional program for wavefunction analysis. Its main functions are: (1) Calculating and visualizing real space function, such as electrostatic potential and electron localization function at point, in a line, in a plane or in a spatial scope. (2) Population analysis. (3) Bond order analysis. (4) Orbital composition analysis. (5) Plot density‐of‐states and spectrum. (6) Topology analysis for electron density. Some other useful utilities involved in quantum chemistry studies are also provided. The built‐in graph module enables the results of wavefunction analysis to be plotted directly or exported to high‐quality graphic file. The program interface is very user‐friendly and suitable for both research and teaching purpose. The code of Multiwfn is substantially optimized and parallelized. Its efficiency is demonstrated to be significantly higher than related programs with the same functions. Five practical examples involving a wide variety of systems and analysis methods are given to illustrate the usefulness of Multiwfn. The program is free of charge and open‐source. Its precompiled file and source codes are available from\n              http://multiwfn.codeplex.com\n              . © 2011 Wiley Periodicals, Inc. J Comput Chem, 2011","container-title":"Journal of Computational Chemistry","DOI":"10.1002/jcc.22885","ISSN":"0192-8651, 1096-987X","issue":"5","journalAbbreviation":"J. Comput. Chem.","language":"en","license":"http://onlinelibrary.wiley.com/termsAndConditions#vor","note":"32062 citations (Crossref/DOI) [2025-06-23]\nJCR分区: Q2\n5年影响因子: 4.2\nTLDR: Five practical examples involving a wide variety of systems and analysis methods are given to illustrate the usefulness of Multiwfn, a multifunctional program for wavefunction analysis.","page":"580-592","source":"DOI.org (Crossref)","title":"Multiwfn: a multifunctional wavefunction analyzer","title-short":"Multiwfn","volume":"33","author":[{"family":"Lu","given":"Tian"},{"family":"Chen","given":"Feiwu"}],"issued":{"date-parts":[["2012",2,15]]}}},{"id":1082,"uris":["http://zotero.org/users/17156447/items/RVBTLXB5"],"itemData":{"id":1082,"type":"article-journal","abstract":"Quantitative analysis of molecular surface is a valuable technique for analyzing non-covalent interaction, studying molecular recognition mode, predicting reactive site and reactivity. An efﬁcient way to realize the analysis was ﬁrst proposed by Bulat et al. (J. Mol. Model., 16, 1679), in which Marching Tetrahedra (MT) approach commonly used in computer graphics is employed to generate vertices on molecular surface. However, it has been found that the computations of the electrostatic potential in the MT vertices are very expensive and some artiﬁcial surface extremes will be presented due to the uneven distribution of MT vertices. In this article, we propose a simple and reliable method to eliminate these unreasonably distributed surface vertices generated in the original MT. This treatment can save more than 60% of total analysis time of electrostatic potential, yet the loss in accuracy is almost negligible. The artiﬁcial surface extremes are also largely avoided as a byproduct of this algorithm. In addition, the bisection iteration procedure has been exploited to improve accuracy of linear interpolation in MT. The most appropriate grid spacing for surface analysis has also been investigated. 0.25 and 0.20 bohr are recommended to be used for surface analysis of electrostatic potential and average local ionization energy, respectively.","container-title":"Journal of Molecular Graphics &amp; Modelling","DOI":"10.1016/j.jmgm.2012.07.004","ISSN":"10933263","journalAbbreviation":"J. Mol. Graphics Model.","language":"en","note":"2022 citations (Crossref/DOI) [2025-06-23]\nJCR分区: Q1\n5年影响因子: 2.5\nTLDR: This article proposes a simple and reliable method to eliminate these unreasonably distributed surface vertices generated in the original MT, which can save more than 60% of total analysis time of electrostatic potential, yet the loss in accuracy is almost negligible.","page":"314-323","source":"DOI.org (Crossref)","title":"Quantitative analysis of molecular surface based on improved marching tetrahedra algorithm","volume":"38","author":[{"family":"Lu","given":"Tian"},{"family":"Chen","given":"Feiwu"}],"issued":{"date-parts":[["2012",9]]}}},{"id":1084,"uris":["http://zotero.org/users/17156447/items/B3HCFXUD"],"itemData":{"id":1084,"type":"article-journal","abstract":"The computerized optimized code enables Multiwfn to carry out large scale electronstatic potential analyses for systems of considerable size.\n          , \n            The evaluation of molecular electrostatic potential (ESP) is a performance bottleneck for many computational chemical tasks like restrained ESP charge fitting or quantum mechanics/molecular mechanics simulations. In this paper, an efficient algorithm for the evaluation of ESP is proposed. It regroups the expression in terms of primitive Gaussian type orbitals (GTOs) with identical angular momentum types and nuclei centers. Each term is calculated using a computerized optimized code. This algorithm was integrated into the wavefunction analysis program Multiwfn and was tested on several large systems. In the cases of dopamine and remdesivir, the performance of this algorithm was comparable to or better than some popular state-of-the-art codes. For meta1–organic framework-5, where the number of GTOs and ESP points is 4840 and 259 262, respectively, our code could finish the evaluation in 1874 seconds on ordinary hardware. It also exhibits good parallelization scaling. The source code of this algorithm is freely available and can become a useful tool for computational chemists.","container-title":"Physical Chemistry Chemical Physics","DOI":"10.1039/D1CP02805G","ISSN":"1463-9076, 1463-9084","issue":"36","journalAbbreviation":"Phys. Chem. Chem. Phys.","language":"en","note":"1481 citations (Crossref/DOI) [2025-06-23]\nJCR分区: Q2\n5年影响因子: 3.0\nTLDR: An efficient algorithm for the evaluation of ESP is proposed, which regroups the expression in terms of primitive Gaussian type orbitals with identical angular momentum types and nuclei centers using a computerized optimized code.","page":"20323-20328","source":"DOI.org (Crossref)","title":"Efficient evaluation of electrostatic potential with computerized optimized code","volume":"23","author":[{"family":"Zhang","given":"Jun"},{"family":"Lu","given":"Tian"}],"issued":{"date-parts":[["2021"]]}}},{"id":1358,"uris":["http://zotero.org/users/17156447/items/HUS4EPU9"],"itemData":{"id":1358,"type":"article-journal","abstract":"Analysis of electron wavefunction is a key component of quantum chemistry investigations and is indispensable for the practical research of many chemical problems. After more than ten years of active development, the wavefunction analysis program Multiwfn has accumulated very rich functions, and its application scope has covered numerous aspects of theoretical chemical research, including charge distribution, chemical bond, electron localization and delocalization, aromaticity, intramolecular and intermolecular interactions, electronic excitation, and response property. This article systematically introduces the features and functions of the latest version of Multiwfn and provides many representative examples. Through this article, readers will be able to fully understand the characteristics and recognize the unique value of Multiwfn. The source code and precompiled executable files of Multiwfn, as well as the manual containing a detailed introduction to theoretical backgrounds and very rich tutorials, can all be downloaded for free from the Multiwfn website (http://sobereva.com/multiwfn).","container-title":"Journal of Chemical Physics","DOI":"10.1063/5.0216272","ISSN":"0021-9606","issue":"8","journalAbbreviation":"J. Chem. Phys.","language":"en","note":"1833 citations (Crossref/DOI) [2025-11-10]\nJCR分区: Q2\n5年影响因子: 3.8","page":"82503","title":"A comprehensive electron wavefunction analysis toolbox for chemists, multiwfn","volume":"161","author":[{"family":"Lu","given":"Tian"}],"issued":{"date-parts":[["2024",8,27]]}}}],"schema":"https://github.com/citation-style-language/schema/raw/master/csl-citation.json"}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45–48</w:t>
      </w:r>
      <w:r>
        <w:rPr>
          <w:rFonts w:ascii="Times New Roman" w:hAnsi="Times New Roman" w:cs="Times New Roman"/>
          <w:sz w:val="24"/>
          <w:szCs w:val="24"/>
        </w:rPr>
        <w:fldChar w:fldCharType="end"/>
      </w: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290"/>
        <w:gridCol w:w="1644"/>
        <w:gridCol w:w="1644"/>
        <w:gridCol w:w="1644"/>
        <w:gridCol w:w="1642"/>
      </w:tblGrid>
      <w:tr w14:paraId="790A50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Align w:val="center"/>
          </w:tcPr>
          <w:p w14:paraId="0DEDE4D8">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Molecule</w:t>
            </w:r>
          </w:p>
        </w:tc>
        <w:tc>
          <w:tcPr>
            <w:tcW w:w="927" w:type="pct"/>
            <w:vAlign w:val="center"/>
          </w:tcPr>
          <w:p w14:paraId="7A70F66D">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Atom</w:t>
            </w:r>
          </w:p>
        </w:tc>
        <w:tc>
          <w:tcPr>
            <w:tcW w:w="927" w:type="pct"/>
            <w:vAlign w:val="center"/>
          </w:tcPr>
          <w:p w14:paraId="5AAAAA22">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q</w:t>
            </w:r>
            <w:r>
              <w:rPr>
                <w:rFonts w:ascii="Times New Roman" w:hAnsi="Times New Roman" w:eastAsia="等线" w:cs="Times New Roman"/>
                <w:b/>
                <w:bCs/>
                <w:color w:val="000000"/>
                <w:kern w:val="0"/>
                <w:szCs w:val="21"/>
              </w:rPr>
              <w:t>’ (</w:t>
            </w:r>
            <w:r>
              <w:rPr>
                <w:rFonts w:ascii="Times New Roman" w:hAnsi="Times New Roman" w:eastAsia="等线" w:cs="Times New Roman"/>
                <w:b/>
                <w:bCs/>
                <w:i/>
                <w:iCs/>
                <w:color w:val="000000"/>
                <w:kern w:val="0"/>
                <w:szCs w:val="21"/>
              </w:rPr>
              <w:t>e</w:t>
            </w:r>
            <w:r>
              <w:rPr>
                <w:rFonts w:ascii="Times New Roman" w:hAnsi="Times New Roman" w:eastAsia="等线" w:cs="Times New Roman"/>
                <w:b/>
                <w:bCs/>
                <w:color w:val="000000"/>
                <w:kern w:val="0"/>
                <w:szCs w:val="21"/>
              </w:rPr>
              <w:t>)</w:t>
            </w:r>
          </w:p>
        </w:tc>
        <w:tc>
          <w:tcPr>
            <w:tcW w:w="927" w:type="pct"/>
            <w:noWrap/>
            <w:vAlign w:val="center"/>
          </w:tcPr>
          <w:p w14:paraId="604DC1FA">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i/>
                <w:iCs/>
                <w:color w:val="000000"/>
                <w:kern w:val="0"/>
                <w:szCs w:val="21"/>
              </w:rPr>
              <w:t>N</w:t>
            </w:r>
            <w:r>
              <w:rPr>
                <w:rFonts w:ascii="Times New Roman" w:hAnsi="Times New Roman" w:eastAsia="等线" w:cs="Times New Roman"/>
                <w:b/>
                <w:bCs/>
                <w:color w:val="000000"/>
                <w:kern w:val="0"/>
                <w:szCs w:val="21"/>
                <w:vertAlign w:val="subscript"/>
              </w:rPr>
              <w:t>atoms</w:t>
            </w:r>
          </w:p>
        </w:tc>
        <w:tc>
          <w:tcPr>
            <w:tcW w:w="926" w:type="pct"/>
            <w:vAlign w:val="center"/>
          </w:tcPr>
          <w:p w14:paraId="221775AE">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Q</w:t>
            </w:r>
            <w:r>
              <w:rPr>
                <w:rFonts w:ascii="Times New Roman" w:hAnsi="Times New Roman" w:eastAsia="等线" w:cs="Times New Roman"/>
                <w:b/>
                <w:bCs/>
                <w:color w:val="000000"/>
                <w:kern w:val="0"/>
                <w:szCs w:val="21"/>
              </w:rPr>
              <w:t xml:space="preserve"> (</w:t>
            </w:r>
            <w:r>
              <w:rPr>
                <w:rFonts w:ascii="Times New Roman" w:hAnsi="Times New Roman" w:eastAsia="等线" w:cs="Times New Roman"/>
                <w:b/>
                <w:bCs/>
                <w:i/>
                <w:iCs/>
                <w:color w:val="000000"/>
                <w:kern w:val="0"/>
                <w:szCs w:val="21"/>
              </w:rPr>
              <w:t>e</w:t>
            </w:r>
            <w:r>
              <w:rPr>
                <w:rFonts w:ascii="Times New Roman" w:hAnsi="Times New Roman" w:eastAsia="等线" w:cs="Times New Roman"/>
                <w:b/>
                <w:bCs/>
                <w:color w:val="000000"/>
                <w:kern w:val="0"/>
                <w:szCs w:val="21"/>
              </w:rPr>
              <w:t>)</w:t>
            </w:r>
          </w:p>
        </w:tc>
      </w:tr>
      <w:tr w14:paraId="024D6DD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restart"/>
            <w:noWrap/>
            <w:vAlign w:val="center"/>
          </w:tcPr>
          <w:p w14:paraId="1BB4ADD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927" w:type="pct"/>
            <w:noWrap/>
            <w:vAlign w:val="center"/>
          </w:tcPr>
          <w:p w14:paraId="7D7EED9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C11</w:t>
            </w:r>
          </w:p>
        </w:tc>
        <w:tc>
          <w:tcPr>
            <w:tcW w:w="927" w:type="pct"/>
            <w:noWrap/>
            <w:vAlign w:val="center"/>
          </w:tcPr>
          <w:p w14:paraId="096DD92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0.0967 </w:t>
            </w:r>
          </w:p>
        </w:tc>
        <w:tc>
          <w:tcPr>
            <w:tcW w:w="927" w:type="pct"/>
            <w:noWrap/>
            <w:vAlign w:val="center"/>
          </w:tcPr>
          <w:p w14:paraId="56308D9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restart"/>
            <w:noWrap/>
            <w:vAlign w:val="center"/>
          </w:tcPr>
          <w:p w14:paraId="1FB51E0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169E892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6F7B007B">
            <w:pPr>
              <w:widowControl/>
              <w:jc w:val="left"/>
              <w:rPr>
                <w:rFonts w:ascii="Times New Roman" w:hAnsi="Times New Roman" w:eastAsia="等线" w:cs="Times New Roman"/>
                <w:color w:val="000000"/>
                <w:kern w:val="0"/>
                <w:szCs w:val="21"/>
              </w:rPr>
            </w:pPr>
          </w:p>
        </w:tc>
        <w:tc>
          <w:tcPr>
            <w:tcW w:w="927" w:type="pct"/>
            <w:noWrap/>
            <w:vAlign w:val="center"/>
          </w:tcPr>
          <w:p w14:paraId="5CCE5DC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H11</w:t>
            </w:r>
          </w:p>
        </w:tc>
        <w:tc>
          <w:tcPr>
            <w:tcW w:w="927" w:type="pct"/>
            <w:noWrap/>
            <w:vAlign w:val="center"/>
          </w:tcPr>
          <w:p w14:paraId="73F180A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0.0380 </w:t>
            </w:r>
          </w:p>
        </w:tc>
        <w:tc>
          <w:tcPr>
            <w:tcW w:w="927" w:type="pct"/>
            <w:noWrap/>
            <w:vAlign w:val="center"/>
          </w:tcPr>
          <w:p w14:paraId="12E05D5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 </w:t>
            </w:r>
          </w:p>
        </w:tc>
        <w:tc>
          <w:tcPr>
            <w:tcW w:w="926" w:type="pct"/>
            <w:vMerge w:val="continue"/>
            <w:vAlign w:val="center"/>
          </w:tcPr>
          <w:p w14:paraId="44694C3D">
            <w:pPr>
              <w:widowControl/>
              <w:jc w:val="left"/>
              <w:rPr>
                <w:rFonts w:ascii="Times New Roman" w:hAnsi="Times New Roman" w:eastAsia="等线" w:cs="Times New Roman"/>
                <w:color w:val="000000"/>
                <w:kern w:val="0"/>
                <w:szCs w:val="21"/>
              </w:rPr>
            </w:pPr>
          </w:p>
        </w:tc>
      </w:tr>
      <w:tr w14:paraId="13332F7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5B0000C5">
            <w:pPr>
              <w:widowControl/>
              <w:jc w:val="left"/>
              <w:rPr>
                <w:rFonts w:ascii="Times New Roman" w:hAnsi="Times New Roman" w:eastAsia="等线" w:cs="Times New Roman"/>
                <w:color w:val="000000"/>
                <w:kern w:val="0"/>
                <w:szCs w:val="21"/>
              </w:rPr>
            </w:pPr>
          </w:p>
        </w:tc>
        <w:tc>
          <w:tcPr>
            <w:tcW w:w="927" w:type="pct"/>
            <w:noWrap/>
            <w:vAlign w:val="center"/>
          </w:tcPr>
          <w:p w14:paraId="2A2A657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O11</w:t>
            </w:r>
          </w:p>
        </w:tc>
        <w:tc>
          <w:tcPr>
            <w:tcW w:w="927" w:type="pct"/>
            <w:noWrap/>
            <w:vAlign w:val="center"/>
          </w:tcPr>
          <w:p w14:paraId="3783BFF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-0.4342 </w:t>
            </w:r>
          </w:p>
        </w:tc>
        <w:tc>
          <w:tcPr>
            <w:tcW w:w="927" w:type="pct"/>
            <w:noWrap/>
            <w:vAlign w:val="center"/>
          </w:tcPr>
          <w:p w14:paraId="5468BEA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continue"/>
            <w:vAlign w:val="center"/>
          </w:tcPr>
          <w:p w14:paraId="5167B90E">
            <w:pPr>
              <w:widowControl/>
              <w:jc w:val="left"/>
              <w:rPr>
                <w:rFonts w:ascii="Times New Roman" w:hAnsi="Times New Roman" w:eastAsia="等线" w:cs="Times New Roman"/>
                <w:color w:val="000000"/>
                <w:kern w:val="0"/>
                <w:szCs w:val="21"/>
              </w:rPr>
            </w:pPr>
          </w:p>
        </w:tc>
      </w:tr>
      <w:tr w14:paraId="45934DF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2DB1D3B6">
            <w:pPr>
              <w:widowControl/>
              <w:jc w:val="left"/>
              <w:rPr>
                <w:rFonts w:ascii="Times New Roman" w:hAnsi="Times New Roman" w:eastAsia="等线" w:cs="Times New Roman"/>
                <w:color w:val="000000"/>
                <w:kern w:val="0"/>
                <w:szCs w:val="21"/>
              </w:rPr>
            </w:pPr>
          </w:p>
        </w:tc>
        <w:tc>
          <w:tcPr>
            <w:tcW w:w="927" w:type="pct"/>
            <w:noWrap/>
            <w:vAlign w:val="center"/>
          </w:tcPr>
          <w:p w14:paraId="1A13A5E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C12</w:t>
            </w:r>
          </w:p>
        </w:tc>
        <w:tc>
          <w:tcPr>
            <w:tcW w:w="927" w:type="pct"/>
            <w:noWrap/>
            <w:vAlign w:val="center"/>
          </w:tcPr>
          <w:p w14:paraId="7ED0CFB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0.2085 </w:t>
            </w:r>
          </w:p>
        </w:tc>
        <w:tc>
          <w:tcPr>
            <w:tcW w:w="927" w:type="pct"/>
            <w:noWrap/>
            <w:vAlign w:val="center"/>
          </w:tcPr>
          <w:p w14:paraId="2BBD3A7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continue"/>
            <w:vAlign w:val="center"/>
          </w:tcPr>
          <w:p w14:paraId="15785CF8">
            <w:pPr>
              <w:widowControl/>
              <w:jc w:val="left"/>
              <w:rPr>
                <w:rFonts w:ascii="Times New Roman" w:hAnsi="Times New Roman" w:eastAsia="等线" w:cs="Times New Roman"/>
                <w:color w:val="000000"/>
                <w:kern w:val="0"/>
                <w:szCs w:val="21"/>
              </w:rPr>
            </w:pPr>
          </w:p>
        </w:tc>
      </w:tr>
      <w:tr w14:paraId="119E2C1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3F23D015">
            <w:pPr>
              <w:widowControl/>
              <w:jc w:val="left"/>
              <w:rPr>
                <w:rFonts w:ascii="Times New Roman" w:hAnsi="Times New Roman" w:eastAsia="等线" w:cs="Times New Roman"/>
                <w:color w:val="000000"/>
                <w:kern w:val="0"/>
                <w:szCs w:val="21"/>
              </w:rPr>
            </w:pPr>
          </w:p>
        </w:tc>
        <w:tc>
          <w:tcPr>
            <w:tcW w:w="927" w:type="pct"/>
            <w:noWrap/>
            <w:vAlign w:val="center"/>
          </w:tcPr>
          <w:p w14:paraId="5BF2820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H12</w:t>
            </w:r>
          </w:p>
        </w:tc>
        <w:tc>
          <w:tcPr>
            <w:tcW w:w="927" w:type="pct"/>
            <w:noWrap/>
            <w:vAlign w:val="center"/>
          </w:tcPr>
          <w:p w14:paraId="0174376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0.0075 </w:t>
            </w:r>
          </w:p>
        </w:tc>
        <w:tc>
          <w:tcPr>
            <w:tcW w:w="927" w:type="pct"/>
            <w:noWrap/>
            <w:vAlign w:val="center"/>
          </w:tcPr>
          <w:p w14:paraId="627EBFA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 </w:t>
            </w:r>
          </w:p>
        </w:tc>
        <w:tc>
          <w:tcPr>
            <w:tcW w:w="926" w:type="pct"/>
            <w:vMerge w:val="continue"/>
            <w:vAlign w:val="center"/>
          </w:tcPr>
          <w:p w14:paraId="338BB4A7">
            <w:pPr>
              <w:widowControl/>
              <w:jc w:val="left"/>
              <w:rPr>
                <w:rFonts w:ascii="Times New Roman" w:hAnsi="Times New Roman" w:eastAsia="等线" w:cs="Times New Roman"/>
                <w:color w:val="000000"/>
                <w:kern w:val="0"/>
                <w:szCs w:val="21"/>
              </w:rPr>
            </w:pPr>
          </w:p>
        </w:tc>
      </w:tr>
      <w:tr w14:paraId="725AF6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restart"/>
            <w:noWrap/>
            <w:vAlign w:val="center"/>
          </w:tcPr>
          <w:p w14:paraId="7C0DEB0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927" w:type="pct"/>
            <w:noWrap/>
            <w:vAlign w:val="center"/>
          </w:tcPr>
          <w:p w14:paraId="3CFF789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H21</w:t>
            </w:r>
          </w:p>
        </w:tc>
        <w:tc>
          <w:tcPr>
            <w:tcW w:w="927" w:type="pct"/>
            <w:noWrap/>
            <w:vAlign w:val="center"/>
          </w:tcPr>
          <w:p w14:paraId="2FC2001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0.0557 </w:t>
            </w:r>
          </w:p>
        </w:tc>
        <w:tc>
          <w:tcPr>
            <w:tcW w:w="927" w:type="pct"/>
            <w:noWrap/>
            <w:vAlign w:val="center"/>
          </w:tcPr>
          <w:p w14:paraId="408B286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 </w:t>
            </w:r>
          </w:p>
        </w:tc>
        <w:tc>
          <w:tcPr>
            <w:tcW w:w="926" w:type="pct"/>
            <w:vMerge w:val="restart"/>
            <w:noWrap/>
            <w:vAlign w:val="center"/>
          </w:tcPr>
          <w:p w14:paraId="359A0FC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79D3E70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26BA8C82">
            <w:pPr>
              <w:widowControl/>
              <w:jc w:val="left"/>
              <w:rPr>
                <w:rFonts w:ascii="Times New Roman" w:hAnsi="Times New Roman" w:eastAsia="等线" w:cs="Times New Roman"/>
                <w:color w:val="000000"/>
                <w:kern w:val="0"/>
                <w:szCs w:val="21"/>
              </w:rPr>
            </w:pPr>
          </w:p>
        </w:tc>
        <w:tc>
          <w:tcPr>
            <w:tcW w:w="927" w:type="pct"/>
            <w:noWrap/>
            <w:vAlign w:val="center"/>
          </w:tcPr>
          <w:p w14:paraId="5DAD2B1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C21</w:t>
            </w:r>
          </w:p>
        </w:tc>
        <w:tc>
          <w:tcPr>
            <w:tcW w:w="927" w:type="pct"/>
            <w:noWrap/>
            <w:vAlign w:val="center"/>
          </w:tcPr>
          <w:p w14:paraId="575A353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0.1790 </w:t>
            </w:r>
          </w:p>
        </w:tc>
        <w:tc>
          <w:tcPr>
            <w:tcW w:w="927" w:type="pct"/>
            <w:noWrap/>
            <w:vAlign w:val="center"/>
          </w:tcPr>
          <w:p w14:paraId="3AB788F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continue"/>
            <w:vAlign w:val="center"/>
          </w:tcPr>
          <w:p w14:paraId="2E0E68B6">
            <w:pPr>
              <w:widowControl/>
              <w:jc w:val="left"/>
              <w:rPr>
                <w:rFonts w:ascii="Times New Roman" w:hAnsi="Times New Roman" w:eastAsia="等线" w:cs="Times New Roman"/>
                <w:color w:val="000000"/>
                <w:kern w:val="0"/>
                <w:szCs w:val="21"/>
              </w:rPr>
            </w:pPr>
          </w:p>
        </w:tc>
      </w:tr>
      <w:tr w14:paraId="448D6C0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5153F53A">
            <w:pPr>
              <w:widowControl/>
              <w:jc w:val="left"/>
              <w:rPr>
                <w:rFonts w:ascii="Times New Roman" w:hAnsi="Times New Roman" w:eastAsia="等线" w:cs="Times New Roman"/>
                <w:color w:val="000000"/>
                <w:kern w:val="0"/>
                <w:szCs w:val="21"/>
              </w:rPr>
            </w:pPr>
          </w:p>
        </w:tc>
        <w:tc>
          <w:tcPr>
            <w:tcW w:w="927" w:type="pct"/>
            <w:noWrap/>
            <w:vAlign w:val="center"/>
          </w:tcPr>
          <w:p w14:paraId="1CF396B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O21</w:t>
            </w:r>
          </w:p>
        </w:tc>
        <w:tc>
          <w:tcPr>
            <w:tcW w:w="927" w:type="pct"/>
            <w:noWrap/>
            <w:vAlign w:val="center"/>
          </w:tcPr>
          <w:p w14:paraId="47E928B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-0.4304 </w:t>
            </w:r>
          </w:p>
        </w:tc>
        <w:tc>
          <w:tcPr>
            <w:tcW w:w="927" w:type="pct"/>
            <w:noWrap/>
            <w:vAlign w:val="center"/>
          </w:tcPr>
          <w:p w14:paraId="56CAFC1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continue"/>
            <w:vAlign w:val="center"/>
          </w:tcPr>
          <w:p w14:paraId="44351C59">
            <w:pPr>
              <w:widowControl/>
              <w:jc w:val="left"/>
              <w:rPr>
                <w:rFonts w:ascii="Times New Roman" w:hAnsi="Times New Roman" w:eastAsia="等线" w:cs="Times New Roman"/>
                <w:color w:val="000000"/>
                <w:kern w:val="0"/>
                <w:szCs w:val="21"/>
              </w:rPr>
            </w:pPr>
          </w:p>
        </w:tc>
      </w:tr>
      <w:tr w14:paraId="6EEB9C7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00773A3E">
            <w:pPr>
              <w:widowControl/>
              <w:jc w:val="left"/>
              <w:rPr>
                <w:rFonts w:ascii="Times New Roman" w:hAnsi="Times New Roman" w:eastAsia="等线" w:cs="Times New Roman"/>
                <w:color w:val="000000"/>
                <w:kern w:val="0"/>
                <w:szCs w:val="21"/>
              </w:rPr>
            </w:pPr>
          </w:p>
        </w:tc>
        <w:tc>
          <w:tcPr>
            <w:tcW w:w="927" w:type="pct"/>
            <w:noWrap/>
            <w:vAlign w:val="center"/>
          </w:tcPr>
          <w:p w14:paraId="7902183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C22</w:t>
            </w:r>
          </w:p>
        </w:tc>
        <w:tc>
          <w:tcPr>
            <w:tcW w:w="927" w:type="pct"/>
            <w:noWrap/>
            <w:vAlign w:val="center"/>
          </w:tcPr>
          <w:p w14:paraId="6068D37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0.9261 </w:t>
            </w:r>
          </w:p>
        </w:tc>
        <w:tc>
          <w:tcPr>
            <w:tcW w:w="927" w:type="pct"/>
            <w:noWrap/>
            <w:vAlign w:val="center"/>
          </w:tcPr>
          <w:p w14:paraId="3084A86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6C3CADFC">
            <w:pPr>
              <w:widowControl/>
              <w:jc w:val="left"/>
              <w:rPr>
                <w:rFonts w:ascii="Times New Roman" w:hAnsi="Times New Roman" w:eastAsia="等线" w:cs="Times New Roman"/>
                <w:color w:val="000000"/>
                <w:kern w:val="0"/>
                <w:szCs w:val="21"/>
              </w:rPr>
            </w:pPr>
          </w:p>
        </w:tc>
      </w:tr>
      <w:tr w14:paraId="42A570A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5FDDC403">
            <w:pPr>
              <w:widowControl/>
              <w:jc w:val="left"/>
              <w:rPr>
                <w:rFonts w:ascii="Times New Roman" w:hAnsi="Times New Roman" w:eastAsia="等线" w:cs="Times New Roman"/>
                <w:color w:val="000000"/>
                <w:kern w:val="0"/>
                <w:szCs w:val="21"/>
              </w:rPr>
            </w:pPr>
          </w:p>
        </w:tc>
        <w:tc>
          <w:tcPr>
            <w:tcW w:w="927" w:type="pct"/>
            <w:noWrap/>
            <w:vAlign w:val="center"/>
          </w:tcPr>
          <w:p w14:paraId="59B5980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O22</w:t>
            </w:r>
          </w:p>
        </w:tc>
        <w:tc>
          <w:tcPr>
            <w:tcW w:w="927" w:type="pct"/>
            <w:noWrap/>
            <w:vAlign w:val="center"/>
          </w:tcPr>
          <w:p w14:paraId="2695544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-0.6461 </w:t>
            </w:r>
          </w:p>
        </w:tc>
        <w:tc>
          <w:tcPr>
            <w:tcW w:w="927" w:type="pct"/>
            <w:noWrap/>
            <w:vAlign w:val="center"/>
          </w:tcPr>
          <w:p w14:paraId="49CFE41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476D2EB3">
            <w:pPr>
              <w:widowControl/>
              <w:jc w:val="left"/>
              <w:rPr>
                <w:rFonts w:ascii="Times New Roman" w:hAnsi="Times New Roman" w:eastAsia="等线" w:cs="Times New Roman"/>
                <w:color w:val="000000"/>
                <w:kern w:val="0"/>
                <w:szCs w:val="21"/>
              </w:rPr>
            </w:pPr>
          </w:p>
        </w:tc>
      </w:tr>
      <w:tr w14:paraId="4A8E2C7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restart"/>
            <w:noWrap/>
            <w:vAlign w:val="center"/>
          </w:tcPr>
          <w:p w14:paraId="5FDF988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927" w:type="pct"/>
            <w:noWrap/>
            <w:vAlign w:val="center"/>
          </w:tcPr>
          <w:p w14:paraId="1FEB2F1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O31</w:t>
            </w:r>
          </w:p>
        </w:tc>
        <w:tc>
          <w:tcPr>
            <w:tcW w:w="927" w:type="pct"/>
            <w:noWrap/>
            <w:vAlign w:val="center"/>
          </w:tcPr>
          <w:p w14:paraId="1C793F3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-0.5943 </w:t>
            </w:r>
          </w:p>
        </w:tc>
        <w:tc>
          <w:tcPr>
            <w:tcW w:w="927" w:type="pct"/>
            <w:noWrap/>
            <w:vAlign w:val="center"/>
          </w:tcPr>
          <w:p w14:paraId="727C23D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restart"/>
            <w:noWrap/>
            <w:vAlign w:val="center"/>
          </w:tcPr>
          <w:p w14:paraId="1F779B5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06A5796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4B4DD535">
            <w:pPr>
              <w:widowControl/>
              <w:jc w:val="left"/>
              <w:rPr>
                <w:rFonts w:ascii="Times New Roman" w:hAnsi="Times New Roman" w:eastAsia="等线" w:cs="Times New Roman"/>
                <w:color w:val="000000"/>
                <w:kern w:val="0"/>
                <w:szCs w:val="21"/>
              </w:rPr>
            </w:pPr>
          </w:p>
        </w:tc>
        <w:tc>
          <w:tcPr>
            <w:tcW w:w="927" w:type="pct"/>
            <w:noWrap/>
            <w:vAlign w:val="center"/>
          </w:tcPr>
          <w:p w14:paraId="03F940A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C31</w:t>
            </w:r>
          </w:p>
        </w:tc>
        <w:tc>
          <w:tcPr>
            <w:tcW w:w="927" w:type="pct"/>
            <w:noWrap/>
            <w:vAlign w:val="center"/>
          </w:tcPr>
          <w:p w14:paraId="0C3102F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0.8783 </w:t>
            </w:r>
          </w:p>
        </w:tc>
        <w:tc>
          <w:tcPr>
            <w:tcW w:w="927" w:type="pct"/>
            <w:noWrap/>
            <w:vAlign w:val="center"/>
          </w:tcPr>
          <w:p w14:paraId="4F4B39C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13F3AFA1">
            <w:pPr>
              <w:widowControl/>
              <w:jc w:val="left"/>
              <w:rPr>
                <w:rFonts w:ascii="Times New Roman" w:hAnsi="Times New Roman" w:eastAsia="等线" w:cs="Times New Roman"/>
                <w:color w:val="000000"/>
                <w:kern w:val="0"/>
                <w:szCs w:val="21"/>
              </w:rPr>
            </w:pPr>
          </w:p>
        </w:tc>
      </w:tr>
      <w:tr w14:paraId="4DE66C5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152F0397">
            <w:pPr>
              <w:widowControl/>
              <w:jc w:val="left"/>
              <w:rPr>
                <w:rFonts w:ascii="Times New Roman" w:hAnsi="Times New Roman" w:eastAsia="等线" w:cs="Times New Roman"/>
                <w:color w:val="000000"/>
                <w:kern w:val="0"/>
                <w:szCs w:val="21"/>
              </w:rPr>
            </w:pPr>
          </w:p>
        </w:tc>
        <w:tc>
          <w:tcPr>
            <w:tcW w:w="927" w:type="pct"/>
            <w:noWrap/>
            <w:vAlign w:val="center"/>
          </w:tcPr>
          <w:p w14:paraId="47A980E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O32</w:t>
            </w:r>
          </w:p>
        </w:tc>
        <w:tc>
          <w:tcPr>
            <w:tcW w:w="927" w:type="pct"/>
            <w:noWrap/>
            <w:vAlign w:val="center"/>
          </w:tcPr>
          <w:p w14:paraId="4CC3484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-0.3921 </w:t>
            </w:r>
          </w:p>
        </w:tc>
        <w:tc>
          <w:tcPr>
            <w:tcW w:w="927" w:type="pct"/>
            <w:noWrap/>
            <w:vAlign w:val="center"/>
          </w:tcPr>
          <w:p w14:paraId="7AB9B41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413FF6A8">
            <w:pPr>
              <w:widowControl/>
              <w:jc w:val="left"/>
              <w:rPr>
                <w:rFonts w:ascii="Times New Roman" w:hAnsi="Times New Roman" w:eastAsia="等线" w:cs="Times New Roman"/>
                <w:color w:val="000000"/>
                <w:kern w:val="0"/>
                <w:szCs w:val="21"/>
              </w:rPr>
            </w:pPr>
          </w:p>
        </w:tc>
      </w:tr>
      <w:tr w14:paraId="293E21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1BD803C1">
            <w:pPr>
              <w:widowControl/>
              <w:jc w:val="left"/>
              <w:rPr>
                <w:rFonts w:ascii="Times New Roman" w:hAnsi="Times New Roman" w:eastAsia="等线" w:cs="Times New Roman"/>
                <w:color w:val="000000"/>
                <w:kern w:val="0"/>
                <w:szCs w:val="21"/>
              </w:rPr>
            </w:pPr>
          </w:p>
        </w:tc>
        <w:tc>
          <w:tcPr>
            <w:tcW w:w="927" w:type="pct"/>
            <w:noWrap/>
            <w:vAlign w:val="center"/>
          </w:tcPr>
          <w:p w14:paraId="4914C00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O33</w:t>
            </w:r>
          </w:p>
        </w:tc>
        <w:tc>
          <w:tcPr>
            <w:tcW w:w="927" w:type="pct"/>
            <w:noWrap/>
            <w:vAlign w:val="center"/>
          </w:tcPr>
          <w:p w14:paraId="3C17C03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-0.3707 </w:t>
            </w:r>
          </w:p>
        </w:tc>
        <w:tc>
          <w:tcPr>
            <w:tcW w:w="927" w:type="pct"/>
            <w:noWrap/>
            <w:vAlign w:val="center"/>
          </w:tcPr>
          <w:p w14:paraId="763682A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243F3E1A">
            <w:pPr>
              <w:widowControl/>
              <w:jc w:val="left"/>
              <w:rPr>
                <w:rFonts w:ascii="Times New Roman" w:hAnsi="Times New Roman" w:eastAsia="等线" w:cs="Times New Roman"/>
                <w:color w:val="000000"/>
                <w:kern w:val="0"/>
                <w:szCs w:val="21"/>
              </w:rPr>
            </w:pPr>
          </w:p>
        </w:tc>
      </w:tr>
      <w:tr w14:paraId="1B8AD2D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4F9C90C0">
            <w:pPr>
              <w:widowControl/>
              <w:jc w:val="left"/>
              <w:rPr>
                <w:rFonts w:ascii="Times New Roman" w:hAnsi="Times New Roman" w:eastAsia="等线" w:cs="Times New Roman"/>
                <w:color w:val="000000"/>
                <w:kern w:val="0"/>
                <w:szCs w:val="21"/>
              </w:rPr>
            </w:pPr>
          </w:p>
        </w:tc>
        <w:tc>
          <w:tcPr>
            <w:tcW w:w="927" w:type="pct"/>
            <w:noWrap/>
            <w:vAlign w:val="center"/>
          </w:tcPr>
          <w:p w14:paraId="4469F43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C32</w:t>
            </w:r>
          </w:p>
        </w:tc>
        <w:tc>
          <w:tcPr>
            <w:tcW w:w="927" w:type="pct"/>
            <w:noWrap/>
            <w:vAlign w:val="center"/>
          </w:tcPr>
          <w:p w14:paraId="2FCB7D8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0.3660 </w:t>
            </w:r>
          </w:p>
        </w:tc>
        <w:tc>
          <w:tcPr>
            <w:tcW w:w="927" w:type="pct"/>
            <w:noWrap/>
            <w:vAlign w:val="center"/>
          </w:tcPr>
          <w:p w14:paraId="2C9ACAA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495D4E1F">
            <w:pPr>
              <w:widowControl/>
              <w:jc w:val="left"/>
              <w:rPr>
                <w:rFonts w:ascii="Times New Roman" w:hAnsi="Times New Roman" w:eastAsia="等线" w:cs="Times New Roman"/>
                <w:color w:val="000000"/>
                <w:kern w:val="0"/>
                <w:szCs w:val="21"/>
              </w:rPr>
            </w:pPr>
          </w:p>
        </w:tc>
      </w:tr>
      <w:tr w14:paraId="2B9A732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37C7DBFF">
            <w:pPr>
              <w:widowControl/>
              <w:jc w:val="left"/>
              <w:rPr>
                <w:rFonts w:ascii="Times New Roman" w:hAnsi="Times New Roman" w:eastAsia="等线" w:cs="Times New Roman"/>
                <w:color w:val="000000"/>
                <w:kern w:val="0"/>
                <w:szCs w:val="21"/>
              </w:rPr>
            </w:pPr>
          </w:p>
        </w:tc>
        <w:tc>
          <w:tcPr>
            <w:tcW w:w="927" w:type="pct"/>
            <w:noWrap/>
            <w:vAlign w:val="center"/>
          </w:tcPr>
          <w:p w14:paraId="094FA79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C33</w:t>
            </w:r>
          </w:p>
        </w:tc>
        <w:tc>
          <w:tcPr>
            <w:tcW w:w="927" w:type="pct"/>
            <w:noWrap/>
            <w:vAlign w:val="center"/>
          </w:tcPr>
          <w:p w14:paraId="4FDC4F0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0.0354 </w:t>
            </w:r>
          </w:p>
        </w:tc>
        <w:tc>
          <w:tcPr>
            <w:tcW w:w="927" w:type="pct"/>
            <w:noWrap/>
            <w:vAlign w:val="center"/>
          </w:tcPr>
          <w:p w14:paraId="51D081D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47127EE2">
            <w:pPr>
              <w:widowControl/>
              <w:jc w:val="left"/>
              <w:rPr>
                <w:rFonts w:ascii="Times New Roman" w:hAnsi="Times New Roman" w:eastAsia="等线" w:cs="Times New Roman"/>
                <w:color w:val="000000"/>
                <w:kern w:val="0"/>
                <w:szCs w:val="21"/>
              </w:rPr>
            </w:pPr>
          </w:p>
        </w:tc>
      </w:tr>
      <w:tr w14:paraId="32C60EB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5F406AD8">
            <w:pPr>
              <w:widowControl/>
              <w:jc w:val="left"/>
              <w:rPr>
                <w:rFonts w:ascii="Times New Roman" w:hAnsi="Times New Roman" w:eastAsia="等线" w:cs="Times New Roman"/>
                <w:color w:val="000000"/>
                <w:kern w:val="0"/>
                <w:szCs w:val="21"/>
              </w:rPr>
            </w:pPr>
          </w:p>
        </w:tc>
        <w:tc>
          <w:tcPr>
            <w:tcW w:w="927" w:type="pct"/>
            <w:noWrap/>
            <w:vAlign w:val="center"/>
          </w:tcPr>
          <w:p w14:paraId="454FCBD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H31</w:t>
            </w:r>
          </w:p>
        </w:tc>
        <w:tc>
          <w:tcPr>
            <w:tcW w:w="927" w:type="pct"/>
            <w:noWrap/>
            <w:vAlign w:val="center"/>
          </w:tcPr>
          <w:p w14:paraId="214BDC1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0.0916 </w:t>
            </w:r>
          </w:p>
        </w:tc>
        <w:tc>
          <w:tcPr>
            <w:tcW w:w="927" w:type="pct"/>
            <w:noWrap/>
            <w:vAlign w:val="center"/>
          </w:tcPr>
          <w:p w14:paraId="7647F25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4127E697">
            <w:pPr>
              <w:widowControl/>
              <w:jc w:val="left"/>
              <w:rPr>
                <w:rFonts w:ascii="Times New Roman" w:hAnsi="Times New Roman" w:eastAsia="等线" w:cs="Times New Roman"/>
                <w:color w:val="000000"/>
                <w:kern w:val="0"/>
                <w:szCs w:val="21"/>
              </w:rPr>
            </w:pPr>
          </w:p>
        </w:tc>
      </w:tr>
      <w:tr w14:paraId="5E7CDE4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732E5BFD">
            <w:pPr>
              <w:widowControl/>
              <w:jc w:val="left"/>
              <w:rPr>
                <w:rFonts w:ascii="Times New Roman" w:hAnsi="Times New Roman" w:eastAsia="等线" w:cs="Times New Roman"/>
                <w:color w:val="000000"/>
                <w:kern w:val="0"/>
                <w:szCs w:val="21"/>
              </w:rPr>
            </w:pPr>
          </w:p>
        </w:tc>
        <w:tc>
          <w:tcPr>
            <w:tcW w:w="927" w:type="pct"/>
            <w:noWrap/>
            <w:vAlign w:val="center"/>
          </w:tcPr>
          <w:p w14:paraId="548BE1E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F31</w:t>
            </w:r>
          </w:p>
        </w:tc>
        <w:tc>
          <w:tcPr>
            <w:tcW w:w="927" w:type="pct"/>
            <w:noWrap/>
            <w:vAlign w:val="center"/>
          </w:tcPr>
          <w:p w14:paraId="1565876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-0.2432 </w:t>
            </w:r>
          </w:p>
        </w:tc>
        <w:tc>
          <w:tcPr>
            <w:tcW w:w="927" w:type="pct"/>
            <w:noWrap/>
            <w:vAlign w:val="center"/>
          </w:tcPr>
          <w:p w14:paraId="7307336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764C0C32">
            <w:pPr>
              <w:widowControl/>
              <w:jc w:val="left"/>
              <w:rPr>
                <w:rFonts w:ascii="Times New Roman" w:hAnsi="Times New Roman" w:eastAsia="等线" w:cs="Times New Roman"/>
                <w:color w:val="000000"/>
                <w:kern w:val="0"/>
                <w:szCs w:val="21"/>
              </w:rPr>
            </w:pPr>
          </w:p>
        </w:tc>
      </w:tr>
      <w:tr w14:paraId="017CA6C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7767932B">
            <w:pPr>
              <w:widowControl/>
              <w:jc w:val="left"/>
              <w:rPr>
                <w:rFonts w:ascii="Times New Roman" w:hAnsi="Times New Roman" w:eastAsia="等线" w:cs="Times New Roman"/>
                <w:color w:val="000000"/>
                <w:kern w:val="0"/>
                <w:szCs w:val="21"/>
              </w:rPr>
            </w:pPr>
          </w:p>
        </w:tc>
        <w:tc>
          <w:tcPr>
            <w:tcW w:w="927" w:type="pct"/>
            <w:noWrap/>
            <w:vAlign w:val="center"/>
          </w:tcPr>
          <w:p w14:paraId="5B85C8D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H32</w:t>
            </w:r>
          </w:p>
        </w:tc>
        <w:tc>
          <w:tcPr>
            <w:tcW w:w="927" w:type="pct"/>
            <w:noWrap/>
            <w:vAlign w:val="center"/>
          </w:tcPr>
          <w:p w14:paraId="3677A40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0.1145 </w:t>
            </w:r>
          </w:p>
        </w:tc>
        <w:tc>
          <w:tcPr>
            <w:tcW w:w="927" w:type="pct"/>
            <w:noWrap/>
            <w:vAlign w:val="center"/>
          </w:tcPr>
          <w:p w14:paraId="26DC369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continue"/>
            <w:vAlign w:val="center"/>
          </w:tcPr>
          <w:p w14:paraId="69266850">
            <w:pPr>
              <w:widowControl/>
              <w:jc w:val="left"/>
              <w:rPr>
                <w:rFonts w:ascii="Times New Roman" w:hAnsi="Times New Roman" w:eastAsia="等线" w:cs="Times New Roman"/>
                <w:color w:val="000000"/>
                <w:kern w:val="0"/>
                <w:szCs w:val="21"/>
              </w:rPr>
            </w:pPr>
          </w:p>
        </w:tc>
      </w:tr>
      <w:tr w14:paraId="2105591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restart"/>
            <w:noWrap/>
            <w:vAlign w:val="center"/>
          </w:tcPr>
          <w:p w14:paraId="2616A80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EMC</w:t>
            </w:r>
          </w:p>
        </w:tc>
        <w:tc>
          <w:tcPr>
            <w:tcW w:w="927" w:type="pct"/>
            <w:noWrap/>
            <w:vAlign w:val="center"/>
          </w:tcPr>
          <w:p w14:paraId="4E3849C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O41</w:t>
            </w:r>
          </w:p>
        </w:tc>
        <w:tc>
          <w:tcPr>
            <w:tcW w:w="927" w:type="pct"/>
            <w:noWrap/>
            <w:vAlign w:val="center"/>
          </w:tcPr>
          <w:p w14:paraId="6072BEE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-0.6847 </w:t>
            </w:r>
          </w:p>
        </w:tc>
        <w:tc>
          <w:tcPr>
            <w:tcW w:w="927" w:type="pct"/>
            <w:noWrap/>
            <w:vAlign w:val="center"/>
          </w:tcPr>
          <w:p w14:paraId="2D128C3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restart"/>
            <w:noWrap/>
            <w:vAlign w:val="center"/>
          </w:tcPr>
          <w:p w14:paraId="3B9A143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75488A2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6537B785">
            <w:pPr>
              <w:widowControl/>
              <w:jc w:val="left"/>
              <w:rPr>
                <w:rFonts w:ascii="Times New Roman" w:hAnsi="Times New Roman" w:eastAsia="等线" w:cs="Times New Roman"/>
                <w:color w:val="000000"/>
                <w:kern w:val="0"/>
                <w:szCs w:val="21"/>
              </w:rPr>
            </w:pPr>
          </w:p>
        </w:tc>
        <w:tc>
          <w:tcPr>
            <w:tcW w:w="927" w:type="pct"/>
            <w:noWrap/>
            <w:vAlign w:val="center"/>
          </w:tcPr>
          <w:p w14:paraId="2588664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C41</w:t>
            </w:r>
          </w:p>
        </w:tc>
        <w:tc>
          <w:tcPr>
            <w:tcW w:w="927" w:type="pct"/>
            <w:noWrap/>
            <w:vAlign w:val="center"/>
          </w:tcPr>
          <w:p w14:paraId="7CC94A8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1.0819 </w:t>
            </w:r>
          </w:p>
        </w:tc>
        <w:tc>
          <w:tcPr>
            <w:tcW w:w="927" w:type="pct"/>
            <w:noWrap/>
            <w:vAlign w:val="center"/>
          </w:tcPr>
          <w:p w14:paraId="513DCE0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4B14BAA1">
            <w:pPr>
              <w:widowControl/>
              <w:jc w:val="left"/>
              <w:rPr>
                <w:rFonts w:ascii="Times New Roman" w:hAnsi="Times New Roman" w:eastAsia="等线" w:cs="Times New Roman"/>
                <w:color w:val="000000"/>
                <w:kern w:val="0"/>
                <w:szCs w:val="21"/>
              </w:rPr>
            </w:pPr>
          </w:p>
        </w:tc>
      </w:tr>
      <w:tr w14:paraId="02245F8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7AE8E7EF">
            <w:pPr>
              <w:widowControl/>
              <w:jc w:val="left"/>
              <w:rPr>
                <w:rFonts w:ascii="Times New Roman" w:hAnsi="Times New Roman" w:eastAsia="等线" w:cs="Times New Roman"/>
                <w:color w:val="000000"/>
                <w:kern w:val="0"/>
                <w:szCs w:val="21"/>
              </w:rPr>
            </w:pPr>
          </w:p>
        </w:tc>
        <w:tc>
          <w:tcPr>
            <w:tcW w:w="927" w:type="pct"/>
            <w:noWrap/>
            <w:vAlign w:val="center"/>
          </w:tcPr>
          <w:p w14:paraId="5416C01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O42</w:t>
            </w:r>
          </w:p>
        </w:tc>
        <w:tc>
          <w:tcPr>
            <w:tcW w:w="927" w:type="pct"/>
            <w:noWrap/>
            <w:vAlign w:val="center"/>
          </w:tcPr>
          <w:p w14:paraId="07D3634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-0.5930 </w:t>
            </w:r>
          </w:p>
        </w:tc>
        <w:tc>
          <w:tcPr>
            <w:tcW w:w="927" w:type="pct"/>
            <w:noWrap/>
            <w:vAlign w:val="center"/>
          </w:tcPr>
          <w:p w14:paraId="53958F5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2BA8B494">
            <w:pPr>
              <w:widowControl/>
              <w:jc w:val="left"/>
              <w:rPr>
                <w:rFonts w:ascii="Times New Roman" w:hAnsi="Times New Roman" w:eastAsia="等线" w:cs="Times New Roman"/>
                <w:color w:val="000000"/>
                <w:kern w:val="0"/>
                <w:szCs w:val="21"/>
              </w:rPr>
            </w:pPr>
          </w:p>
        </w:tc>
      </w:tr>
      <w:tr w14:paraId="70CDCFC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48721FCD">
            <w:pPr>
              <w:widowControl/>
              <w:jc w:val="left"/>
              <w:rPr>
                <w:rFonts w:ascii="Times New Roman" w:hAnsi="Times New Roman" w:eastAsia="等线" w:cs="Times New Roman"/>
                <w:color w:val="000000"/>
                <w:kern w:val="0"/>
                <w:szCs w:val="21"/>
              </w:rPr>
            </w:pPr>
          </w:p>
        </w:tc>
        <w:tc>
          <w:tcPr>
            <w:tcW w:w="927" w:type="pct"/>
            <w:noWrap/>
            <w:vAlign w:val="center"/>
          </w:tcPr>
          <w:p w14:paraId="5D3AE02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O43</w:t>
            </w:r>
          </w:p>
        </w:tc>
        <w:tc>
          <w:tcPr>
            <w:tcW w:w="927" w:type="pct"/>
            <w:noWrap/>
            <w:vAlign w:val="center"/>
          </w:tcPr>
          <w:p w14:paraId="36B713F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-0.4292 </w:t>
            </w:r>
          </w:p>
        </w:tc>
        <w:tc>
          <w:tcPr>
            <w:tcW w:w="927" w:type="pct"/>
            <w:noWrap/>
            <w:vAlign w:val="center"/>
          </w:tcPr>
          <w:p w14:paraId="28868B2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4C944FFF">
            <w:pPr>
              <w:widowControl/>
              <w:jc w:val="left"/>
              <w:rPr>
                <w:rFonts w:ascii="Times New Roman" w:hAnsi="Times New Roman" w:eastAsia="等线" w:cs="Times New Roman"/>
                <w:color w:val="000000"/>
                <w:kern w:val="0"/>
                <w:szCs w:val="21"/>
              </w:rPr>
            </w:pPr>
          </w:p>
        </w:tc>
      </w:tr>
      <w:tr w14:paraId="0BAD073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22A85BC9">
            <w:pPr>
              <w:widowControl/>
              <w:jc w:val="left"/>
              <w:rPr>
                <w:rFonts w:ascii="Times New Roman" w:hAnsi="Times New Roman" w:eastAsia="等线" w:cs="Times New Roman"/>
                <w:color w:val="000000"/>
                <w:kern w:val="0"/>
                <w:szCs w:val="21"/>
              </w:rPr>
            </w:pPr>
          </w:p>
        </w:tc>
        <w:tc>
          <w:tcPr>
            <w:tcW w:w="927" w:type="pct"/>
            <w:noWrap/>
            <w:vAlign w:val="center"/>
          </w:tcPr>
          <w:p w14:paraId="2FD5EFE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C42</w:t>
            </w:r>
          </w:p>
        </w:tc>
        <w:tc>
          <w:tcPr>
            <w:tcW w:w="927" w:type="pct"/>
            <w:noWrap/>
            <w:vAlign w:val="center"/>
          </w:tcPr>
          <w:p w14:paraId="3D607DF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0.5011 </w:t>
            </w:r>
          </w:p>
        </w:tc>
        <w:tc>
          <w:tcPr>
            <w:tcW w:w="927" w:type="pct"/>
            <w:noWrap/>
            <w:vAlign w:val="center"/>
          </w:tcPr>
          <w:p w14:paraId="39CDC79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266F0203">
            <w:pPr>
              <w:widowControl/>
              <w:jc w:val="left"/>
              <w:rPr>
                <w:rFonts w:ascii="Times New Roman" w:hAnsi="Times New Roman" w:eastAsia="等线" w:cs="Times New Roman"/>
                <w:color w:val="000000"/>
                <w:kern w:val="0"/>
                <w:szCs w:val="21"/>
              </w:rPr>
            </w:pPr>
          </w:p>
        </w:tc>
      </w:tr>
      <w:tr w14:paraId="1353161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07FB299F">
            <w:pPr>
              <w:widowControl/>
              <w:jc w:val="left"/>
              <w:rPr>
                <w:rFonts w:ascii="Times New Roman" w:hAnsi="Times New Roman" w:eastAsia="等线" w:cs="Times New Roman"/>
                <w:color w:val="000000"/>
                <w:kern w:val="0"/>
                <w:szCs w:val="21"/>
              </w:rPr>
            </w:pPr>
          </w:p>
        </w:tc>
        <w:tc>
          <w:tcPr>
            <w:tcW w:w="927" w:type="pct"/>
            <w:noWrap/>
            <w:vAlign w:val="center"/>
          </w:tcPr>
          <w:p w14:paraId="49785B4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C43</w:t>
            </w:r>
          </w:p>
        </w:tc>
        <w:tc>
          <w:tcPr>
            <w:tcW w:w="927" w:type="pct"/>
            <w:noWrap/>
            <w:vAlign w:val="center"/>
          </w:tcPr>
          <w:p w14:paraId="29538F1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0.0170 </w:t>
            </w:r>
          </w:p>
        </w:tc>
        <w:tc>
          <w:tcPr>
            <w:tcW w:w="927" w:type="pct"/>
            <w:noWrap/>
            <w:vAlign w:val="center"/>
          </w:tcPr>
          <w:p w14:paraId="05A4167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02FF32F8">
            <w:pPr>
              <w:widowControl/>
              <w:jc w:val="left"/>
              <w:rPr>
                <w:rFonts w:ascii="Times New Roman" w:hAnsi="Times New Roman" w:eastAsia="等线" w:cs="Times New Roman"/>
                <w:color w:val="000000"/>
                <w:kern w:val="0"/>
                <w:szCs w:val="21"/>
              </w:rPr>
            </w:pPr>
          </w:p>
        </w:tc>
      </w:tr>
      <w:tr w14:paraId="0B23EA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7583E49F">
            <w:pPr>
              <w:widowControl/>
              <w:jc w:val="left"/>
              <w:rPr>
                <w:rFonts w:ascii="Times New Roman" w:hAnsi="Times New Roman" w:eastAsia="等线" w:cs="Times New Roman"/>
                <w:color w:val="000000"/>
                <w:kern w:val="0"/>
                <w:szCs w:val="21"/>
              </w:rPr>
            </w:pPr>
          </w:p>
        </w:tc>
        <w:tc>
          <w:tcPr>
            <w:tcW w:w="927" w:type="pct"/>
            <w:noWrap/>
            <w:vAlign w:val="center"/>
          </w:tcPr>
          <w:p w14:paraId="5FE69E4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C44</w:t>
            </w:r>
          </w:p>
        </w:tc>
        <w:tc>
          <w:tcPr>
            <w:tcW w:w="927" w:type="pct"/>
            <w:noWrap/>
            <w:vAlign w:val="center"/>
          </w:tcPr>
          <w:p w14:paraId="2D53B13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-0.2442 </w:t>
            </w:r>
          </w:p>
        </w:tc>
        <w:tc>
          <w:tcPr>
            <w:tcW w:w="927" w:type="pct"/>
            <w:noWrap/>
            <w:vAlign w:val="center"/>
          </w:tcPr>
          <w:p w14:paraId="7EC32CA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2094E50D">
            <w:pPr>
              <w:widowControl/>
              <w:jc w:val="left"/>
              <w:rPr>
                <w:rFonts w:ascii="Times New Roman" w:hAnsi="Times New Roman" w:eastAsia="等线" w:cs="Times New Roman"/>
                <w:color w:val="000000"/>
                <w:kern w:val="0"/>
                <w:szCs w:val="21"/>
              </w:rPr>
            </w:pPr>
          </w:p>
        </w:tc>
      </w:tr>
      <w:tr w14:paraId="7800EB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7BDDB059">
            <w:pPr>
              <w:widowControl/>
              <w:jc w:val="left"/>
              <w:rPr>
                <w:rFonts w:ascii="Times New Roman" w:hAnsi="Times New Roman" w:eastAsia="等线" w:cs="Times New Roman"/>
                <w:color w:val="000000"/>
                <w:kern w:val="0"/>
                <w:szCs w:val="21"/>
              </w:rPr>
            </w:pPr>
          </w:p>
        </w:tc>
        <w:tc>
          <w:tcPr>
            <w:tcW w:w="927" w:type="pct"/>
            <w:noWrap/>
            <w:vAlign w:val="center"/>
          </w:tcPr>
          <w:p w14:paraId="02C33B2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H41</w:t>
            </w:r>
          </w:p>
        </w:tc>
        <w:tc>
          <w:tcPr>
            <w:tcW w:w="927" w:type="pct"/>
            <w:noWrap/>
            <w:vAlign w:val="center"/>
          </w:tcPr>
          <w:p w14:paraId="16C0DB2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-0.0469 </w:t>
            </w:r>
          </w:p>
        </w:tc>
        <w:tc>
          <w:tcPr>
            <w:tcW w:w="927" w:type="pct"/>
            <w:noWrap/>
            <w:vAlign w:val="center"/>
          </w:tcPr>
          <w:p w14:paraId="7FA513E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continue"/>
            <w:vAlign w:val="center"/>
          </w:tcPr>
          <w:p w14:paraId="7AFA8659">
            <w:pPr>
              <w:widowControl/>
              <w:jc w:val="left"/>
              <w:rPr>
                <w:rFonts w:ascii="Times New Roman" w:hAnsi="Times New Roman" w:eastAsia="等线" w:cs="Times New Roman"/>
                <w:color w:val="000000"/>
                <w:kern w:val="0"/>
                <w:szCs w:val="21"/>
              </w:rPr>
            </w:pPr>
          </w:p>
        </w:tc>
      </w:tr>
      <w:tr w14:paraId="5B39B13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5668F7EF">
            <w:pPr>
              <w:widowControl/>
              <w:jc w:val="left"/>
              <w:rPr>
                <w:rFonts w:ascii="Times New Roman" w:hAnsi="Times New Roman" w:eastAsia="等线" w:cs="Times New Roman"/>
                <w:color w:val="000000"/>
                <w:kern w:val="0"/>
                <w:szCs w:val="21"/>
              </w:rPr>
            </w:pPr>
          </w:p>
        </w:tc>
        <w:tc>
          <w:tcPr>
            <w:tcW w:w="927" w:type="pct"/>
            <w:noWrap/>
            <w:vAlign w:val="center"/>
          </w:tcPr>
          <w:p w14:paraId="13FC754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H42</w:t>
            </w:r>
          </w:p>
        </w:tc>
        <w:tc>
          <w:tcPr>
            <w:tcW w:w="927" w:type="pct"/>
            <w:noWrap/>
            <w:vAlign w:val="center"/>
          </w:tcPr>
          <w:p w14:paraId="572AE18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0.0711 </w:t>
            </w:r>
          </w:p>
        </w:tc>
        <w:tc>
          <w:tcPr>
            <w:tcW w:w="927" w:type="pct"/>
            <w:noWrap/>
            <w:vAlign w:val="center"/>
          </w:tcPr>
          <w:p w14:paraId="231AEA9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 </w:t>
            </w:r>
          </w:p>
        </w:tc>
        <w:tc>
          <w:tcPr>
            <w:tcW w:w="926" w:type="pct"/>
            <w:vMerge w:val="continue"/>
            <w:vAlign w:val="center"/>
          </w:tcPr>
          <w:p w14:paraId="5AA73218">
            <w:pPr>
              <w:widowControl/>
              <w:jc w:val="left"/>
              <w:rPr>
                <w:rFonts w:ascii="Times New Roman" w:hAnsi="Times New Roman" w:eastAsia="等线" w:cs="Times New Roman"/>
                <w:color w:val="000000"/>
                <w:kern w:val="0"/>
                <w:szCs w:val="21"/>
              </w:rPr>
            </w:pPr>
          </w:p>
        </w:tc>
      </w:tr>
      <w:tr w14:paraId="60548CB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1" w:hRule="atLeast"/>
        </w:trPr>
        <w:tc>
          <w:tcPr>
            <w:tcW w:w="1292" w:type="pct"/>
            <w:vMerge w:val="continue"/>
            <w:vAlign w:val="center"/>
          </w:tcPr>
          <w:p w14:paraId="4F5147ED">
            <w:pPr>
              <w:widowControl/>
              <w:jc w:val="left"/>
              <w:rPr>
                <w:rFonts w:ascii="Times New Roman" w:hAnsi="Times New Roman" w:eastAsia="等线" w:cs="Times New Roman"/>
                <w:color w:val="000000"/>
                <w:kern w:val="0"/>
                <w:szCs w:val="21"/>
              </w:rPr>
            </w:pPr>
          </w:p>
        </w:tc>
        <w:tc>
          <w:tcPr>
            <w:tcW w:w="927" w:type="pct"/>
            <w:noWrap/>
            <w:vAlign w:val="center"/>
          </w:tcPr>
          <w:p w14:paraId="7C4135F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H43</w:t>
            </w:r>
          </w:p>
        </w:tc>
        <w:tc>
          <w:tcPr>
            <w:tcW w:w="927" w:type="pct"/>
            <w:noWrap/>
            <w:vAlign w:val="center"/>
          </w:tcPr>
          <w:p w14:paraId="6CC07A5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0.0772 </w:t>
            </w:r>
          </w:p>
        </w:tc>
        <w:tc>
          <w:tcPr>
            <w:tcW w:w="927" w:type="pct"/>
            <w:noWrap/>
            <w:vAlign w:val="center"/>
          </w:tcPr>
          <w:p w14:paraId="2F22DA4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 </w:t>
            </w:r>
          </w:p>
        </w:tc>
        <w:tc>
          <w:tcPr>
            <w:tcW w:w="926" w:type="pct"/>
            <w:vMerge w:val="continue"/>
            <w:vAlign w:val="center"/>
          </w:tcPr>
          <w:p w14:paraId="671D0BA4">
            <w:pPr>
              <w:widowControl/>
              <w:jc w:val="left"/>
              <w:rPr>
                <w:rFonts w:ascii="Times New Roman" w:hAnsi="Times New Roman" w:eastAsia="等线" w:cs="Times New Roman"/>
                <w:color w:val="000000"/>
                <w:kern w:val="0"/>
                <w:szCs w:val="21"/>
              </w:rPr>
            </w:pPr>
          </w:p>
        </w:tc>
      </w:tr>
    </w:tbl>
    <w:p w14:paraId="26A6FECE">
      <w:pPr>
        <w:widowControl/>
        <w:adjustRightInd w:val="0"/>
        <w:snapToGrid w:val="0"/>
        <w:spacing w:line="360" w:lineRule="auto"/>
        <w:rPr>
          <w:rFonts w:ascii="Times New Roman" w:hAnsi="Times New Roman" w:cs="Times New Roman"/>
          <w:szCs w:val="21"/>
        </w:rPr>
      </w:pP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044"/>
        <w:gridCol w:w="1684"/>
        <w:gridCol w:w="2028"/>
        <w:gridCol w:w="1574"/>
        <w:gridCol w:w="1534"/>
      </w:tblGrid>
      <w:tr w14:paraId="0982893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Align w:val="center"/>
          </w:tcPr>
          <w:p w14:paraId="6F89F2C2">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Molecule</w:t>
            </w:r>
          </w:p>
        </w:tc>
        <w:tc>
          <w:tcPr>
            <w:tcW w:w="950" w:type="pct"/>
            <w:vAlign w:val="center"/>
          </w:tcPr>
          <w:p w14:paraId="1A32F916">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Atom</w:t>
            </w:r>
          </w:p>
        </w:tc>
        <w:tc>
          <w:tcPr>
            <w:tcW w:w="1144" w:type="pct"/>
            <w:vAlign w:val="center"/>
          </w:tcPr>
          <w:p w14:paraId="308A772B">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q</w:t>
            </w:r>
            <w:r>
              <w:rPr>
                <w:rFonts w:ascii="Times New Roman" w:hAnsi="Times New Roman" w:eastAsia="等线" w:cs="Times New Roman"/>
                <w:b/>
                <w:bCs/>
                <w:color w:val="000000"/>
                <w:kern w:val="0"/>
                <w:szCs w:val="21"/>
              </w:rPr>
              <w:t>’ (</w:t>
            </w:r>
            <w:r>
              <w:rPr>
                <w:rFonts w:ascii="Times New Roman" w:hAnsi="Times New Roman" w:eastAsia="等线" w:cs="Times New Roman"/>
                <w:b/>
                <w:bCs/>
                <w:i/>
                <w:iCs/>
                <w:color w:val="000000"/>
                <w:kern w:val="0"/>
                <w:szCs w:val="21"/>
              </w:rPr>
              <w:t>e</w:t>
            </w:r>
            <w:r>
              <w:rPr>
                <w:rFonts w:ascii="Times New Roman" w:hAnsi="Times New Roman" w:eastAsia="等线" w:cs="Times New Roman"/>
                <w:b/>
                <w:bCs/>
                <w:color w:val="000000"/>
                <w:kern w:val="0"/>
                <w:szCs w:val="21"/>
              </w:rPr>
              <w:t>)</w:t>
            </w:r>
          </w:p>
        </w:tc>
        <w:tc>
          <w:tcPr>
            <w:tcW w:w="888" w:type="pct"/>
            <w:noWrap/>
            <w:vAlign w:val="center"/>
          </w:tcPr>
          <w:p w14:paraId="4B0A6C9C">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i/>
                <w:iCs/>
                <w:color w:val="000000"/>
                <w:kern w:val="0"/>
                <w:szCs w:val="21"/>
              </w:rPr>
              <w:t>N</w:t>
            </w:r>
            <w:r>
              <w:rPr>
                <w:rFonts w:ascii="Times New Roman" w:hAnsi="Times New Roman" w:eastAsia="等线" w:cs="Times New Roman"/>
                <w:b/>
                <w:bCs/>
                <w:color w:val="000000"/>
                <w:kern w:val="0"/>
                <w:szCs w:val="21"/>
                <w:vertAlign w:val="subscript"/>
              </w:rPr>
              <w:t>atoms</w:t>
            </w:r>
          </w:p>
        </w:tc>
        <w:tc>
          <w:tcPr>
            <w:tcW w:w="865" w:type="pct"/>
            <w:vAlign w:val="center"/>
          </w:tcPr>
          <w:p w14:paraId="69F57B27">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Q</w:t>
            </w:r>
            <w:r>
              <w:rPr>
                <w:rFonts w:ascii="Times New Roman" w:hAnsi="Times New Roman" w:eastAsia="等线" w:cs="Times New Roman"/>
                <w:b/>
                <w:bCs/>
                <w:color w:val="000000"/>
                <w:kern w:val="0"/>
                <w:szCs w:val="21"/>
              </w:rPr>
              <w:t xml:space="preserve"> (</w:t>
            </w:r>
            <w:r>
              <w:rPr>
                <w:rFonts w:ascii="Times New Roman" w:hAnsi="Times New Roman" w:eastAsia="等线" w:cs="Times New Roman"/>
                <w:b/>
                <w:bCs/>
                <w:i/>
                <w:iCs/>
                <w:color w:val="000000"/>
                <w:kern w:val="0"/>
                <w:szCs w:val="21"/>
              </w:rPr>
              <w:t>e</w:t>
            </w:r>
            <w:r>
              <w:rPr>
                <w:rFonts w:ascii="Times New Roman" w:hAnsi="Times New Roman" w:eastAsia="等线" w:cs="Times New Roman"/>
                <w:b/>
                <w:bCs/>
                <w:color w:val="000000"/>
                <w:kern w:val="0"/>
                <w:szCs w:val="21"/>
              </w:rPr>
              <w:t>)</w:t>
            </w:r>
          </w:p>
        </w:tc>
      </w:tr>
      <w:tr w14:paraId="3B89D4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restart"/>
            <w:noWrap/>
            <w:vAlign w:val="center"/>
          </w:tcPr>
          <w:p w14:paraId="6FD7F5F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DMC</w:t>
            </w:r>
          </w:p>
        </w:tc>
        <w:tc>
          <w:tcPr>
            <w:tcW w:w="950" w:type="pct"/>
            <w:noWrap/>
            <w:vAlign w:val="center"/>
          </w:tcPr>
          <w:p w14:paraId="4B0350B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H51</w:t>
            </w:r>
          </w:p>
        </w:tc>
        <w:tc>
          <w:tcPr>
            <w:tcW w:w="1144" w:type="pct"/>
            <w:noWrap/>
            <w:vAlign w:val="center"/>
          </w:tcPr>
          <w:p w14:paraId="593CEDA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0.0660 </w:t>
            </w:r>
          </w:p>
        </w:tc>
        <w:tc>
          <w:tcPr>
            <w:tcW w:w="888" w:type="pct"/>
            <w:noWrap/>
            <w:vAlign w:val="center"/>
          </w:tcPr>
          <w:p w14:paraId="1176D43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 </w:t>
            </w:r>
          </w:p>
        </w:tc>
        <w:tc>
          <w:tcPr>
            <w:tcW w:w="865" w:type="pct"/>
            <w:vMerge w:val="restart"/>
            <w:noWrap/>
            <w:vAlign w:val="center"/>
          </w:tcPr>
          <w:p w14:paraId="16B8686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3B349B0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31B52B04">
            <w:pPr>
              <w:widowControl/>
              <w:jc w:val="left"/>
              <w:rPr>
                <w:rFonts w:ascii="Times New Roman" w:hAnsi="Times New Roman" w:eastAsia="等线" w:cs="Times New Roman"/>
                <w:color w:val="000000"/>
                <w:kern w:val="0"/>
                <w:szCs w:val="21"/>
              </w:rPr>
            </w:pPr>
          </w:p>
        </w:tc>
        <w:tc>
          <w:tcPr>
            <w:tcW w:w="950" w:type="pct"/>
            <w:noWrap/>
            <w:vAlign w:val="center"/>
          </w:tcPr>
          <w:p w14:paraId="0E4005E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C51</w:t>
            </w:r>
          </w:p>
        </w:tc>
        <w:tc>
          <w:tcPr>
            <w:tcW w:w="1144" w:type="pct"/>
            <w:noWrap/>
            <w:vAlign w:val="center"/>
          </w:tcPr>
          <w:p w14:paraId="49304E4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0.0635 </w:t>
            </w:r>
          </w:p>
        </w:tc>
        <w:tc>
          <w:tcPr>
            <w:tcW w:w="888" w:type="pct"/>
            <w:noWrap/>
            <w:vAlign w:val="center"/>
          </w:tcPr>
          <w:p w14:paraId="5D3708C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continue"/>
            <w:vAlign w:val="center"/>
          </w:tcPr>
          <w:p w14:paraId="23597D9C">
            <w:pPr>
              <w:widowControl/>
              <w:jc w:val="left"/>
              <w:rPr>
                <w:rFonts w:ascii="Times New Roman" w:hAnsi="Times New Roman" w:eastAsia="等线" w:cs="Times New Roman"/>
                <w:color w:val="000000"/>
                <w:kern w:val="0"/>
                <w:szCs w:val="21"/>
              </w:rPr>
            </w:pPr>
          </w:p>
        </w:tc>
      </w:tr>
      <w:tr w14:paraId="3BB79E9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6C2CD8E0">
            <w:pPr>
              <w:widowControl/>
              <w:jc w:val="left"/>
              <w:rPr>
                <w:rFonts w:ascii="Times New Roman" w:hAnsi="Times New Roman" w:eastAsia="等线" w:cs="Times New Roman"/>
                <w:color w:val="000000"/>
                <w:kern w:val="0"/>
                <w:szCs w:val="21"/>
              </w:rPr>
            </w:pPr>
          </w:p>
        </w:tc>
        <w:tc>
          <w:tcPr>
            <w:tcW w:w="950" w:type="pct"/>
            <w:noWrap/>
            <w:vAlign w:val="center"/>
          </w:tcPr>
          <w:p w14:paraId="0F88E81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O51</w:t>
            </w:r>
          </w:p>
        </w:tc>
        <w:tc>
          <w:tcPr>
            <w:tcW w:w="1144" w:type="pct"/>
            <w:noWrap/>
            <w:vAlign w:val="center"/>
          </w:tcPr>
          <w:p w14:paraId="123C5E4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-0.4672 </w:t>
            </w:r>
          </w:p>
        </w:tc>
        <w:tc>
          <w:tcPr>
            <w:tcW w:w="888" w:type="pct"/>
            <w:noWrap/>
            <w:vAlign w:val="center"/>
          </w:tcPr>
          <w:p w14:paraId="30F870F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continue"/>
            <w:vAlign w:val="center"/>
          </w:tcPr>
          <w:p w14:paraId="461200DB">
            <w:pPr>
              <w:widowControl/>
              <w:jc w:val="left"/>
              <w:rPr>
                <w:rFonts w:ascii="Times New Roman" w:hAnsi="Times New Roman" w:eastAsia="等线" w:cs="Times New Roman"/>
                <w:color w:val="000000"/>
                <w:kern w:val="0"/>
                <w:szCs w:val="21"/>
              </w:rPr>
            </w:pPr>
          </w:p>
        </w:tc>
      </w:tr>
      <w:tr w14:paraId="59274AC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0E4BAFD8">
            <w:pPr>
              <w:widowControl/>
              <w:jc w:val="left"/>
              <w:rPr>
                <w:rFonts w:ascii="Times New Roman" w:hAnsi="Times New Roman" w:eastAsia="等线" w:cs="Times New Roman"/>
                <w:color w:val="000000"/>
                <w:kern w:val="0"/>
                <w:szCs w:val="21"/>
              </w:rPr>
            </w:pPr>
          </w:p>
        </w:tc>
        <w:tc>
          <w:tcPr>
            <w:tcW w:w="950" w:type="pct"/>
            <w:noWrap/>
            <w:vAlign w:val="center"/>
          </w:tcPr>
          <w:p w14:paraId="08A5B2A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C52</w:t>
            </w:r>
          </w:p>
        </w:tc>
        <w:tc>
          <w:tcPr>
            <w:tcW w:w="1144" w:type="pct"/>
            <w:noWrap/>
            <w:vAlign w:val="center"/>
          </w:tcPr>
          <w:p w14:paraId="57C3B1E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1.0706 </w:t>
            </w:r>
          </w:p>
        </w:tc>
        <w:tc>
          <w:tcPr>
            <w:tcW w:w="888" w:type="pct"/>
            <w:noWrap/>
            <w:vAlign w:val="center"/>
          </w:tcPr>
          <w:p w14:paraId="098D6AE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continue"/>
            <w:vAlign w:val="center"/>
          </w:tcPr>
          <w:p w14:paraId="1149D970">
            <w:pPr>
              <w:widowControl/>
              <w:jc w:val="left"/>
              <w:rPr>
                <w:rFonts w:ascii="Times New Roman" w:hAnsi="Times New Roman" w:eastAsia="等线" w:cs="Times New Roman"/>
                <w:color w:val="000000"/>
                <w:kern w:val="0"/>
                <w:szCs w:val="21"/>
              </w:rPr>
            </w:pPr>
          </w:p>
        </w:tc>
      </w:tr>
      <w:tr w14:paraId="178A483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536D34EC">
            <w:pPr>
              <w:widowControl/>
              <w:jc w:val="left"/>
              <w:rPr>
                <w:rFonts w:ascii="Times New Roman" w:hAnsi="Times New Roman" w:eastAsia="等线" w:cs="Times New Roman"/>
                <w:color w:val="000000"/>
                <w:kern w:val="0"/>
                <w:szCs w:val="21"/>
              </w:rPr>
            </w:pPr>
          </w:p>
        </w:tc>
        <w:tc>
          <w:tcPr>
            <w:tcW w:w="950" w:type="pct"/>
            <w:noWrap/>
            <w:vAlign w:val="center"/>
          </w:tcPr>
          <w:p w14:paraId="1F94202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O52</w:t>
            </w:r>
          </w:p>
        </w:tc>
        <w:tc>
          <w:tcPr>
            <w:tcW w:w="1144" w:type="pct"/>
            <w:noWrap/>
            <w:vAlign w:val="center"/>
          </w:tcPr>
          <w:p w14:paraId="10A2003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-0.6592 </w:t>
            </w:r>
          </w:p>
        </w:tc>
        <w:tc>
          <w:tcPr>
            <w:tcW w:w="888" w:type="pct"/>
            <w:noWrap/>
            <w:vAlign w:val="center"/>
          </w:tcPr>
          <w:p w14:paraId="31EDF5A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continue"/>
            <w:vAlign w:val="center"/>
          </w:tcPr>
          <w:p w14:paraId="10F4B9D8">
            <w:pPr>
              <w:widowControl/>
              <w:jc w:val="left"/>
              <w:rPr>
                <w:rFonts w:ascii="Times New Roman" w:hAnsi="Times New Roman" w:eastAsia="等线" w:cs="Times New Roman"/>
                <w:color w:val="000000"/>
                <w:kern w:val="0"/>
                <w:szCs w:val="21"/>
              </w:rPr>
            </w:pPr>
          </w:p>
        </w:tc>
      </w:tr>
      <w:tr w14:paraId="3213589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restart"/>
            <w:noWrap/>
            <w:vAlign w:val="center"/>
          </w:tcPr>
          <w:p w14:paraId="2F01616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PSF</w:t>
            </w:r>
          </w:p>
        </w:tc>
        <w:tc>
          <w:tcPr>
            <w:tcW w:w="950" w:type="pct"/>
            <w:noWrap/>
            <w:vAlign w:val="center"/>
          </w:tcPr>
          <w:p w14:paraId="6301F30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H61</w:t>
            </w:r>
          </w:p>
        </w:tc>
        <w:tc>
          <w:tcPr>
            <w:tcW w:w="1144" w:type="pct"/>
            <w:noWrap/>
            <w:vAlign w:val="center"/>
          </w:tcPr>
          <w:p w14:paraId="5CD501C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0.0641 </w:t>
            </w:r>
          </w:p>
        </w:tc>
        <w:tc>
          <w:tcPr>
            <w:tcW w:w="888" w:type="pct"/>
            <w:noWrap/>
            <w:vAlign w:val="center"/>
          </w:tcPr>
          <w:p w14:paraId="72B1E58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 </w:t>
            </w:r>
          </w:p>
        </w:tc>
        <w:tc>
          <w:tcPr>
            <w:tcW w:w="865" w:type="pct"/>
            <w:vMerge w:val="restart"/>
            <w:noWrap/>
            <w:vAlign w:val="center"/>
          </w:tcPr>
          <w:p w14:paraId="2DBFCC7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593F90F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2B3A08D3">
            <w:pPr>
              <w:widowControl/>
              <w:jc w:val="left"/>
              <w:rPr>
                <w:rFonts w:ascii="Times New Roman" w:hAnsi="Times New Roman" w:eastAsia="等线" w:cs="Times New Roman"/>
                <w:color w:val="000000"/>
                <w:kern w:val="0"/>
                <w:szCs w:val="21"/>
              </w:rPr>
            </w:pPr>
          </w:p>
        </w:tc>
        <w:tc>
          <w:tcPr>
            <w:tcW w:w="950" w:type="pct"/>
            <w:noWrap/>
            <w:vAlign w:val="center"/>
          </w:tcPr>
          <w:p w14:paraId="6C713F1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C61</w:t>
            </w:r>
          </w:p>
        </w:tc>
        <w:tc>
          <w:tcPr>
            <w:tcW w:w="1144" w:type="pct"/>
            <w:noWrap/>
            <w:vAlign w:val="center"/>
          </w:tcPr>
          <w:p w14:paraId="4F8D8D2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0.0335 </w:t>
            </w:r>
          </w:p>
        </w:tc>
        <w:tc>
          <w:tcPr>
            <w:tcW w:w="888" w:type="pct"/>
            <w:noWrap/>
            <w:vAlign w:val="center"/>
          </w:tcPr>
          <w:p w14:paraId="046BDA9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continue"/>
            <w:vAlign w:val="center"/>
          </w:tcPr>
          <w:p w14:paraId="38ACD3A1">
            <w:pPr>
              <w:widowControl/>
              <w:jc w:val="left"/>
              <w:rPr>
                <w:rFonts w:ascii="Times New Roman" w:hAnsi="Times New Roman" w:eastAsia="等线" w:cs="Times New Roman"/>
                <w:color w:val="000000"/>
                <w:kern w:val="0"/>
                <w:szCs w:val="21"/>
              </w:rPr>
            </w:pPr>
          </w:p>
        </w:tc>
      </w:tr>
      <w:tr w14:paraId="78A921D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76AA4161">
            <w:pPr>
              <w:widowControl/>
              <w:jc w:val="left"/>
              <w:rPr>
                <w:rFonts w:ascii="Times New Roman" w:hAnsi="Times New Roman" w:eastAsia="等线" w:cs="Times New Roman"/>
                <w:color w:val="000000"/>
                <w:kern w:val="0"/>
                <w:szCs w:val="21"/>
              </w:rPr>
            </w:pPr>
          </w:p>
        </w:tc>
        <w:tc>
          <w:tcPr>
            <w:tcW w:w="950" w:type="pct"/>
            <w:noWrap/>
            <w:vAlign w:val="center"/>
          </w:tcPr>
          <w:p w14:paraId="7C9B0FA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N61</w:t>
            </w:r>
          </w:p>
        </w:tc>
        <w:tc>
          <w:tcPr>
            <w:tcW w:w="1144" w:type="pct"/>
            <w:noWrap/>
            <w:vAlign w:val="center"/>
          </w:tcPr>
          <w:p w14:paraId="63B4B61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-0.2283 </w:t>
            </w:r>
          </w:p>
        </w:tc>
        <w:tc>
          <w:tcPr>
            <w:tcW w:w="888" w:type="pct"/>
            <w:noWrap/>
            <w:vAlign w:val="center"/>
          </w:tcPr>
          <w:p w14:paraId="26BB49C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continue"/>
            <w:vAlign w:val="center"/>
          </w:tcPr>
          <w:p w14:paraId="7A0A4FED">
            <w:pPr>
              <w:widowControl/>
              <w:jc w:val="left"/>
              <w:rPr>
                <w:rFonts w:ascii="Times New Roman" w:hAnsi="Times New Roman" w:eastAsia="等线" w:cs="Times New Roman"/>
                <w:color w:val="000000"/>
                <w:kern w:val="0"/>
                <w:szCs w:val="21"/>
              </w:rPr>
            </w:pPr>
          </w:p>
        </w:tc>
      </w:tr>
      <w:tr w14:paraId="56216CD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0B853BB6">
            <w:pPr>
              <w:widowControl/>
              <w:jc w:val="left"/>
              <w:rPr>
                <w:rFonts w:ascii="Times New Roman" w:hAnsi="Times New Roman" w:eastAsia="等线" w:cs="Times New Roman"/>
                <w:color w:val="000000"/>
                <w:kern w:val="0"/>
                <w:szCs w:val="21"/>
              </w:rPr>
            </w:pPr>
          </w:p>
        </w:tc>
        <w:tc>
          <w:tcPr>
            <w:tcW w:w="950" w:type="pct"/>
            <w:noWrap/>
            <w:vAlign w:val="center"/>
          </w:tcPr>
          <w:p w14:paraId="1150648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C62</w:t>
            </w:r>
          </w:p>
        </w:tc>
        <w:tc>
          <w:tcPr>
            <w:tcW w:w="1144" w:type="pct"/>
            <w:noWrap/>
            <w:vAlign w:val="center"/>
          </w:tcPr>
          <w:p w14:paraId="542E27E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-0.0182 </w:t>
            </w:r>
          </w:p>
        </w:tc>
        <w:tc>
          <w:tcPr>
            <w:tcW w:w="888" w:type="pct"/>
            <w:noWrap/>
            <w:vAlign w:val="center"/>
          </w:tcPr>
          <w:p w14:paraId="09BC8E2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continue"/>
            <w:vAlign w:val="center"/>
          </w:tcPr>
          <w:p w14:paraId="21A51B9F">
            <w:pPr>
              <w:widowControl/>
              <w:jc w:val="left"/>
              <w:rPr>
                <w:rFonts w:ascii="Times New Roman" w:hAnsi="Times New Roman" w:eastAsia="等线" w:cs="Times New Roman"/>
                <w:color w:val="000000"/>
                <w:kern w:val="0"/>
                <w:szCs w:val="21"/>
              </w:rPr>
            </w:pPr>
          </w:p>
        </w:tc>
      </w:tr>
      <w:tr w14:paraId="4751B2D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5B5A4CC6">
            <w:pPr>
              <w:widowControl/>
              <w:jc w:val="left"/>
              <w:rPr>
                <w:rFonts w:ascii="Times New Roman" w:hAnsi="Times New Roman" w:eastAsia="等线" w:cs="Times New Roman"/>
                <w:color w:val="000000"/>
                <w:kern w:val="0"/>
                <w:szCs w:val="21"/>
              </w:rPr>
            </w:pPr>
          </w:p>
        </w:tc>
        <w:tc>
          <w:tcPr>
            <w:tcW w:w="950" w:type="pct"/>
            <w:noWrap/>
            <w:vAlign w:val="center"/>
          </w:tcPr>
          <w:p w14:paraId="324036C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S61</w:t>
            </w:r>
          </w:p>
        </w:tc>
        <w:tc>
          <w:tcPr>
            <w:tcW w:w="1144" w:type="pct"/>
            <w:noWrap/>
            <w:vAlign w:val="center"/>
          </w:tcPr>
          <w:p w14:paraId="6481300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0.8988 </w:t>
            </w:r>
          </w:p>
        </w:tc>
        <w:tc>
          <w:tcPr>
            <w:tcW w:w="888" w:type="pct"/>
            <w:noWrap/>
            <w:vAlign w:val="center"/>
          </w:tcPr>
          <w:p w14:paraId="4B1C52E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continue"/>
            <w:vAlign w:val="center"/>
          </w:tcPr>
          <w:p w14:paraId="18A6853A">
            <w:pPr>
              <w:widowControl/>
              <w:jc w:val="left"/>
              <w:rPr>
                <w:rFonts w:ascii="Times New Roman" w:hAnsi="Times New Roman" w:eastAsia="等线" w:cs="Times New Roman"/>
                <w:color w:val="000000"/>
                <w:kern w:val="0"/>
                <w:szCs w:val="21"/>
              </w:rPr>
            </w:pPr>
          </w:p>
        </w:tc>
      </w:tr>
      <w:tr w14:paraId="19207D5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24471230">
            <w:pPr>
              <w:widowControl/>
              <w:jc w:val="left"/>
              <w:rPr>
                <w:rFonts w:ascii="Times New Roman" w:hAnsi="Times New Roman" w:eastAsia="等线" w:cs="Times New Roman"/>
                <w:color w:val="000000"/>
                <w:kern w:val="0"/>
                <w:szCs w:val="21"/>
              </w:rPr>
            </w:pPr>
          </w:p>
        </w:tc>
        <w:tc>
          <w:tcPr>
            <w:tcW w:w="950" w:type="pct"/>
            <w:noWrap/>
            <w:vAlign w:val="center"/>
          </w:tcPr>
          <w:p w14:paraId="55918FB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H62</w:t>
            </w:r>
          </w:p>
        </w:tc>
        <w:tc>
          <w:tcPr>
            <w:tcW w:w="1144" w:type="pct"/>
            <w:noWrap/>
            <w:vAlign w:val="center"/>
          </w:tcPr>
          <w:p w14:paraId="4C43E00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0.0417 </w:t>
            </w:r>
          </w:p>
        </w:tc>
        <w:tc>
          <w:tcPr>
            <w:tcW w:w="888" w:type="pct"/>
            <w:noWrap/>
            <w:vAlign w:val="center"/>
          </w:tcPr>
          <w:p w14:paraId="62F690B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 </w:t>
            </w:r>
          </w:p>
        </w:tc>
        <w:tc>
          <w:tcPr>
            <w:tcW w:w="865" w:type="pct"/>
            <w:vMerge w:val="continue"/>
            <w:vAlign w:val="center"/>
          </w:tcPr>
          <w:p w14:paraId="281A6EFC">
            <w:pPr>
              <w:widowControl/>
              <w:jc w:val="left"/>
              <w:rPr>
                <w:rFonts w:ascii="Times New Roman" w:hAnsi="Times New Roman" w:eastAsia="等线" w:cs="Times New Roman"/>
                <w:color w:val="000000"/>
                <w:kern w:val="0"/>
                <w:szCs w:val="21"/>
              </w:rPr>
            </w:pPr>
          </w:p>
        </w:tc>
      </w:tr>
      <w:tr w14:paraId="345C2F8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0E75F4A9">
            <w:pPr>
              <w:widowControl/>
              <w:jc w:val="left"/>
              <w:rPr>
                <w:rFonts w:ascii="Times New Roman" w:hAnsi="Times New Roman" w:eastAsia="等线" w:cs="Times New Roman"/>
                <w:color w:val="000000"/>
                <w:kern w:val="0"/>
                <w:szCs w:val="21"/>
              </w:rPr>
            </w:pPr>
          </w:p>
        </w:tc>
        <w:tc>
          <w:tcPr>
            <w:tcW w:w="950" w:type="pct"/>
            <w:noWrap/>
            <w:vAlign w:val="center"/>
          </w:tcPr>
          <w:p w14:paraId="5E37C0B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O61</w:t>
            </w:r>
          </w:p>
        </w:tc>
        <w:tc>
          <w:tcPr>
            <w:tcW w:w="1144" w:type="pct"/>
            <w:noWrap/>
            <w:vAlign w:val="center"/>
          </w:tcPr>
          <w:p w14:paraId="1BEA58E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-0.4563 </w:t>
            </w:r>
          </w:p>
        </w:tc>
        <w:tc>
          <w:tcPr>
            <w:tcW w:w="888" w:type="pct"/>
            <w:noWrap/>
            <w:vAlign w:val="center"/>
          </w:tcPr>
          <w:p w14:paraId="0862210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continue"/>
            <w:vAlign w:val="center"/>
          </w:tcPr>
          <w:p w14:paraId="379A452A">
            <w:pPr>
              <w:widowControl/>
              <w:jc w:val="left"/>
              <w:rPr>
                <w:rFonts w:ascii="Times New Roman" w:hAnsi="Times New Roman" w:eastAsia="等线" w:cs="Times New Roman"/>
                <w:color w:val="000000"/>
                <w:kern w:val="0"/>
                <w:szCs w:val="21"/>
              </w:rPr>
            </w:pPr>
          </w:p>
        </w:tc>
      </w:tr>
      <w:tr w14:paraId="6CA3931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4F973A22">
            <w:pPr>
              <w:widowControl/>
              <w:jc w:val="left"/>
              <w:rPr>
                <w:rFonts w:ascii="Times New Roman" w:hAnsi="Times New Roman" w:eastAsia="等线" w:cs="Times New Roman"/>
                <w:color w:val="000000"/>
                <w:kern w:val="0"/>
                <w:szCs w:val="21"/>
              </w:rPr>
            </w:pPr>
          </w:p>
        </w:tc>
        <w:tc>
          <w:tcPr>
            <w:tcW w:w="950" w:type="pct"/>
            <w:noWrap/>
            <w:vAlign w:val="center"/>
          </w:tcPr>
          <w:p w14:paraId="779E151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F61</w:t>
            </w:r>
          </w:p>
        </w:tc>
        <w:tc>
          <w:tcPr>
            <w:tcW w:w="1144" w:type="pct"/>
            <w:noWrap/>
            <w:vAlign w:val="center"/>
          </w:tcPr>
          <w:p w14:paraId="069D404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-0.2117 </w:t>
            </w:r>
          </w:p>
        </w:tc>
        <w:tc>
          <w:tcPr>
            <w:tcW w:w="888" w:type="pct"/>
            <w:noWrap/>
            <w:vAlign w:val="center"/>
          </w:tcPr>
          <w:p w14:paraId="59B67FA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continue"/>
            <w:vAlign w:val="center"/>
          </w:tcPr>
          <w:p w14:paraId="494B6662">
            <w:pPr>
              <w:widowControl/>
              <w:jc w:val="left"/>
              <w:rPr>
                <w:rFonts w:ascii="Times New Roman" w:hAnsi="Times New Roman" w:eastAsia="等线" w:cs="Times New Roman"/>
                <w:color w:val="000000"/>
                <w:kern w:val="0"/>
                <w:szCs w:val="21"/>
              </w:rPr>
            </w:pPr>
          </w:p>
        </w:tc>
      </w:tr>
      <w:tr w14:paraId="09DA195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restart"/>
            <w:noWrap/>
            <w:vAlign w:val="center"/>
          </w:tcPr>
          <w:p w14:paraId="5A4EE33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TPSF</w:t>
            </w:r>
          </w:p>
        </w:tc>
        <w:tc>
          <w:tcPr>
            <w:tcW w:w="950" w:type="pct"/>
            <w:noWrap/>
            <w:vAlign w:val="center"/>
          </w:tcPr>
          <w:p w14:paraId="1F6FE3F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C71</w:t>
            </w:r>
          </w:p>
        </w:tc>
        <w:tc>
          <w:tcPr>
            <w:tcW w:w="1144" w:type="pct"/>
            <w:noWrap/>
            <w:vAlign w:val="center"/>
          </w:tcPr>
          <w:p w14:paraId="22884D0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0.0072 </w:t>
            </w:r>
          </w:p>
        </w:tc>
        <w:tc>
          <w:tcPr>
            <w:tcW w:w="888" w:type="pct"/>
            <w:noWrap/>
            <w:vAlign w:val="center"/>
          </w:tcPr>
          <w:p w14:paraId="62009D8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restart"/>
            <w:noWrap/>
            <w:vAlign w:val="center"/>
          </w:tcPr>
          <w:p w14:paraId="4CA8FC0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04840BD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0F0A4B24">
            <w:pPr>
              <w:widowControl/>
              <w:jc w:val="left"/>
              <w:rPr>
                <w:rFonts w:ascii="Times New Roman" w:hAnsi="Times New Roman" w:eastAsia="等线" w:cs="Times New Roman"/>
                <w:color w:val="000000"/>
                <w:kern w:val="0"/>
                <w:szCs w:val="21"/>
              </w:rPr>
            </w:pPr>
          </w:p>
        </w:tc>
        <w:tc>
          <w:tcPr>
            <w:tcW w:w="950" w:type="pct"/>
            <w:noWrap/>
            <w:vAlign w:val="center"/>
          </w:tcPr>
          <w:p w14:paraId="18F14A3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C72</w:t>
            </w:r>
          </w:p>
        </w:tc>
        <w:tc>
          <w:tcPr>
            <w:tcW w:w="1144" w:type="pct"/>
            <w:noWrap/>
            <w:vAlign w:val="center"/>
          </w:tcPr>
          <w:p w14:paraId="7BB90B4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0.1634 </w:t>
            </w:r>
          </w:p>
        </w:tc>
        <w:tc>
          <w:tcPr>
            <w:tcW w:w="888" w:type="pct"/>
            <w:noWrap/>
            <w:vAlign w:val="center"/>
          </w:tcPr>
          <w:p w14:paraId="04F280D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continue"/>
            <w:vAlign w:val="center"/>
          </w:tcPr>
          <w:p w14:paraId="66451D5B">
            <w:pPr>
              <w:widowControl/>
              <w:jc w:val="left"/>
              <w:rPr>
                <w:rFonts w:ascii="Times New Roman" w:hAnsi="Times New Roman" w:eastAsia="等线" w:cs="Times New Roman"/>
                <w:color w:val="000000"/>
                <w:kern w:val="0"/>
                <w:szCs w:val="21"/>
              </w:rPr>
            </w:pPr>
          </w:p>
        </w:tc>
      </w:tr>
      <w:tr w14:paraId="3567C7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58C63002">
            <w:pPr>
              <w:widowControl/>
              <w:jc w:val="left"/>
              <w:rPr>
                <w:rFonts w:ascii="Times New Roman" w:hAnsi="Times New Roman" w:eastAsia="等线" w:cs="Times New Roman"/>
                <w:color w:val="000000"/>
                <w:kern w:val="0"/>
                <w:szCs w:val="21"/>
              </w:rPr>
            </w:pPr>
          </w:p>
        </w:tc>
        <w:tc>
          <w:tcPr>
            <w:tcW w:w="950" w:type="pct"/>
            <w:noWrap/>
            <w:vAlign w:val="center"/>
          </w:tcPr>
          <w:p w14:paraId="462CA9D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N71</w:t>
            </w:r>
          </w:p>
        </w:tc>
        <w:tc>
          <w:tcPr>
            <w:tcW w:w="1144" w:type="pct"/>
            <w:noWrap/>
            <w:vAlign w:val="center"/>
          </w:tcPr>
          <w:p w14:paraId="3A7BC91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-0.2636 </w:t>
            </w:r>
          </w:p>
        </w:tc>
        <w:tc>
          <w:tcPr>
            <w:tcW w:w="888" w:type="pct"/>
            <w:noWrap/>
            <w:vAlign w:val="center"/>
          </w:tcPr>
          <w:p w14:paraId="39DF1F9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continue"/>
            <w:vAlign w:val="center"/>
          </w:tcPr>
          <w:p w14:paraId="3FCCF88B">
            <w:pPr>
              <w:widowControl/>
              <w:jc w:val="left"/>
              <w:rPr>
                <w:rFonts w:ascii="Times New Roman" w:hAnsi="Times New Roman" w:eastAsia="等线" w:cs="Times New Roman"/>
                <w:color w:val="000000"/>
                <w:kern w:val="0"/>
                <w:szCs w:val="21"/>
              </w:rPr>
            </w:pPr>
          </w:p>
        </w:tc>
      </w:tr>
      <w:tr w14:paraId="5F7D09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696D0032">
            <w:pPr>
              <w:widowControl/>
              <w:jc w:val="left"/>
              <w:rPr>
                <w:rFonts w:ascii="Times New Roman" w:hAnsi="Times New Roman" w:eastAsia="等线" w:cs="Times New Roman"/>
                <w:color w:val="000000"/>
                <w:kern w:val="0"/>
                <w:szCs w:val="21"/>
              </w:rPr>
            </w:pPr>
          </w:p>
        </w:tc>
        <w:tc>
          <w:tcPr>
            <w:tcW w:w="950" w:type="pct"/>
            <w:noWrap/>
            <w:vAlign w:val="center"/>
          </w:tcPr>
          <w:p w14:paraId="15AD741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S71</w:t>
            </w:r>
          </w:p>
        </w:tc>
        <w:tc>
          <w:tcPr>
            <w:tcW w:w="1144" w:type="pct"/>
            <w:noWrap/>
            <w:vAlign w:val="center"/>
          </w:tcPr>
          <w:p w14:paraId="3A4BDF8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0.6803 </w:t>
            </w:r>
          </w:p>
        </w:tc>
        <w:tc>
          <w:tcPr>
            <w:tcW w:w="888" w:type="pct"/>
            <w:noWrap/>
            <w:vAlign w:val="center"/>
          </w:tcPr>
          <w:p w14:paraId="0BCB7FA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continue"/>
            <w:vAlign w:val="center"/>
          </w:tcPr>
          <w:p w14:paraId="18ED37A9">
            <w:pPr>
              <w:widowControl/>
              <w:jc w:val="left"/>
              <w:rPr>
                <w:rFonts w:ascii="Times New Roman" w:hAnsi="Times New Roman" w:eastAsia="等线" w:cs="Times New Roman"/>
                <w:color w:val="000000"/>
                <w:kern w:val="0"/>
                <w:szCs w:val="21"/>
              </w:rPr>
            </w:pPr>
          </w:p>
        </w:tc>
      </w:tr>
      <w:tr w14:paraId="1D5B21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5AF12BD8">
            <w:pPr>
              <w:widowControl/>
              <w:jc w:val="left"/>
              <w:rPr>
                <w:rFonts w:ascii="Times New Roman" w:hAnsi="Times New Roman" w:eastAsia="等线" w:cs="Times New Roman"/>
                <w:color w:val="000000"/>
                <w:kern w:val="0"/>
                <w:szCs w:val="21"/>
              </w:rPr>
            </w:pPr>
          </w:p>
        </w:tc>
        <w:tc>
          <w:tcPr>
            <w:tcW w:w="950" w:type="pct"/>
            <w:noWrap/>
            <w:vAlign w:val="center"/>
          </w:tcPr>
          <w:p w14:paraId="712BEA4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O71</w:t>
            </w:r>
          </w:p>
        </w:tc>
        <w:tc>
          <w:tcPr>
            <w:tcW w:w="1144" w:type="pct"/>
            <w:noWrap/>
            <w:vAlign w:val="center"/>
          </w:tcPr>
          <w:p w14:paraId="3CC702A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-0.4276 </w:t>
            </w:r>
          </w:p>
        </w:tc>
        <w:tc>
          <w:tcPr>
            <w:tcW w:w="888" w:type="pct"/>
            <w:noWrap/>
            <w:vAlign w:val="center"/>
          </w:tcPr>
          <w:p w14:paraId="39BD935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continue"/>
            <w:vAlign w:val="center"/>
          </w:tcPr>
          <w:p w14:paraId="38C94B50">
            <w:pPr>
              <w:widowControl/>
              <w:jc w:val="left"/>
              <w:rPr>
                <w:rFonts w:ascii="Times New Roman" w:hAnsi="Times New Roman" w:eastAsia="等线" w:cs="Times New Roman"/>
                <w:color w:val="000000"/>
                <w:kern w:val="0"/>
                <w:szCs w:val="21"/>
              </w:rPr>
            </w:pPr>
          </w:p>
        </w:tc>
      </w:tr>
      <w:tr w14:paraId="0B0553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4C1EBCAC">
            <w:pPr>
              <w:widowControl/>
              <w:jc w:val="left"/>
              <w:rPr>
                <w:rFonts w:ascii="Times New Roman" w:hAnsi="Times New Roman" w:eastAsia="等线" w:cs="Times New Roman"/>
                <w:color w:val="000000"/>
                <w:kern w:val="0"/>
                <w:szCs w:val="21"/>
              </w:rPr>
            </w:pPr>
          </w:p>
        </w:tc>
        <w:tc>
          <w:tcPr>
            <w:tcW w:w="950" w:type="pct"/>
            <w:noWrap/>
            <w:vAlign w:val="center"/>
          </w:tcPr>
          <w:p w14:paraId="5238FD6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C73</w:t>
            </w:r>
          </w:p>
        </w:tc>
        <w:tc>
          <w:tcPr>
            <w:tcW w:w="1144" w:type="pct"/>
            <w:noWrap/>
            <w:vAlign w:val="center"/>
          </w:tcPr>
          <w:p w14:paraId="6F5E605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0.2983 </w:t>
            </w:r>
          </w:p>
        </w:tc>
        <w:tc>
          <w:tcPr>
            <w:tcW w:w="888" w:type="pct"/>
            <w:noWrap/>
            <w:vAlign w:val="center"/>
          </w:tcPr>
          <w:p w14:paraId="12A2B01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continue"/>
            <w:vAlign w:val="center"/>
          </w:tcPr>
          <w:p w14:paraId="064B1F88">
            <w:pPr>
              <w:widowControl/>
              <w:jc w:val="left"/>
              <w:rPr>
                <w:rFonts w:ascii="Times New Roman" w:hAnsi="Times New Roman" w:eastAsia="等线" w:cs="Times New Roman"/>
                <w:color w:val="000000"/>
                <w:kern w:val="0"/>
                <w:szCs w:val="21"/>
              </w:rPr>
            </w:pPr>
          </w:p>
        </w:tc>
      </w:tr>
      <w:tr w14:paraId="7B89DB5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665FB267">
            <w:pPr>
              <w:widowControl/>
              <w:jc w:val="left"/>
              <w:rPr>
                <w:rFonts w:ascii="Times New Roman" w:hAnsi="Times New Roman" w:eastAsia="等线" w:cs="Times New Roman"/>
                <w:color w:val="000000"/>
                <w:kern w:val="0"/>
                <w:szCs w:val="21"/>
              </w:rPr>
            </w:pPr>
          </w:p>
        </w:tc>
        <w:tc>
          <w:tcPr>
            <w:tcW w:w="950" w:type="pct"/>
            <w:noWrap/>
            <w:vAlign w:val="center"/>
          </w:tcPr>
          <w:p w14:paraId="004BFFC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F71</w:t>
            </w:r>
          </w:p>
        </w:tc>
        <w:tc>
          <w:tcPr>
            <w:tcW w:w="1144" w:type="pct"/>
            <w:noWrap/>
            <w:vAlign w:val="center"/>
          </w:tcPr>
          <w:p w14:paraId="7EA0070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-0.1110 </w:t>
            </w:r>
          </w:p>
        </w:tc>
        <w:tc>
          <w:tcPr>
            <w:tcW w:w="888" w:type="pct"/>
            <w:noWrap/>
            <w:vAlign w:val="center"/>
          </w:tcPr>
          <w:p w14:paraId="5C3B596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 </w:t>
            </w:r>
          </w:p>
        </w:tc>
        <w:tc>
          <w:tcPr>
            <w:tcW w:w="865" w:type="pct"/>
            <w:vMerge w:val="continue"/>
            <w:vAlign w:val="center"/>
          </w:tcPr>
          <w:p w14:paraId="6BE2EC23">
            <w:pPr>
              <w:widowControl/>
              <w:jc w:val="left"/>
              <w:rPr>
                <w:rFonts w:ascii="Times New Roman" w:hAnsi="Times New Roman" w:eastAsia="等线" w:cs="Times New Roman"/>
                <w:color w:val="000000"/>
                <w:kern w:val="0"/>
                <w:szCs w:val="21"/>
              </w:rPr>
            </w:pPr>
          </w:p>
        </w:tc>
      </w:tr>
      <w:tr w14:paraId="29DC25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72B1B1A3">
            <w:pPr>
              <w:widowControl/>
              <w:jc w:val="left"/>
              <w:rPr>
                <w:rFonts w:ascii="Times New Roman" w:hAnsi="Times New Roman" w:eastAsia="等线" w:cs="Times New Roman"/>
                <w:color w:val="000000"/>
                <w:kern w:val="0"/>
                <w:szCs w:val="21"/>
              </w:rPr>
            </w:pPr>
          </w:p>
        </w:tc>
        <w:tc>
          <w:tcPr>
            <w:tcW w:w="950" w:type="pct"/>
            <w:noWrap/>
            <w:vAlign w:val="center"/>
          </w:tcPr>
          <w:p w14:paraId="25F8AA3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H72</w:t>
            </w:r>
          </w:p>
        </w:tc>
        <w:tc>
          <w:tcPr>
            <w:tcW w:w="1144" w:type="pct"/>
            <w:noWrap/>
            <w:vAlign w:val="center"/>
          </w:tcPr>
          <w:p w14:paraId="4FA7888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0.0175 </w:t>
            </w:r>
          </w:p>
        </w:tc>
        <w:tc>
          <w:tcPr>
            <w:tcW w:w="888" w:type="pct"/>
            <w:noWrap/>
            <w:vAlign w:val="center"/>
          </w:tcPr>
          <w:p w14:paraId="692E715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 </w:t>
            </w:r>
          </w:p>
        </w:tc>
        <w:tc>
          <w:tcPr>
            <w:tcW w:w="865" w:type="pct"/>
            <w:vMerge w:val="continue"/>
            <w:vAlign w:val="center"/>
          </w:tcPr>
          <w:p w14:paraId="35C035C9">
            <w:pPr>
              <w:widowControl/>
              <w:jc w:val="left"/>
              <w:rPr>
                <w:rFonts w:ascii="Times New Roman" w:hAnsi="Times New Roman" w:eastAsia="等线" w:cs="Times New Roman"/>
                <w:color w:val="000000"/>
                <w:kern w:val="0"/>
                <w:szCs w:val="21"/>
              </w:rPr>
            </w:pPr>
          </w:p>
        </w:tc>
      </w:tr>
      <w:tr w14:paraId="4C44A54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7D9981A3">
            <w:pPr>
              <w:widowControl/>
              <w:jc w:val="left"/>
              <w:rPr>
                <w:rFonts w:ascii="Times New Roman" w:hAnsi="Times New Roman" w:eastAsia="等线" w:cs="Times New Roman"/>
                <w:color w:val="000000"/>
                <w:kern w:val="0"/>
                <w:szCs w:val="21"/>
              </w:rPr>
            </w:pPr>
          </w:p>
        </w:tc>
        <w:tc>
          <w:tcPr>
            <w:tcW w:w="950" w:type="pct"/>
            <w:noWrap/>
            <w:vAlign w:val="center"/>
          </w:tcPr>
          <w:p w14:paraId="050F4E3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H71</w:t>
            </w:r>
          </w:p>
        </w:tc>
        <w:tc>
          <w:tcPr>
            <w:tcW w:w="1144" w:type="pct"/>
            <w:noWrap/>
            <w:vAlign w:val="center"/>
          </w:tcPr>
          <w:p w14:paraId="3739561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0.0155 </w:t>
            </w:r>
          </w:p>
        </w:tc>
        <w:tc>
          <w:tcPr>
            <w:tcW w:w="888" w:type="pct"/>
            <w:noWrap/>
            <w:vAlign w:val="center"/>
          </w:tcPr>
          <w:p w14:paraId="2DA8D20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 </w:t>
            </w:r>
          </w:p>
        </w:tc>
        <w:tc>
          <w:tcPr>
            <w:tcW w:w="865" w:type="pct"/>
            <w:vMerge w:val="continue"/>
            <w:vAlign w:val="center"/>
          </w:tcPr>
          <w:p w14:paraId="408F15D0">
            <w:pPr>
              <w:widowControl/>
              <w:jc w:val="left"/>
              <w:rPr>
                <w:rFonts w:ascii="Times New Roman" w:hAnsi="Times New Roman" w:eastAsia="等线" w:cs="Times New Roman"/>
                <w:color w:val="000000"/>
                <w:kern w:val="0"/>
                <w:szCs w:val="21"/>
              </w:rPr>
            </w:pPr>
          </w:p>
        </w:tc>
      </w:tr>
      <w:tr w14:paraId="563DC44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restart"/>
            <w:noWrap/>
            <w:vAlign w:val="center"/>
          </w:tcPr>
          <w:p w14:paraId="0085710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DOL</w:t>
            </w:r>
          </w:p>
        </w:tc>
        <w:tc>
          <w:tcPr>
            <w:tcW w:w="950" w:type="pct"/>
            <w:noWrap/>
            <w:vAlign w:val="center"/>
          </w:tcPr>
          <w:p w14:paraId="1A4E0A6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C81</w:t>
            </w:r>
          </w:p>
        </w:tc>
        <w:tc>
          <w:tcPr>
            <w:tcW w:w="1144" w:type="pct"/>
            <w:noWrap/>
            <w:vAlign w:val="center"/>
          </w:tcPr>
          <w:p w14:paraId="3EF1409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0.4210 </w:t>
            </w:r>
          </w:p>
        </w:tc>
        <w:tc>
          <w:tcPr>
            <w:tcW w:w="888" w:type="pct"/>
            <w:noWrap/>
            <w:vAlign w:val="center"/>
          </w:tcPr>
          <w:p w14:paraId="484706C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restart"/>
            <w:noWrap/>
            <w:vAlign w:val="center"/>
          </w:tcPr>
          <w:p w14:paraId="67DAF6D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4A1EA83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1A9F5D31">
            <w:pPr>
              <w:widowControl/>
              <w:jc w:val="left"/>
              <w:rPr>
                <w:rFonts w:ascii="Times New Roman" w:hAnsi="Times New Roman" w:eastAsia="等线" w:cs="Times New Roman"/>
                <w:color w:val="000000"/>
                <w:kern w:val="0"/>
                <w:szCs w:val="21"/>
              </w:rPr>
            </w:pPr>
          </w:p>
        </w:tc>
        <w:tc>
          <w:tcPr>
            <w:tcW w:w="950" w:type="pct"/>
            <w:noWrap/>
            <w:vAlign w:val="center"/>
          </w:tcPr>
          <w:p w14:paraId="6EC6D74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H81</w:t>
            </w:r>
          </w:p>
        </w:tc>
        <w:tc>
          <w:tcPr>
            <w:tcW w:w="1144" w:type="pct"/>
            <w:noWrap/>
            <w:vAlign w:val="center"/>
          </w:tcPr>
          <w:p w14:paraId="5D3D744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0.0157 </w:t>
            </w:r>
          </w:p>
        </w:tc>
        <w:tc>
          <w:tcPr>
            <w:tcW w:w="888" w:type="pct"/>
            <w:noWrap/>
            <w:vAlign w:val="center"/>
          </w:tcPr>
          <w:p w14:paraId="19A32F6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continue"/>
            <w:vAlign w:val="center"/>
          </w:tcPr>
          <w:p w14:paraId="245E20D7">
            <w:pPr>
              <w:widowControl/>
              <w:jc w:val="left"/>
              <w:rPr>
                <w:rFonts w:ascii="Times New Roman" w:hAnsi="Times New Roman" w:eastAsia="等线" w:cs="Times New Roman"/>
                <w:color w:val="000000"/>
                <w:kern w:val="0"/>
                <w:szCs w:val="21"/>
              </w:rPr>
            </w:pPr>
          </w:p>
        </w:tc>
      </w:tr>
      <w:tr w14:paraId="239774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1527B367">
            <w:pPr>
              <w:widowControl/>
              <w:jc w:val="left"/>
              <w:rPr>
                <w:rFonts w:ascii="Times New Roman" w:hAnsi="Times New Roman" w:eastAsia="等线" w:cs="Times New Roman"/>
                <w:color w:val="000000"/>
                <w:kern w:val="0"/>
                <w:szCs w:val="21"/>
              </w:rPr>
            </w:pPr>
          </w:p>
        </w:tc>
        <w:tc>
          <w:tcPr>
            <w:tcW w:w="950" w:type="pct"/>
            <w:noWrap/>
            <w:vAlign w:val="center"/>
          </w:tcPr>
          <w:p w14:paraId="2F1A281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O81</w:t>
            </w:r>
          </w:p>
        </w:tc>
        <w:tc>
          <w:tcPr>
            <w:tcW w:w="1144" w:type="pct"/>
            <w:noWrap/>
            <w:vAlign w:val="center"/>
          </w:tcPr>
          <w:p w14:paraId="19810AF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-0.4618 </w:t>
            </w:r>
          </w:p>
        </w:tc>
        <w:tc>
          <w:tcPr>
            <w:tcW w:w="888" w:type="pct"/>
            <w:noWrap/>
            <w:vAlign w:val="center"/>
          </w:tcPr>
          <w:p w14:paraId="068E954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continue"/>
            <w:vAlign w:val="center"/>
          </w:tcPr>
          <w:p w14:paraId="27027035">
            <w:pPr>
              <w:widowControl/>
              <w:jc w:val="left"/>
              <w:rPr>
                <w:rFonts w:ascii="Times New Roman" w:hAnsi="Times New Roman" w:eastAsia="等线" w:cs="Times New Roman"/>
                <w:color w:val="000000"/>
                <w:kern w:val="0"/>
                <w:szCs w:val="21"/>
              </w:rPr>
            </w:pPr>
          </w:p>
        </w:tc>
      </w:tr>
      <w:tr w14:paraId="6A4A809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0468A442">
            <w:pPr>
              <w:widowControl/>
              <w:jc w:val="left"/>
              <w:rPr>
                <w:rFonts w:ascii="Times New Roman" w:hAnsi="Times New Roman" w:eastAsia="等线" w:cs="Times New Roman"/>
                <w:color w:val="000000"/>
                <w:kern w:val="0"/>
                <w:szCs w:val="21"/>
              </w:rPr>
            </w:pPr>
          </w:p>
        </w:tc>
        <w:tc>
          <w:tcPr>
            <w:tcW w:w="950" w:type="pct"/>
            <w:noWrap/>
            <w:vAlign w:val="center"/>
          </w:tcPr>
          <w:p w14:paraId="3D722BE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C82</w:t>
            </w:r>
          </w:p>
        </w:tc>
        <w:tc>
          <w:tcPr>
            <w:tcW w:w="1144" w:type="pct"/>
            <w:noWrap/>
            <w:vAlign w:val="center"/>
          </w:tcPr>
          <w:p w14:paraId="600B120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0.1444 </w:t>
            </w:r>
          </w:p>
        </w:tc>
        <w:tc>
          <w:tcPr>
            <w:tcW w:w="888" w:type="pct"/>
            <w:noWrap/>
            <w:vAlign w:val="center"/>
          </w:tcPr>
          <w:p w14:paraId="23BFCA4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865" w:type="pct"/>
            <w:vMerge w:val="continue"/>
            <w:vAlign w:val="center"/>
          </w:tcPr>
          <w:p w14:paraId="0FC09616">
            <w:pPr>
              <w:widowControl/>
              <w:jc w:val="left"/>
              <w:rPr>
                <w:rFonts w:ascii="Times New Roman" w:hAnsi="Times New Roman" w:eastAsia="等线" w:cs="Times New Roman"/>
                <w:color w:val="000000"/>
                <w:kern w:val="0"/>
                <w:szCs w:val="21"/>
              </w:rPr>
            </w:pPr>
          </w:p>
        </w:tc>
      </w:tr>
      <w:tr w14:paraId="13CA4F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4734F0D5">
            <w:pPr>
              <w:widowControl/>
              <w:jc w:val="left"/>
              <w:rPr>
                <w:rFonts w:ascii="Times New Roman" w:hAnsi="Times New Roman" w:eastAsia="等线" w:cs="Times New Roman"/>
                <w:color w:val="000000"/>
                <w:kern w:val="0"/>
                <w:szCs w:val="21"/>
              </w:rPr>
            </w:pPr>
          </w:p>
        </w:tc>
        <w:tc>
          <w:tcPr>
            <w:tcW w:w="950" w:type="pct"/>
            <w:noWrap/>
            <w:vAlign w:val="center"/>
          </w:tcPr>
          <w:p w14:paraId="5508078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H82</w:t>
            </w:r>
          </w:p>
        </w:tc>
        <w:tc>
          <w:tcPr>
            <w:tcW w:w="1144" w:type="pct"/>
            <w:noWrap/>
            <w:vAlign w:val="center"/>
          </w:tcPr>
          <w:p w14:paraId="3014977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0.0456 </w:t>
            </w:r>
          </w:p>
        </w:tc>
        <w:tc>
          <w:tcPr>
            <w:tcW w:w="888" w:type="pct"/>
            <w:noWrap/>
            <w:vAlign w:val="center"/>
          </w:tcPr>
          <w:p w14:paraId="21035B2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 </w:t>
            </w:r>
          </w:p>
        </w:tc>
        <w:tc>
          <w:tcPr>
            <w:tcW w:w="865" w:type="pct"/>
            <w:vMerge w:val="continue"/>
            <w:vAlign w:val="center"/>
          </w:tcPr>
          <w:p w14:paraId="18CD372C">
            <w:pPr>
              <w:widowControl/>
              <w:jc w:val="left"/>
              <w:rPr>
                <w:rFonts w:ascii="Times New Roman" w:hAnsi="Times New Roman" w:eastAsia="等线" w:cs="Times New Roman"/>
                <w:color w:val="000000"/>
                <w:kern w:val="0"/>
                <w:szCs w:val="21"/>
              </w:rPr>
            </w:pPr>
          </w:p>
        </w:tc>
      </w:tr>
      <w:tr w14:paraId="48DBDC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restart"/>
            <w:noWrap/>
            <w:vAlign w:val="center"/>
          </w:tcPr>
          <w:p w14:paraId="5356DF0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TFEO</w:t>
            </w:r>
          </w:p>
        </w:tc>
        <w:tc>
          <w:tcPr>
            <w:tcW w:w="950" w:type="pct"/>
            <w:noWrap/>
            <w:vAlign w:val="center"/>
          </w:tcPr>
          <w:p w14:paraId="46B6A06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H91</w:t>
            </w:r>
          </w:p>
        </w:tc>
        <w:tc>
          <w:tcPr>
            <w:tcW w:w="1144" w:type="pct"/>
            <w:noWrap/>
            <w:vAlign w:val="center"/>
          </w:tcPr>
          <w:p w14:paraId="6734643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0.1313 </w:t>
            </w:r>
          </w:p>
        </w:tc>
        <w:tc>
          <w:tcPr>
            <w:tcW w:w="888" w:type="pct"/>
            <w:noWrap/>
            <w:vAlign w:val="center"/>
          </w:tcPr>
          <w:p w14:paraId="5FF6435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 </w:t>
            </w:r>
          </w:p>
        </w:tc>
        <w:tc>
          <w:tcPr>
            <w:tcW w:w="865" w:type="pct"/>
            <w:vMerge w:val="restart"/>
            <w:noWrap/>
            <w:vAlign w:val="center"/>
          </w:tcPr>
          <w:p w14:paraId="0581350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7804660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359F6DDC">
            <w:pPr>
              <w:widowControl/>
              <w:jc w:val="left"/>
              <w:rPr>
                <w:rFonts w:ascii="Times New Roman" w:hAnsi="Times New Roman" w:eastAsia="等线" w:cs="Times New Roman"/>
                <w:color w:val="000000"/>
                <w:kern w:val="0"/>
                <w:szCs w:val="21"/>
              </w:rPr>
            </w:pPr>
          </w:p>
        </w:tc>
        <w:tc>
          <w:tcPr>
            <w:tcW w:w="950" w:type="pct"/>
            <w:noWrap/>
            <w:vAlign w:val="center"/>
          </w:tcPr>
          <w:p w14:paraId="40465C6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C91</w:t>
            </w:r>
          </w:p>
        </w:tc>
        <w:tc>
          <w:tcPr>
            <w:tcW w:w="1144" w:type="pct"/>
            <w:noWrap/>
            <w:vAlign w:val="center"/>
          </w:tcPr>
          <w:p w14:paraId="6652A55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-0.0961 </w:t>
            </w:r>
          </w:p>
        </w:tc>
        <w:tc>
          <w:tcPr>
            <w:tcW w:w="888" w:type="pct"/>
            <w:noWrap/>
            <w:vAlign w:val="center"/>
          </w:tcPr>
          <w:p w14:paraId="0B9DEBF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 </w:t>
            </w:r>
          </w:p>
        </w:tc>
        <w:tc>
          <w:tcPr>
            <w:tcW w:w="865" w:type="pct"/>
            <w:vMerge w:val="continue"/>
            <w:vAlign w:val="center"/>
          </w:tcPr>
          <w:p w14:paraId="4472827A">
            <w:pPr>
              <w:widowControl/>
              <w:jc w:val="left"/>
              <w:rPr>
                <w:rFonts w:ascii="Times New Roman" w:hAnsi="Times New Roman" w:eastAsia="等线" w:cs="Times New Roman"/>
                <w:color w:val="000000"/>
                <w:kern w:val="0"/>
                <w:szCs w:val="21"/>
              </w:rPr>
            </w:pPr>
          </w:p>
        </w:tc>
      </w:tr>
      <w:tr w14:paraId="00631B6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5BCBD17E">
            <w:pPr>
              <w:widowControl/>
              <w:jc w:val="left"/>
              <w:rPr>
                <w:rFonts w:ascii="Times New Roman" w:hAnsi="Times New Roman" w:eastAsia="等线" w:cs="Times New Roman"/>
                <w:color w:val="000000"/>
                <w:kern w:val="0"/>
                <w:szCs w:val="21"/>
              </w:rPr>
            </w:pPr>
          </w:p>
        </w:tc>
        <w:tc>
          <w:tcPr>
            <w:tcW w:w="950" w:type="pct"/>
            <w:noWrap/>
            <w:vAlign w:val="center"/>
          </w:tcPr>
          <w:p w14:paraId="3530C7C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C92</w:t>
            </w:r>
          </w:p>
        </w:tc>
        <w:tc>
          <w:tcPr>
            <w:tcW w:w="1144" w:type="pct"/>
            <w:noWrap/>
            <w:vAlign w:val="center"/>
          </w:tcPr>
          <w:p w14:paraId="2B6D2AE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0.5700 </w:t>
            </w:r>
          </w:p>
        </w:tc>
        <w:tc>
          <w:tcPr>
            <w:tcW w:w="888" w:type="pct"/>
            <w:noWrap/>
            <w:vAlign w:val="center"/>
          </w:tcPr>
          <w:p w14:paraId="1613EBA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 </w:t>
            </w:r>
          </w:p>
        </w:tc>
        <w:tc>
          <w:tcPr>
            <w:tcW w:w="865" w:type="pct"/>
            <w:vMerge w:val="continue"/>
            <w:vAlign w:val="center"/>
          </w:tcPr>
          <w:p w14:paraId="15448305">
            <w:pPr>
              <w:widowControl/>
              <w:jc w:val="left"/>
              <w:rPr>
                <w:rFonts w:ascii="Times New Roman" w:hAnsi="Times New Roman" w:eastAsia="等线" w:cs="Times New Roman"/>
                <w:color w:val="000000"/>
                <w:kern w:val="0"/>
                <w:szCs w:val="21"/>
              </w:rPr>
            </w:pPr>
          </w:p>
        </w:tc>
      </w:tr>
      <w:tr w14:paraId="65D693E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751E136E">
            <w:pPr>
              <w:widowControl/>
              <w:jc w:val="left"/>
              <w:rPr>
                <w:rFonts w:ascii="Times New Roman" w:hAnsi="Times New Roman" w:eastAsia="等线" w:cs="Times New Roman"/>
                <w:color w:val="000000"/>
                <w:kern w:val="0"/>
                <w:szCs w:val="21"/>
              </w:rPr>
            </w:pPr>
          </w:p>
        </w:tc>
        <w:tc>
          <w:tcPr>
            <w:tcW w:w="950" w:type="pct"/>
            <w:noWrap/>
            <w:vAlign w:val="center"/>
          </w:tcPr>
          <w:p w14:paraId="1DDC4FD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O91</w:t>
            </w:r>
          </w:p>
        </w:tc>
        <w:tc>
          <w:tcPr>
            <w:tcW w:w="1144" w:type="pct"/>
            <w:noWrap/>
            <w:vAlign w:val="center"/>
          </w:tcPr>
          <w:p w14:paraId="27EF83C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-0.3128 </w:t>
            </w:r>
          </w:p>
        </w:tc>
        <w:tc>
          <w:tcPr>
            <w:tcW w:w="888" w:type="pct"/>
            <w:noWrap/>
            <w:vAlign w:val="center"/>
          </w:tcPr>
          <w:p w14:paraId="2A9E7A1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 </w:t>
            </w:r>
          </w:p>
        </w:tc>
        <w:tc>
          <w:tcPr>
            <w:tcW w:w="865" w:type="pct"/>
            <w:vMerge w:val="continue"/>
            <w:vAlign w:val="center"/>
          </w:tcPr>
          <w:p w14:paraId="1CBEFC02">
            <w:pPr>
              <w:widowControl/>
              <w:jc w:val="left"/>
              <w:rPr>
                <w:rFonts w:ascii="Times New Roman" w:hAnsi="Times New Roman" w:eastAsia="等线" w:cs="Times New Roman"/>
                <w:color w:val="000000"/>
                <w:kern w:val="0"/>
                <w:szCs w:val="21"/>
              </w:rPr>
            </w:pPr>
          </w:p>
        </w:tc>
      </w:tr>
      <w:tr w14:paraId="3C0E49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73F58B3D">
            <w:pPr>
              <w:widowControl/>
              <w:jc w:val="left"/>
              <w:rPr>
                <w:rFonts w:ascii="Times New Roman" w:hAnsi="Times New Roman" w:eastAsia="等线" w:cs="Times New Roman"/>
                <w:color w:val="000000"/>
                <w:kern w:val="0"/>
                <w:szCs w:val="21"/>
              </w:rPr>
            </w:pPr>
          </w:p>
        </w:tc>
        <w:tc>
          <w:tcPr>
            <w:tcW w:w="950" w:type="pct"/>
            <w:noWrap/>
            <w:vAlign w:val="center"/>
          </w:tcPr>
          <w:p w14:paraId="2DEBA07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F91</w:t>
            </w:r>
          </w:p>
        </w:tc>
        <w:tc>
          <w:tcPr>
            <w:tcW w:w="1144" w:type="pct"/>
            <w:noWrap/>
            <w:vAlign w:val="center"/>
          </w:tcPr>
          <w:p w14:paraId="4376DD8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-0.1983 </w:t>
            </w:r>
          </w:p>
        </w:tc>
        <w:tc>
          <w:tcPr>
            <w:tcW w:w="888" w:type="pct"/>
            <w:noWrap/>
            <w:vAlign w:val="center"/>
          </w:tcPr>
          <w:p w14:paraId="421C582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9 </w:t>
            </w:r>
          </w:p>
        </w:tc>
        <w:tc>
          <w:tcPr>
            <w:tcW w:w="865" w:type="pct"/>
            <w:vMerge w:val="continue"/>
            <w:vAlign w:val="center"/>
          </w:tcPr>
          <w:p w14:paraId="546EDC82">
            <w:pPr>
              <w:widowControl/>
              <w:jc w:val="left"/>
              <w:rPr>
                <w:rFonts w:ascii="Times New Roman" w:hAnsi="Times New Roman" w:eastAsia="等线" w:cs="Times New Roman"/>
                <w:color w:val="000000"/>
                <w:kern w:val="0"/>
                <w:szCs w:val="21"/>
              </w:rPr>
            </w:pPr>
          </w:p>
        </w:tc>
      </w:tr>
      <w:tr w14:paraId="5FC003D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0B1C4CC1">
            <w:pPr>
              <w:widowControl/>
              <w:jc w:val="left"/>
              <w:rPr>
                <w:rFonts w:ascii="Times New Roman" w:hAnsi="Times New Roman" w:eastAsia="等线" w:cs="Times New Roman"/>
                <w:color w:val="000000"/>
                <w:kern w:val="0"/>
                <w:szCs w:val="21"/>
              </w:rPr>
            </w:pPr>
          </w:p>
        </w:tc>
        <w:tc>
          <w:tcPr>
            <w:tcW w:w="950" w:type="pct"/>
            <w:noWrap/>
            <w:vAlign w:val="center"/>
          </w:tcPr>
          <w:p w14:paraId="57B9464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C93</w:t>
            </w:r>
          </w:p>
        </w:tc>
        <w:tc>
          <w:tcPr>
            <w:tcW w:w="1144" w:type="pct"/>
            <w:noWrap/>
            <w:vAlign w:val="center"/>
          </w:tcPr>
          <w:p w14:paraId="79CAEF0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0.3737 </w:t>
            </w:r>
          </w:p>
        </w:tc>
        <w:tc>
          <w:tcPr>
            <w:tcW w:w="888" w:type="pct"/>
            <w:noWrap/>
            <w:vAlign w:val="center"/>
          </w:tcPr>
          <w:p w14:paraId="7940F7C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continue"/>
            <w:vAlign w:val="center"/>
          </w:tcPr>
          <w:p w14:paraId="4C6F2A8B">
            <w:pPr>
              <w:widowControl/>
              <w:jc w:val="left"/>
              <w:rPr>
                <w:rFonts w:ascii="Times New Roman" w:hAnsi="Times New Roman" w:eastAsia="等线" w:cs="Times New Roman"/>
                <w:color w:val="000000"/>
                <w:kern w:val="0"/>
                <w:szCs w:val="21"/>
              </w:rPr>
            </w:pPr>
          </w:p>
        </w:tc>
      </w:tr>
      <w:tr w14:paraId="5E9888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9" w:hRule="atLeast"/>
        </w:trPr>
        <w:tc>
          <w:tcPr>
            <w:tcW w:w="1153" w:type="pct"/>
            <w:vMerge w:val="continue"/>
            <w:vAlign w:val="center"/>
          </w:tcPr>
          <w:p w14:paraId="645F434A">
            <w:pPr>
              <w:widowControl/>
              <w:jc w:val="left"/>
              <w:rPr>
                <w:rFonts w:ascii="Times New Roman" w:hAnsi="Times New Roman" w:eastAsia="等线" w:cs="Times New Roman"/>
                <w:color w:val="000000"/>
                <w:kern w:val="0"/>
                <w:szCs w:val="21"/>
              </w:rPr>
            </w:pPr>
          </w:p>
        </w:tc>
        <w:tc>
          <w:tcPr>
            <w:tcW w:w="950" w:type="pct"/>
            <w:noWrap/>
            <w:vAlign w:val="center"/>
          </w:tcPr>
          <w:p w14:paraId="35A549F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H92</w:t>
            </w:r>
          </w:p>
        </w:tc>
        <w:tc>
          <w:tcPr>
            <w:tcW w:w="1144" w:type="pct"/>
            <w:noWrap/>
            <w:vAlign w:val="center"/>
          </w:tcPr>
          <w:p w14:paraId="2113920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0.1399 </w:t>
            </w:r>
          </w:p>
        </w:tc>
        <w:tc>
          <w:tcPr>
            <w:tcW w:w="888" w:type="pct"/>
            <w:noWrap/>
            <w:vAlign w:val="center"/>
          </w:tcPr>
          <w:p w14:paraId="06D4DAD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865" w:type="pct"/>
            <w:vMerge w:val="continue"/>
            <w:vAlign w:val="center"/>
          </w:tcPr>
          <w:p w14:paraId="2EDC904C">
            <w:pPr>
              <w:widowControl/>
              <w:jc w:val="left"/>
              <w:rPr>
                <w:rFonts w:ascii="Times New Roman" w:hAnsi="Times New Roman" w:eastAsia="等线" w:cs="Times New Roman"/>
                <w:color w:val="000000"/>
                <w:kern w:val="0"/>
                <w:szCs w:val="21"/>
              </w:rPr>
            </w:pPr>
          </w:p>
        </w:tc>
      </w:tr>
    </w:tbl>
    <w:p w14:paraId="63FFC7EB">
      <w:pPr>
        <w:widowControl/>
        <w:adjustRightInd w:val="0"/>
        <w:snapToGrid w:val="0"/>
        <w:spacing w:line="360" w:lineRule="auto"/>
        <w:rPr>
          <w:rFonts w:ascii="Times New Roman" w:hAnsi="Times New Roman" w:cs="Times New Roman"/>
          <w:sz w:val="24"/>
          <w:szCs w:val="24"/>
        </w:rPr>
      </w:pPr>
    </w:p>
    <w:p w14:paraId="1CC50E78">
      <w:pPr>
        <w:widowControl/>
        <w:adjustRightInd w:val="0"/>
        <w:snapToGrid w:val="0"/>
        <w:spacing w:line="360" w:lineRule="auto"/>
        <w:rPr>
          <w:rFonts w:ascii="Times New Roman" w:hAnsi="Times New Roman" w:cs="Times New Roman"/>
          <w:szCs w:val="21"/>
        </w:rPr>
      </w:pPr>
      <w:r>
        <w:rPr>
          <w:rFonts w:ascii="Times New Roman" w:hAnsi="Times New Roman" w:cs="Times New Roman"/>
          <w:sz w:val="24"/>
          <w:szCs w:val="24"/>
        </w:rPr>
        <w:br w:type="page"/>
      </w:r>
    </w:p>
    <w:p w14:paraId="4EC8DDF2">
      <w:pPr>
        <w:widowControl/>
        <w:adjustRightInd w:val="0"/>
        <w:snapToGrid w:val="0"/>
        <w:spacing w:after="156" w:afterLines="50" w:line="360" w:lineRule="auto"/>
        <w:rPr>
          <w:rFonts w:ascii="Times New Roman" w:hAnsi="Times New Roman" w:cs="Times New Roman"/>
          <w:sz w:val="24"/>
          <w:szCs w:val="24"/>
        </w:rPr>
      </w:pPr>
      <w:bookmarkStart w:id="20" w:name="_Toc221108142"/>
      <w:r>
        <w:rPr>
          <w:rStyle w:val="27"/>
          <w:rFonts w:cs="Times New Roman"/>
          <w:szCs w:val="24"/>
        </w:rPr>
        <w:t>Supplementary Table 8 | Reference atomic partial charges for ions.</w:t>
      </w:r>
      <w:bookmarkEnd w:id="20"/>
      <w:r>
        <w:rPr>
          <w:rStyle w:val="27"/>
          <w:rFonts w:cs="Times New Roman"/>
          <w:szCs w:val="24"/>
        </w:rPr>
        <w:t xml:space="preserve"> </w:t>
      </w:r>
      <w:r>
        <w:rPr>
          <w:rFonts w:ascii="Times New Roman" w:hAnsi="Times New Roman" w:cs="Times New Roman"/>
          <w:sz w:val="24"/>
          <w:szCs w:val="24"/>
        </w:rPr>
        <w:t xml:space="preserve">The </w:t>
      </w:r>
      <w:r>
        <w:rPr>
          <w:rFonts w:ascii="Times New Roman" w:hAnsi="Times New Roman" w:cs="Times New Roman"/>
          <w:i/>
          <w:iCs/>
          <w:sz w:val="24"/>
          <w:szCs w:val="24"/>
        </w:rPr>
        <w:t>q</w:t>
      </w:r>
      <w:r>
        <w:rPr>
          <w:rFonts w:ascii="Times New Roman" w:hAnsi="Times New Roman" w:cs="Times New Roman"/>
          <w:sz w:val="24"/>
          <w:szCs w:val="24"/>
        </w:rPr>
        <w:t xml:space="preserve">’, </w:t>
      </w:r>
      <w:r>
        <w:rPr>
          <w:rFonts w:ascii="Times New Roman" w:hAnsi="Times New Roman" w:cs="Times New Roman"/>
          <w:i/>
          <w:iCs/>
          <w:sz w:val="24"/>
          <w:szCs w:val="24"/>
        </w:rPr>
        <w:t>N</w:t>
      </w:r>
      <w:r>
        <w:rPr>
          <w:rFonts w:ascii="Times New Roman" w:hAnsi="Times New Roman" w:cs="Times New Roman"/>
          <w:sz w:val="24"/>
          <w:szCs w:val="24"/>
          <w:vertAlign w:val="subscript"/>
        </w:rPr>
        <w:t>atoms</w:t>
      </w:r>
      <w:r>
        <w:rPr>
          <w:rFonts w:ascii="Times New Roman" w:hAnsi="Times New Roman" w:cs="Times New Roman"/>
          <w:sz w:val="24"/>
          <w:szCs w:val="24"/>
        </w:rPr>
        <w:t xml:space="preserve">, and </w:t>
      </w:r>
      <w:r>
        <w:rPr>
          <w:rFonts w:ascii="Times New Roman" w:hAnsi="Times New Roman" w:cs="Times New Roman"/>
          <w:i/>
          <w:iCs/>
          <w:sz w:val="24"/>
          <w:szCs w:val="24"/>
        </w:rPr>
        <w:t>Q</w:t>
      </w:r>
      <w:r>
        <w:rPr>
          <w:rFonts w:ascii="Times New Roman" w:hAnsi="Times New Roman" w:cs="Times New Roman"/>
          <w:sz w:val="24"/>
          <w:szCs w:val="24"/>
        </w:rPr>
        <w:t xml:space="preserve"> values for Li</w:t>
      </w:r>
      <w:r>
        <w:rPr>
          <w:rFonts w:ascii="Times New Roman" w:hAnsi="Times New Roman" w:cs="Times New Roman"/>
          <w:sz w:val="24"/>
          <w:szCs w:val="24"/>
          <w:vertAlign w:val="superscript"/>
        </w:rPr>
        <w:t>+</w:t>
      </w:r>
      <w:r>
        <w:rPr>
          <w:rFonts w:ascii="Times New Roman" w:hAnsi="Times New Roman" w:cs="Times New Roman"/>
          <w:sz w:val="24"/>
          <w:szCs w:val="24"/>
        </w:rPr>
        <w:t>, FSI</w:t>
      </w:r>
      <w:r>
        <w:rPr>
          <w:rFonts w:ascii="Times New Roman" w:hAnsi="Times New Roman" w:cs="Times New Roman"/>
          <w:sz w:val="24"/>
          <w:szCs w:val="24"/>
          <w:vertAlign w:val="superscript"/>
        </w:rPr>
        <w:t>-</w:t>
      </w:r>
      <w:r>
        <w:rPr>
          <w:rFonts w:ascii="Times New Roman" w:hAnsi="Times New Roman" w:cs="Times New Roman"/>
          <w:sz w:val="24"/>
          <w:szCs w:val="24"/>
        </w:rPr>
        <w:t>, TFSI</w:t>
      </w:r>
      <w:r>
        <w:rPr>
          <w:rFonts w:ascii="Times New Roman" w:hAnsi="Times New Roman" w:cs="Times New Roman"/>
          <w:sz w:val="24"/>
          <w:szCs w:val="24"/>
          <w:vertAlign w:val="superscript"/>
        </w:rPr>
        <w:t>-</w:t>
      </w:r>
      <w:r>
        <w:rPr>
          <w:rFonts w:ascii="Times New Roman" w:hAnsi="Times New Roman" w:cs="Times New Roman"/>
          <w:sz w:val="24"/>
          <w:szCs w:val="24"/>
        </w:rPr>
        <w:t>, and PF</w:t>
      </w:r>
      <w:r>
        <w:rPr>
          <w:rFonts w:ascii="Times New Roman" w:hAnsi="Times New Roman" w:cs="Times New Roman"/>
          <w:sz w:val="24"/>
          <w:szCs w:val="24"/>
          <w:vertAlign w:val="subscript"/>
        </w:rPr>
        <w:t>6</w:t>
      </w:r>
      <w:r>
        <w:rPr>
          <w:rFonts w:ascii="Times New Roman" w:hAnsi="Times New Roman" w:cs="Times New Roman"/>
          <w:sz w:val="24"/>
          <w:szCs w:val="24"/>
          <w:vertAlign w:val="superscript"/>
        </w:rPr>
        <w:t>-</w:t>
      </w:r>
      <w:r>
        <w:rPr>
          <w:rFonts w:ascii="Times New Roman" w:hAnsi="Times New Roman"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{"citationID":"pBZg18HB","properties":{"formattedCitation":"\\super 49\\uc0\\u8211{}52\\nosupersub{}","plainCitation":"49–52","noteIndex":0},"citationItems":[{"id":1051,"uris":["http://zotero.org/users/17156447/items/AFVWYDCR"],"itemData":{"id":1051,"type":"article-journal","container-title":"Journal of Physical Chemistry B","DOI":"10.1021/jp0362133","ISSN":"1520-6106, 1520-5207","issue":"6","journalAbbreviation":"J. Phys. Chem. B","language":"en","note":"1223 citations (Crossref/DOI) [2025-06-18]\nJCR分区: Q3\n5年影响因子: 2.8","page":"2038-2047","source":"DOI.org (Crossref)","title":"Modeling ionic liquids using a systematic all-atom force field","volume":"108","author":[{"family":"Canongia Lopes","given":"José N."},{"family":"Deschamps","given":"Johnny"},{"family":"Pádua","given":"Agílio A. H."}],"issued":{"date-parts":[["2004",2,1]]}}},{"id":1088,"uris":["http://zotero.org/users/17156447/items/WIP8M8S7"],"itemData":{"id":1088,"type":"article-journal","container-title":"Journal of Physical Chemistry B","DOI":"10.1021/jp803309c","ISSN":"1520-6106, 1520-5207","issue":"31","journalAbbreviation":"J. Phys. Chem. B","language":"en","note":"94 citations (Crossref/DOI) [2025-06-23]\nTLDR: The conformational landscape of the bis(fluorosulfonyl)amide, [FSI]-, anion was analyzed using data obtained from Raman spectroscopy, molecular dynamics (MD), and ab initio studies to confirm the nature of the anion as a flexible molecule capable of interconversion between conformers in the liquid state.\nJCR分区: Q3\n5年影响因子: 2.9","page":"9449-9455","source":"DOI.org (Crossref)","title":"Potential energy landscape of bis(fluorosulfonyl)amide","volume":"112","author":[{"family":"Canongia Lopes","given":"José N."},{"family":"Shimizu","given":"Karina"},{"family":"Pádua","given":"Agílio A. H."},{"family":"Umebayashi","given":"Yasuhiro"},{"family":"Fukuda","given":"Shuhei"},{"family":"Fujii","given":"Kenta"},{"family":"Ishiguro","given":"Shin-ichi"}],"issued":{"date-parts":[["2008",8,1]]}}},{"id":1049,"uris":["http://zotero.org/users/17156447/items/T2QTVKD6"],"itemData":{"id":1049,"type":"article-journal","container-title":"Journal of Physical Chemistry B","DOI":"10.1021/jp0476545","ISSN":"1520-6106, 1520-5207","issue":"43","journalAbbreviation":"J. Phys. Chem. B","language":"en","note":"896 citations (Crossref/DOI) [2025-06-18]\nJCR分区: Q3\n5年影响因子: 2.8","page":"16893-16898","source":"DOI.org (Crossref)","title":"Molecular force field for ionic liquids composed of triflate or bistriflylimide anions","volume":"108","author":[{"family":"Canongia Lopes","given":"José N."},{"family":"Pádua","given":"Agílio A. H."}],"issued":{"date-parts":[["2004",10,1]]}}},{"id":1086,"uris":["http://zotero.org/users/17156447/items/DKXVAJE7"],"itemData":{"id":1086,"type":"article-journal","abstract":"Nonadditive intermolecular potentials for ion–H2O and ion–(H2O)2 complexes (ion=Li+ and F− ) were derived using molecular-dynamics methods. The successive H2O binding energies and structural properties of Li+(H2O)n and F−(H2O)n (n=3–6) clusters, including simulations of aqueous ionic solutions, were examined using these potential parameters. The results reproduce well-observed solvation enthalpies as well as structural properties for these ions. For n&amp;lt;5, water molecules distributed almost symmetrically around the Li+ ion, while water molecules preferred to cluster on the same side of the F− ion. These features are in agreement with earlier Monte Carlo, molecular dynamics, and molecular mechanics studies on similar systems. We studied the relationships between ionic clusters and bulk simulations by comparing structural properties for these simulations. In many cases, we found these properties were quite similar. These results provide valuable information in understanding the relationships between ionic clusters and solution chemistry.","container-title":"Journal of Chemical Physics","DOI":"10.1063/1.462555","ISSN":"0021-9606, 1089-7690","issue":"9","journalAbbreviation":"J. Chem. Phys.","language":"en","note":"232 citations (Crossref/DOI) [2025-06-23]\nJCR分区: Q2\n5年影响因子: 3.8","page":"6970-6977","source":"DOI.org (Crossref)","title":"Development of nonadditive intermolecular potentials using molecular dynamics: solvation of li+ and F− ions in polarizable water","title-short":"Development of nonadditive intermolecular potentials using molecular dynamics","volume":"96","author":[{"family":"Dang","given":"Liem X."}],"issued":{"date-parts":[["1992",5,1]]}}}],"schema":"https://github.com/citation-style-language/schema/raw/master/csl-citation.json"}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49–52</w:t>
      </w:r>
      <w:r>
        <w:rPr>
          <w:rFonts w:ascii="Times New Roman" w:hAnsi="Times New Roman" w:cs="Times New Roman"/>
          <w:sz w:val="24"/>
          <w:szCs w:val="24"/>
        </w:rPr>
        <w:fldChar w:fldCharType="end"/>
      </w: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290"/>
        <w:gridCol w:w="1644"/>
        <w:gridCol w:w="1644"/>
        <w:gridCol w:w="1644"/>
        <w:gridCol w:w="1642"/>
      </w:tblGrid>
      <w:tr w14:paraId="56D01A4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Align w:val="center"/>
          </w:tcPr>
          <w:p w14:paraId="0AF76A47">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Ion</w:t>
            </w:r>
          </w:p>
        </w:tc>
        <w:tc>
          <w:tcPr>
            <w:tcW w:w="927" w:type="pct"/>
            <w:vAlign w:val="center"/>
          </w:tcPr>
          <w:p w14:paraId="50B4E5B5">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Atom</w:t>
            </w:r>
          </w:p>
        </w:tc>
        <w:tc>
          <w:tcPr>
            <w:tcW w:w="927" w:type="pct"/>
            <w:vAlign w:val="center"/>
          </w:tcPr>
          <w:p w14:paraId="46DD2845">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q</w:t>
            </w:r>
            <w:r>
              <w:rPr>
                <w:rFonts w:ascii="Times New Roman" w:hAnsi="Times New Roman" w:eastAsia="等线" w:cs="Times New Roman"/>
                <w:b/>
                <w:bCs/>
                <w:color w:val="000000"/>
                <w:kern w:val="0"/>
                <w:szCs w:val="21"/>
              </w:rPr>
              <w:t>’ (</w:t>
            </w:r>
            <w:r>
              <w:rPr>
                <w:rFonts w:ascii="Times New Roman" w:hAnsi="Times New Roman" w:eastAsia="等线" w:cs="Times New Roman"/>
                <w:b/>
                <w:bCs/>
                <w:i/>
                <w:iCs/>
                <w:color w:val="000000"/>
                <w:kern w:val="0"/>
                <w:szCs w:val="21"/>
              </w:rPr>
              <w:t>e</w:t>
            </w:r>
            <w:r>
              <w:rPr>
                <w:rFonts w:ascii="Times New Roman" w:hAnsi="Times New Roman" w:eastAsia="等线" w:cs="Times New Roman"/>
                <w:b/>
                <w:bCs/>
                <w:color w:val="000000"/>
                <w:kern w:val="0"/>
                <w:szCs w:val="21"/>
              </w:rPr>
              <w:t>)</w:t>
            </w:r>
          </w:p>
        </w:tc>
        <w:tc>
          <w:tcPr>
            <w:tcW w:w="927" w:type="pct"/>
            <w:noWrap/>
            <w:vAlign w:val="center"/>
          </w:tcPr>
          <w:p w14:paraId="2D5EBEE7">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i/>
                <w:iCs/>
                <w:color w:val="000000"/>
                <w:kern w:val="0"/>
                <w:szCs w:val="21"/>
              </w:rPr>
              <w:t>N</w:t>
            </w:r>
            <w:r>
              <w:rPr>
                <w:rFonts w:ascii="Times New Roman" w:hAnsi="Times New Roman" w:eastAsia="等线" w:cs="Times New Roman"/>
                <w:b/>
                <w:bCs/>
                <w:color w:val="000000"/>
                <w:kern w:val="0"/>
                <w:szCs w:val="21"/>
                <w:vertAlign w:val="subscript"/>
              </w:rPr>
              <w:t>atoms</w:t>
            </w:r>
          </w:p>
        </w:tc>
        <w:tc>
          <w:tcPr>
            <w:tcW w:w="926" w:type="pct"/>
            <w:vAlign w:val="center"/>
          </w:tcPr>
          <w:p w14:paraId="26CE639C">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Q</w:t>
            </w:r>
            <w:r>
              <w:rPr>
                <w:rFonts w:ascii="Times New Roman" w:hAnsi="Times New Roman" w:eastAsia="等线" w:cs="Times New Roman"/>
                <w:b/>
                <w:bCs/>
                <w:color w:val="000000"/>
                <w:kern w:val="0"/>
                <w:szCs w:val="21"/>
              </w:rPr>
              <w:t xml:space="preserve"> (</w:t>
            </w:r>
            <w:r>
              <w:rPr>
                <w:rFonts w:ascii="Times New Roman" w:hAnsi="Times New Roman" w:eastAsia="等线" w:cs="Times New Roman"/>
                <w:b/>
                <w:bCs/>
                <w:i/>
                <w:iCs/>
                <w:color w:val="000000"/>
                <w:kern w:val="0"/>
                <w:szCs w:val="21"/>
              </w:rPr>
              <w:t>e</w:t>
            </w:r>
            <w:r>
              <w:rPr>
                <w:rFonts w:ascii="Times New Roman" w:hAnsi="Times New Roman" w:eastAsia="等线" w:cs="Times New Roman"/>
                <w:b/>
                <w:bCs/>
                <w:color w:val="000000"/>
                <w:kern w:val="0"/>
                <w:szCs w:val="21"/>
              </w:rPr>
              <w:t>)</w:t>
            </w:r>
          </w:p>
        </w:tc>
      </w:tr>
      <w:tr w14:paraId="60509E2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Align w:val="center"/>
          </w:tcPr>
          <w:p w14:paraId="088D285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927" w:type="pct"/>
            <w:vAlign w:val="center"/>
          </w:tcPr>
          <w:p w14:paraId="2A51E9A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p>
        </w:tc>
        <w:tc>
          <w:tcPr>
            <w:tcW w:w="927" w:type="pct"/>
            <w:vAlign w:val="center"/>
          </w:tcPr>
          <w:p w14:paraId="237C6C4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w:t>
            </w:r>
          </w:p>
        </w:tc>
        <w:tc>
          <w:tcPr>
            <w:tcW w:w="927" w:type="pct"/>
            <w:noWrap/>
            <w:vAlign w:val="center"/>
          </w:tcPr>
          <w:p w14:paraId="7753A34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noWrap/>
            <w:vAlign w:val="center"/>
          </w:tcPr>
          <w:p w14:paraId="5EAAFA4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r>
      <w:tr w14:paraId="287B10F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restart"/>
            <w:vAlign w:val="center"/>
          </w:tcPr>
          <w:p w14:paraId="0FD043F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FSI</w:t>
            </w:r>
            <w:r>
              <w:rPr>
                <w:rFonts w:ascii="Times New Roman" w:hAnsi="Times New Roman" w:eastAsia="等线" w:cs="Times New Roman"/>
                <w:color w:val="000000"/>
                <w:kern w:val="0"/>
                <w:szCs w:val="21"/>
                <w:vertAlign w:val="superscript"/>
              </w:rPr>
              <w:t>-</w:t>
            </w:r>
          </w:p>
        </w:tc>
        <w:tc>
          <w:tcPr>
            <w:tcW w:w="927" w:type="pct"/>
            <w:vAlign w:val="center"/>
          </w:tcPr>
          <w:p w14:paraId="43CD2A7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N</w:t>
            </w:r>
          </w:p>
        </w:tc>
        <w:tc>
          <w:tcPr>
            <w:tcW w:w="927" w:type="pct"/>
            <w:vAlign w:val="center"/>
          </w:tcPr>
          <w:p w14:paraId="30E3AE4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-0.66</w:t>
            </w:r>
          </w:p>
        </w:tc>
        <w:tc>
          <w:tcPr>
            <w:tcW w:w="927" w:type="pct"/>
            <w:noWrap/>
            <w:vAlign w:val="center"/>
          </w:tcPr>
          <w:p w14:paraId="29A12AA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restart"/>
            <w:noWrap/>
            <w:vAlign w:val="center"/>
          </w:tcPr>
          <w:p w14:paraId="26EE8BE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r>
      <w:tr w14:paraId="264686E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continue"/>
            <w:vAlign w:val="center"/>
          </w:tcPr>
          <w:p w14:paraId="14459B1C">
            <w:pPr>
              <w:widowControl/>
              <w:jc w:val="left"/>
              <w:rPr>
                <w:rFonts w:ascii="Times New Roman" w:hAnsi="Times New Roman" w:eastAsia="等线" w:cs="Times New Roman"/>
                <w:color w:val="000000"/>
                <w:kern w:val="0"/>
                <w:szCs w:val="21"/>
              </w:rPr>
            </w:pPr>
          </w:p>
        </w:tc>
        <w:tc>
          <w:tcPr>
            <w:tcW w:w="927" w:type="pct"/>
            <w:vAlign w:val="center"/>
          </w:tcPr>
          <w:p w14:paraId="4D5C456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w:t>
            </w:r>
          </w:p>
        </w:tc>
        <w:tc>
          <w:tcPr>
            <w:tcW w:w="927" w:type="pct"/>
            <w:vAlign w:val="center"/>
          </w:tcPr>
          <w:p w14:paraId="67E0790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-0.53</w:t>
            </w:r>
          </w:p>
        </w:tc>
        <w:tc>
          <w:tcPr>
            <w:tcW w:w="927" w:type="pct"/>
            <w:noWrap/>
            <w:vAlign w:val="center"/>
          </w:tcPr>
          <w:p w14:paraId="298F18B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 </w:t>
            </w:r>
          </w:p>
        </w:tc>
        <w:tc>
          <w:tcPr>
            <w:tcW w:w="926" w:type="pct"/>
            <w:vMerge w:val="continue"/>
            <w:vAlign w:val="center"/>
          </w:tcPr>
          <w:p w14:paraId="71B42042">
            <w:pPr>
              <w:widowControl/>
              <w:jc w:val="left"/>
              <w:rPr>
                <w:rFonts w:ascii="Times New Roman" w:hAnsi="Times New Roman" w:eastAsia="等线" w:cs="Times New Roman"/>
                <w:color w:val="000000"/>
                <w:kern w:val="0"/>
                <w:szCs w:val="21"/>
              </w:rPr>
            </w:pPr>
          </w:p>
        </w:tc>
      </w:tr>
      <w:tr w14:paraId="1431A38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continue"/>
            <w:vAlign w:val="center"/>
          </w:tcPr>
          <w:p w14:paraId="7AB125CC">
            <w:pPr>
              <w:widowControl/>
              <w:jc w:val="left"/>
              <w:rPr>
                <w:rFonts w:ascii="Times New Roman" w:hAnsi="Times New Roman" w:eastAsia="等线" w:cs="Times New Roman"/>
                <w:color w:val="000000"/>
                <w:kern w:val="0"/>
                <w:szCs w:val="21"/>
              </w:rPr>
            </w:pPr>
          </w:p>
        </w:tc>
        <w:tc>
          <w:tcPr>
            <w:tcW w:w="927" w:type="pct"/>
            <w:vAlign w:val="center"/>
          </w:tcPr>
          <w:p w14:paraId="79040EE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w:t>
            </w:r>
          </w:p>
        </w:tc>
        <w:tc>
          <w:tcPr>
            <w:tcW w:w="927" w:type="pct"/>
            <w:vAlign w:val="center"/>
          </w:tcPr>
          <w:p w14:paraId="2BBD71D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1.02</w:t>
            </w:r>
          </w:p>
        </w:tc>
        <w:tc>
          <w:tcPr>
            <w:tcW w:w="927" w:type="pct"/>
            <w:noWrap/>
            <w:vAlign w:val="center"/>
          </w:tcPr>
          <w:p w14:paraId="1DC5138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continue"/>
            <w:vAlign w:val="center"/>
          </w:tcPr>
          <w:p w14:paraId="2C8C0F3F">
            <w:pPr>
              <w:widowControl/>
              <w:jc w:val="left"/>
              <w:rPr>
                <w:rFonts w:ascii="Times New Roman" w:hAnsi="Times New Roman" w:eastAsia="等线" w:cs="Times New Roman"/>
                <w:color w:val="000000"/>
                <w:kern w:val="0"/>
                <w:szCs w:val="21"/>
              </w:rPr>
            </w:pPr>
          </w:p>
        </w:tc>
      </w:tr>
      <w:tr w14:paraId="1218F95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continue"/>
            <w:vAlign w:val="center"/>
          </w:tcPr>
          <w:p w14:paraId="4F5A4781">
            <w:pPr>
              <w:widowControl/>
              <w:jc w:val="left"/>
              <w:rPr>
                <w:rFonts w:ascii="Times New Roman" w:hAnsi="Times New Roman" w:eastAsia="等线" w:cs="Times New Roman"/>
                <w:color w:val="000000"/>
                <w:kern w:val="0"/>
                <w:szCs w:val="21"/>
              </w:rPr>
            </w:pPr>
          </w:p>
        </w:tc>
        <w:tc>
          <w:tcPr>
            <w:tcW w:w="927" w:type="pct"/>
            <w:vAlign w:val="center"/>
          </w:tcPr>
          <w:p w14:paraId="5576102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w:t>
            </w:r>
          </w:p>
        </w:tc>
        <w:tc>
          <w:tcPr>
            <w:tcW w:w="927" w:type="pct"/>
            <w:vAlign w:val="center"/>
          </w:tcPr>
          <w:p w14:paraId="2D57994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-0.13</w:t>
            </w:r>
          </w:p>
        </w:tc>
        <w:tc>
          <w:tcPr>
            <w:tcW w:w="927" w:type="pct"/>
            <w:noWrap/>
            <w:vAlign w:val="center"/>
          </w:tcPr>
          <w:p w14:paraId="149F966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continue"/>
            <w:vAlign w:val="center"/>
          </w:tcPr>
          <w:p w14:paraId="4959B8F2">
            <w:pPr>
              <w:widowControl/>
              <w:jc w:val="left"/>
              <w:rPr>
                <w:rFonts w:ascii="Times New Roman" w:hAnsi="Times New Roman" w:eastAsia="等线" w:cs="Times New Roman"/>
                <w:color w:val="000000"/>
                <w:kern w:val="0"/>
                <w:szCs w:val="21"/>
              </w:rPr>
            </w:pPr>
          </w:p>
        </w:tc>
      </w:tr>
      <w:tr w14:paraId="4518DF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restart"/>
            <w:vAlign w:val="center"/>
          </w:tcPr>
          <w:p w14:paraId="6322B89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TFSI</w:t>
            </w:r>
            <w:r>
              <w:rPr>
                <w:rFonts w:ascii="Times New Roman" w:hAnsi="Times New Roman" w:eastAsia="等线" w:cs="Times New Roman"/>
                <w:color w:val="000000"/>
                <w:kern w:val="0"/>
                <w:szCs w:val="21"/>
                <w:vertAlign w:val="superscript"/>
              </w:rPr>
              <w:t>-</w:t>
            </w:r>
          </w:p>
        </w:tc>
        <w:tc>
          <w:tcPr>
            <w:tcW w:w="927" w:type="pct"/>
            <w:vAlign w:val="center"/>
          </w:tcPr>
          <w:p w14:paraId="460FD92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CT</w:t>
            </w:r>
          </w:p>
        </w:tc>
        <w:tc>
          <w:tcPr>
            <w:tcW w:w="927" w:type="pct"/>
            <w:vAlign w:val="center"/>
          </w:tcPr>
          <w:p w14:paraId="690ADA1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0.35</w:t>
            </w:r>
          </w:p>
        </w:tc>
        <w:tc>
          <w:tcPr>
            <w:tcW w:w="927" w:type="pct"/>
            <w:noWrap/>
            <w:vAlign w:val="center"/>
          </w:tcPr>
          <w:p w14:paraId="605DF9F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restart"/>
            <w:noWrap/>
            <w:vAlign w:val="center"/>
          </w:tcPr>
          <w:p w14:paraId="104BC03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r>
      <w:tr w14:paraId="102E3B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continue"/>
            <w:vAlign w:val="center"/>
          </w:tcPr>
          <w:p w14:paraId="6643518B">
            <w:pPr>
              <w:widowControl/>
              <w:jc w:val="left"/>
              <w:rPr>
                <w:rFonts w:ascii="Times New Roman" w:hAnsi="Times New Roman" w:eastAsia="等线" w:cs="Times New Roman"/>
                <w:color w:val="000000"/>
                <w:kern w:val="0"/>
                <w:szCs w:val="21"/>
              </w:rPr>
            </w:pPr>
          </w:p>
        </w:tc>
        <w:tc>
          <w:tcPr>
            <w:tcW w:w="927" w:type="pct"/>
            <w:vAlign w:val="center"/>
          </w:tcPr>
          <w:p w14:paraId="3F9C411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FT</w:t>
            </w:r>
          </w:p>
        </w:tc>
        <w:tc>
          <w:tcPr>
            <w:tcW w:w="927" w:type="pct"/>
            <w:vAlign w:val="center"/>
          </w:tcPr>
          <w:p w14:paraId="687A42B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-0.16</w:t>
            </w:r>
          </w:p>
        </w:tc>
        <w:tc>
          <w:tcPr>
            <w:tcW w:w="927" w:type="pct"/>
            <w:noWrap/>
            <w:vAlign w:val="center"/>
          </w:tcPr>
          <w:p w14:paraId="355EFA4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 </w:t>
            </w:r>
          </w:p>
        </w:tc>
        <w:tc>
          <w:tcPr>
            <w:tcW w:w="926" w:type="pct"/>
            <w:vMerge w:val="continue"/>
            <w:vAlign w:val="center"/>
          </w:tcPr>
          <w:p w14:paraId="17B4DA7A">
            <w:pPr>
              <w:widowControl/>
              <w:jc w:val="left"/>
              <w:rPr>
                <w:rFonts w:ascii="Times New Roman" w:hAnsi="Times New Roman" w:eastAsia="等线" w:cs="Times New Roman"/>
                <w:color w:val="000000"/>
                <w:kern w:val="0"/>
                <w:szCs w:val="21"/>
              </w:rPr>
            </w:pPr>
          </w:p>
        </w:tc>
      </w:tr>
      <w:tr w14:paraId="03C73E1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continue"/>
            <w:vAlign w:val="center"/>
          </w:tcPr>
          <w:p w14:paraId="58BC2477">
            <w:pPr>
              <w:widowControl/>
              <w:jc w:val="left"/>
              <w:rPr>
                <w:rFonts w:ascii="Times New Roman" w:hAnsi="Times New Roman" w:eastAsia="等线" w:cs="Times New Roman"/>
                <w:color w:val="000000"/>
                <w:kern w:val="0"/>
                <w:szCs w:val="21"/>
              </w:rPr>
            </w:pPr>
          </w:p>
        </w:tc>
        <w:tc>
          <w:tcPr>
            <w:tcW w:w="927" w:type="pct"/>
            <w:vAlign w:val="center"/>
          </w:tcPr>
          <w:p w14:paraId="44CFE17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ST</w:t>
            </w:r>
          </w:p>
        </w:tc>
        <w:tc>
          <w:tcPr>
            <w:tcW w:w="927" w:type="pct"/>
            <w:vAlign w:val="center"/>
          </w:tcPr>
          <w:p w14:paraId="760A66B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1.02</w:t>
            </w:r>
          </w:p>
        </w:tc>
        <w:tc>
          <w:tcPr>
            <w:tcW w:w="927" w:type="pct"/>
            <w:noWrap/>
            <w:vAlign w:val="center"/>
          </w:tcPr>
          <w:p w14:paraId="0812EF9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 </w:t>
            </w:r>
          </w:p>
        </w:tc>
        <w:tc>
          <w:tcPr>
            <w:tcW w:w="926" w:type="pct"/>
            <w:vMerge w:val="continue"/>
            <w:vAlign w:val="center"/>
          </w:tcPr>
          <w:p w14:paraId="597F4D59">
            <w:pPr>
              <w:widowControl/>
              <w:jc w:val="left"/>
              <w:rPr>
                <w:rFonts w:ascii="Times New Roman" w:hAnsi="Times New Roman" w:eastAsia="等线" w:cs="Times New Roman"/>
                <w:color w:val="000000"/>
                <w:kern w:val="0"/>
                <w:szCs w:val="21"/>
              </w:rPr>
            </w:pPr>
          </w:p>
        </w:tc>
      </w:tr>
      <w:tr w14:paraId="733338B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continue"/>
            <w:vAlign w:val="center"/>
          </w:tcPr>
          <w:p w14:paraId="0DA54A94">
            <w:pPr>
              <w:widowControl/>
              <w:jc w:val="left"/>
              <w:rPr>
                <w:rFonts w:ascii="Times New Roman" w:hAnsi="Times New Roman" w:eastAsia="等线" w:cs="Times New Roman"/>
                <w:color w:val="000000"/>
                <w:kern w:val="0"/>
                <w:szCs w:val="21"/>
              </w:rPr>
            </w:pPr>
          </w:p>
        </w:tc>
        <w:tc>
          <w:tcPr>
            <w:tcW w:w="927" w:type="pct"/>
            <w:vAlign w:val="center"/>
          </w:tcPr>
          <w:p w14:paraId="192AC3E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NT</w:t>
            </w:r>
          </w:p>
        </w:tc>
        <w:tc>
          <w:tcPr>
            <w:tcW w:w="927" w:type="pct"/>
            <w:vAlign w:val="center"/>
          </w:tcPr>
          <w:p w14:paraId="18AAD20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-0.66</w:t>
            </w:r>
          </w:p>
        </w:tc>
        <w:tc>
          <w:tcPr>
            <w:tcW w:w="927" w:type="pct"/>
            <w:noWrap/>
            <w:vAlign w:val="center"/>
          </w:tcPr>
          <w:p w14:paraId="6C48579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continue"/>
            <w:vAlign w:val="center"/>
          </w:tcPr>
          <w:p w14:paraId="2E544DA3">
            <w:pPr>
              <w:widowControl/>
              <w:jc w:val="left"/>
              <w:rPr>
                <w:rFonts w:ascii="Times New Roman" w:hAnsi="Times New Roman" w:eastAsia="等线" w:cs="Times New Roman"/>
                <w:color w:val="000000"/>
                <w:kern w:val="0"/>
                <w:szCs w:val="21"/>
              </w:rPr>
            </w:pPr>
          </w:p>
        </w:tc>
      </w:tr>
      <w:tr w14:paraId="3DC0EE4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continue"/>
            <w:vAlign w:val="center"/>
          </w:tcPr>
          <w:p w14:paraId="0F13776F">
            <w:pPr>
              <w:widowControl/>
              <w:jc w:val="left"/>
              <w:rPr>
                <w:rFonts w:ascii="Times New Roman" w:hAnsi="Times New Roman" w:eastAsia="等线" w:cs="Times New Roman"/>
                <w:color w:val="000000"/>
                <w:kern w:val="0"/>
                <w:szCs w:val="21"/>
              </w:rPr>
            </w:pPr>
          </w:p>
        </w:tc>
        <w:tc>
          <w:tcPr>
            <w:tcW w:w="927" w:type="pct"/>
            <w:vAlign w:val="center"/>
          </w:tcPr>
          <w:p w14:paraId="78D9A49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OT</w:t>
            </w:r>
          </w:p>
        </w:tc>
        <w:tc>
          <w:tcPr>
            <w:tcW w:w="927" w:type="pct"/>
            <w:vAlign w:val="center"/>
          </w:tcPr>
          <w:p w14:paraId="508BB80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-0.53</w:t>
            </w:r>
          </w:p>
        </w:tc>
        <w:tc>
          <w:tcPr>
            <w:tcW w:w="927" w:type="pct"/>
            <w:noWrap/>
            <w:vAlign w:val="center"/>
          </w:tcPr>
          <w:p w14:paraId="1B1ECA1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 </w:t>
            </w:r>
          </w:p>
        </w:tc>
        <w:tc>
          <w:tcPr>
            <w:tcW w:w="926" w:type="pct"/>
            <w:vMerge w:val="continue"/>
            <w:vAlign w:val="center"/>
          </w:tcPr>
          <w:p w14:paraId="073CACE1">
            <w:pPr>
              <w:widowControl/>
              <w:jc w:val="left"/>
              <w:rPr>
                <w:rFonts w:ascii="Times New Roman" w:hAnsi="Times New Roman" w:eastAsia="等线" w:cs="Times New Roman"/>
                <w:color w:val="000000"/>
                <w:kern w:val="0"/>
                <w:szCs w:val="21"/>
              </w:rPr>
            </w:pPr>
          </w:p>
        </w:tc>
      </w:tr>
      <w:tr w14:paraId="14B7DB2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restart"/>
            <w:vAlign w:val="center"/>
          </w:tcPr>
          <w:p w14:paraId="2D812E7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PF</w:t>
            </w:r>
            <w:r>
              <w:rPr>
                <w:rFonts w:ascii="Times New Roman" w:hAnsi="Times New Roman" w:eastAsia="等线" w:cs="Times New Roman"/>
                <w:color w:val="000000"/>
                <w:kern w:val="0"/>
                <w:szCs w:val="21"/>
                <w:vertAlign w:val="subscript"/>
              </w:rPr>
              <w:t>6</w:t>
            </w:r>
            <w:r>
              <w:rPr>
                <w:rFonts w:ascii="Times New Roman" w:hAnsi="Times New Roman" w:eastAsia="等线" w:cs="Times New Roman"/>
                <w:color w:val="000000"/>
                <w:kern w:val="0"/>
                <w:szCs w:val="21"/>
                <w:vertAlign w:val="superscript"/>
              </w:rPr>
              <w:t>-</w:t>
            </w:r>
          </w:p>
        </w:tc>
        <w:tc>
          <w:tcPr>
            <w:tcW w:w="927" w:type="pct"/>
            <w:vAlign w:val="center"/>
          </w:tcPr>
          <w:p w14:paraId="4FE193C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w:t>
            </w:r>
          </w:p>
        </w:tc>
        <w:tc>
          <w:tcPr>
            <w:tcW w:w="927" w:type="pct"/>
            <w:vAlign w:val="center"/>
          </w:tcPr>
          <w:p w14:paraId="1BEF2AB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1.34</w:t>
            </w:r>
          </w:p>
        </w:tc>
        <w:tc>
          <w:tcPr>
            <w:tcW w:w="927" w:type="pct"/>
            <w:noWrap/>
            <w:vAlign w:val="center"/>
          </w:tcPr>
          <w:p w14:paraId="4147484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926" w:type="pct"/>
            <w:vMerge w:val="restart"/>
            <w:noWrap/>
            <w:vAlign w:val="center"/>
          </w:tcPr>
          <w:p w14:paraId="66ACF82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r>
      <w:tr w14:paraId="25EDC63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1292" w:type="pct"/>
            <w:vMerge w:val="continue"/>
            <w:vAlign w:val="center"/>
          </w:tcPr>
          <w:p w14:paraId="6C5E9CB0">
            <w:pPr>
              <w:widowControl/>
              <w:jc w:val="left"/>
              <w:rPr>
                <w:rFonts w:ascii="Times New Roman" w:hAnsi="Times New Roman" w:eastAsia="等线" w:cs="Times New Roman"/>
                <w:color w:val="000000"/>
                <w:kern w:val="0"/>
                <w:szCs w:val="21"/>
              </w:rPr>
            </w:pPr>
          </w:p>
        </w:tc>
        <w:tc>
          <w:tcPr>
            <w:tcW w:w="927" w:type="pct"/>
            <w:vAlign w:val="center"/>
          </w:tcPr>
          <w:p w14:paraId="04ADF70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FP</w:t>
            </w:r>
          </w:p>
        </w:tc>
        <w:tc>
          <w:tcPr>
            <w:tcW w:w="927" w:type="pct"/>
            <w:vAlign w:val="center"/>
          </w:tcPr>
          <w:p w14:paraId="20E9F74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-0.39</w:t>
            </w:r>
          </w:p>
        </w:tc>
        <w:tc>
          <w:tcPr>
            <w:tcW w:w="927" w:type="pct"/>
            <w:noWrap/>
            <w:vAlign w:val="center"/>
          </w:tcPr>
          <w:p w14:paraId="4AC0E3D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 </w:t>
            </w:r>
          </w:p>
        </w:tc>
        <w:tc>
          <w:tcPr>
            <w:tcW w:w="926" w:type="pct"/>
            <w:vMerge w:val="continue"/>
            <w:vAlign w:val="center"/>
          </w:tcPr>
          <w:p w14:paraId="64F1A903">
            <w:pPr>
              <w:widowControl/>
              <w:jc w:val="left"/>
              <w:rPr>
                <w:rFonts w:ascii="Times New Roman" w:hAnsi="Times New Roman" w:eastAsia="等线" w:cs="Times New Roman"/>
                <w:color w:val="000000"/>
                <w:kern w:val="0"/>
                <w:szCs w:val="21"/>
              </w:rPr>
            </w:pPr>
          </w:p>
        </w:tc>
      </w:tr>
    </w:tbl>
    <w:p w14:paraId="2DDAC616">
      <w:pPr>
        <w:widowControl/>
        <w:jc w:val="left"/>
        <w:rPr>
          <w:rFonts w:ascii="Times New Roman" w:hAnsi="Times New Roman" w:cs="Times New Roman"/>
          <w:szCs w:val="21"/>
        </w:rPr>
      </w:pPr>
    </w:p>
    <w:p w14:paraId="3CEE0F1C">
      <w:pPr>
        <w:widowControl/>
        <w:jc w:val="left"/>
        <w:rPr>
          <w:rFonts w:ascii="Times New Roman" w:hAnsi="Times New Roman" w:cs="Times New Roman"/>
          <w:szCs w:val="21"/>
        </w:rPr>
      </w:pPr>
      <w:r>
        <w:rPr>
          <w:rFonts w:ascii="Times New Roman" w:hAnsi="Times New Roman" w:cs="Times New Roman"/>
          <w:szCs w:val="21"/>
        </w:rPr>
        <w:br w:type="page"/>
      </w:r>
    </w:p>
    <w:p w14:paraId="13C68C34">
      <w:pPr>
        <w:widowControl/>
        <w:adjustRightInd w:val="0"/>
        <w:snapToGrid w:val="0"/>
        <w:spacing w:after="156" w:afterLines="50" w:line="360" w:lineRule="auto"/>
        <w:rPr>
          <w:rFonts w:ascii="Times New Roman" w:hAnsi="Times New Roman" w:cs="Times New Roman"/>
          <w:sz w:val="24"/>
          <w:szCs w:val="24"/>
        </w:rPr>
      </w:pPr>
      <w:bookmarkStart w:id="21" w:name="_Toc221108143"/>
      <w:r>
        <w:rPr>
          <w:rStyle w:val="27"/>
          <w:rFonts w:cs="Times New Roman"/>
        </w:rPr>
        <w:t>Supplementary Table 9 | OPLS&amp;Pol parameters: polarizabilities and dipole moments.</w:t>
      </w:r>
      <w:bookmarkEnd w:id="21"/>
      <w:r>
        <w:rPr>
          <w:rStyle w:val="27"/>
          <w:rFonts w:cs="Times New Roman"/>
        </w:rPr>
        <w:t xml:space="preserve"> </w:t>
      </w:r>
      <w:r>
        <w:rPr>
          <w:rFonts w:ascii="Times New Roman" w:hAnsi="Times New Roman" w:cs="Times New Roman"/>
          <w:sz w:val="24"/>
          <w:szCs w:val="24"/>
        </w:rPr>
        <w:t>The listed parameters include atomic polarizabilities (</w:t>
      </w:r>
      <w:r>
        <w:rPr>
          <w:rFonts w:ascii="Times New Roman" w:hAnsi="Times New Roman" w:cs="Times New Roman"/>
          <w:i/>
          <w:iCs/>
          <w:sz w:val="24"/>
          <w:szCs w:val="24"/>
          <w:lang w:val="el-GR"/>
        </w:rPr>
        <w:t>α</w:t>
      </w:r>
      <w:r>
        <w:rPr>
          <w:rFonts w:ascii="Times New Roman" w:hAnsi="Times New Roman" w:cs="Times New Roman"/>
          <w:sz w:val="24"/>
          <w:szCs w:val="24"/>
          <w:lang w:val="el-GR"/>
        </w:rPr>
        <w:t>)</w:t>
      </w:r>
      <w:r>
        <w:rPr>
          <w:rFonts w:ascii="Times New Roman" w:hAnsi="Times New Roman" w:cs="Times New Roman"/>
          <w:sz w:val="24"/>
          <w:szCs w:val="24"/>
        </w:rPr>
        <w:t>, total polarizabilities (</w:t>
      </w:r>
      <w:r>
        <w:rPr>
          <w:rFonts w:ascii="Times New Roman" w:hAnsi="Times New Roman" w:cs="Times New Roman"/>
          <w:i/>
          <w:iCs/>
          <w:sz w:val="24"/>
          <w:szCs w:val="24"/>
          <w:lang w:val="el-GR"/>
        </w:rPr>
        <w:t>A</w:t>
      </w:r>
      <w:r>
        <w:rPr>
          <w:rFonts w:ascii="Times New Roman" w:hAnsi="Times New Roman" w:cs="Times New Roman"/>
          <w:sz w:val="24"/>
          <w:szCs w:val="24"/>
          <w:lang w:val="el-GR"/>
        </w:rPr>
        <w:t>)</w:t>
      </w:r>
      <w:r>
        <w:rPr>
          <w:rFonts w:ascii="Times New Roman" w:hAnsi="Times New Roman" w:cs="Times New Roman"/>
          <w:sz w:val="24"/>
          <w:szCs w:val="24"/>
        </w:rPr>
        <w:t>, and dipole moments (</w:t>
      </w:r>
      <w:r>
        <w:rPr>
          <w:rFonts w:ascii="Times New Roman" w:hAnsi="Times New Roman" w:cs="Times New Roman"/>
          <w:i/>
          <w:iCs/>
          <w:sz w:val="24"/>
          <w:szCs w:val="24"/>
        </w:rPr>
        <w:t>μ</w:t>
      </w:r>
      <w:r>
        <w:rPr>
          <w:rFonts w:ascii="Times New Roman" w:hAnsi="Times New Roman" w:cs="Times New Roman"/>
          <w:sz w:val="24"/>
          <w:szCs w:val="24"/>
        </w:rPr>
        <w:t>) for the electrolyte components established in this work. Mean denotes the averaged value; SD denotes the standard deviation.</w:t>
      </w: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275"/>
        <w:gridCol w:w="1053"/>
        <w:gridCol w:w="1019"/>
        <w:gridCol w:w="1010"/>
        <w:gridCol w:w="1165"/>
        <w:gridCol w:w="1010"/>
        <w:gridCol w:w="1165"/>
        <w:gridCol w:w="1167"/>
      </w:tblGrid>
      <w:tr w14:paraId="603AFAB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restart"/>
            <w:vAlign w:val="center"/>
          </w:tcPr>
          <w:p w14:paraId="42FD5100">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Species</w:t>
            </w:r>
          </w:p>
        </w:tc>
        <w:tc>
          <w:tcPr>
            <w:tcW w:w="594" w:type="pct"/>
            <w:vMerge w:val="restart"/>
            <w:vAlign w:val="center"/>
          </w:tcPr>
          <w:p w14:paraId="0B1949FD">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Atom</w:t>
            </w:r>
          </w:p>
        </w:tc>
        <w:tc>
          <w:tcPr>
            <w:tcW w:w="1145" w:type="pct"/>
            <w:gridSpan w:val="2"/>
            <w:vAlign w:val="center"/>
          </w:tcPr>
          <w:p w14:paraId="64383258">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α</w:t>
            </w:r>
            <w:r>
              <w:rPr>
                <w:rFonts w:ascii="Times New Roman" w:hAnsi="Times New Roman" w:eastAsia="等线" w:cs="Times New Roman"/>
                <w:b/>
                <w:bCs/>
                <w:color w:val="000000"/>
                <w:kern w:val="0"/>
                <w:szCs w:val="21"/>
              </w:rPr>
              <w:t xml:space="preserve"> (Å</w:t>
            </w:r>
            <w:r>
              <w:rPr>
                <w:rFonts w:ascii="Times New Roman" w:hAnsi="Times New Roman" w:eastAsia="等线" w:cs="Times New Roman"/>
                <w:b/>
                <w:bCs/>
                <w:color w:val="000000"/>
                <w:kern w:val="0"/>
                <w:szCs w:val="21"/>
                <w:vertAlign w:val="superscript"/>
              </w:rPr>
              <w:t>3</w:t>
            </w:r>
            <w:r>
              <w:rPr>
                <w:rFonts w:ascii="Times New Roman" w:hAnsi="Times New Roman" w:eastAsia="等线" w:cs="Times New Roman"/>
                <w:b/>
                <w:bCs/>
                <w:color w:val="000000"/>
                <w:kern w:val="0"/>
                <w:szCs w:val="21"/>
              </w:rPr>
              <w:t>)</w:t>
            </w:r>
          </w:p>
        </w:tc>
        <w:tc>
          <w:tcPr>
            <w:tcW w:w="1227" w:type="pct"/>
            <w:gridSpan w:val="2"/>
            <w:vAlign w:val="center"/>
          </w:tcPr>
          <w:p w14:paraId="5AF04617">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A</w:t>
            </w:r>
            <w:r>
              <w:rPr>
                <w:rFonts w:ascii="Times New Roman" w:hAnsi="Times New Roman" w:eastAsia="等线" w:cs="Times New Roman"/>
                <w:b/>
                <w:bCs/>
                <w:color w:val="000000"/>
                <w:kern w:val="0"/>
                <w:szCs w:val="21"/>
              </w:rPr>
              <w:t xml:space="preserve"> (Å</w:t>
            </w:r>
            <w:r>
              <w:rPr>
                <w:rFonts w:ascii="Times New Roman" w:hAnsi="Times New Roman" w:eastAsia="等线" w:cs="Times New Roman"/>
                <w:b/>
                <w:bCs/>
                <w:color w:val="000000"/>
                <w:kern w:val="0"/>
                <w:szCs w:val="21"/>
                <w:vertAlign w:val="superscript"/>
              </w:rPr>
              <w:t>3</w:t>
            </w:r>
            <w:r>
              <w:rPr>
                <w:rFonts w:ascii="Times New Roman" w:hAnsi="Times New Roman" w:eastAsia="等线" w:cs="Times New Roman"/>
                <w:b/>
                <w:bCs/>
                <w:color w:val="000000"/>
                <w:kern w:val="0"/>
                <w:szCs w:val="21"/>
              </w:rPr>
              <w:t>)</w:t>
            </w:r>
          </w:p>
        </w:tc>
        <w:tc>
          <w:tcPr>
            <w:tcW w:w="1315" w:type="pct"/>
            <w:gridSpan w:val="2"/>
            <w:vAlign w:val="center"/>
          </w:tcPr>
          <w:p w14:paraId="4EBDBE51">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μ</w:t>
            </w:r>
            <w:r>
              <w:rPr>
                <w:rFonts w:ascii="Times New Roman" w:hAnsi="Times New Roman" w:eastAsia="等线" w:cs="Times New Roman"/>
                <w:b/>
                <w:bCs/>
                <w:color w:val="000000"/>
                <w:kern w:val="0"/>
                <w:szCs w:val="21"/>
              </w:rPr>
              <w:t xml:space="preserve"> (Debye)</w:t>
            </w:r>
          </w:p>
        </w:tc>
      </w:tr>
      <w:tr w14:paraId="77EA3EA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51B1681E">
            <w:pPr>
              <w:widowControl/>
              <w:jc w:val="left"/>
              <w:rPr>
                <w:rFonts w:ascii="Times New Roman" w:hAnsi="Times New Roman" w:eastAsia="等线" w:cs="Times New Roman"/>
                <w:b/>
                <w:bCs/>
                <w:color w:val="000000"/>
                <w:kern w:val="0"/>
                <w:szCs w:val="21"/>
              </w:rPr>
            </w:pPr>
          </w:p>
        </w:tc>
        <w:tc>
          <w:tcPr>
            <w:tcW w:w="594" w:type="pct"/>
            <w:vMerge w:val="continue"/>
            <w:vAlign w:val="center"/>
          </w:tcPr>
          <w:p w14:paraId="1DF429BB">
            <w:pPr>
              <w:widowControl/>
              <w:jc w:val="left"/>
              <w:rPr>
                <w:rFonts w:ascii="Times New Roman" w:hAnsi="Times New Roman" w:eastAsia="等线" w:cs="Times New Roman"/>
                <w:b/>
                <w:bCs/>
                <w:color w:val="000000"/>
                <w:kern w:val="0"/>
                <w:szCs w:val="21"/>
              </w:rPr>
            </w:pPr>
          </w:p>
        </w:tc>
        <w:tc>
          <w:tcPr>
            <w:tcW w:w="575" w:type="pct"/>
            <w:vAlign w:val="center"/>
          </w:tcPr>
          <w:p w14:paraId="3AF1B4D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570" w:type="pct"/>
            <w:vAlign w:val="center"/>
          </w:tcPr>
          <w:p w14:paraId="65B26D2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c>
          <w:tcPr>
            <w:tcW w:w="657" w:type="pct"/>
            <w:vAlign w:val="center"/>
          </w:tcPr>
          <w:p w14:paraId="09121FA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570" w:type="pct"/>
            <w:vAlign w:val="center"/>
          </w:tcPr>
          <w:p w14:paraId="1754084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c>
          <w:tcPr>
            <w:tcW w:w="657" w:type="pct"/>
            <w:vAlign w:val="center"/>
          </w:tcPr>
          <w:p w14:paraId="0DCE6CC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58" w:type="pct"/>
            <w:vAlign w:val="center"/>
          </w:tcPr>
          <w:p w14:paraId="432EDD3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r>
      <w:tr w14:paraId="5C81C3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noWrap/>
            <w:vAlign w:val="center"/>
          </w:tcPr>
          <w:p w14:paraId="70738B06">
            <w:pPr>
              <w:widowControl/>
              <w:jc w:val="center"/>
              <w:rPr>
                <w:rFonts w:ascii="Times New Roman" w:hAnsi="Times New Roman" w:eastAsia="等线" w:cs="Times New Roman"/>
                <w:color w:val="000000"/>
                <w:kern w:val="0"/>
                <w:szCs w:val="21"/>
              </w:rPr>
            </w:pPr>
            <w:r>
              <w:rPr>
                <w:rFonts w:ascii="Times New Roman" w:hAnsi="Times New Roman" w:cs="Times New Roman"/>
                <w:szCs w:val="21"/>
              </w:rPr>
              <w:t>Li</w:t>
            </w:r>
            <w:r>
              <w:rPr>
                <w:rFonts w:ascii="Times New Roman" w:hAnsi="Times New Roman" w:cs="Times New Roman"/>
                <w:szCs w:val="21"/>
                <w:vertAlign w:val="superscript"/>
              </w:rPr>
              <w:t>+</w:t>
            </w:r>
          </w:p>
        </w:tc>
        <w:tc>
          <w:tcPr>
            <w:tcW w:w="594" w:type="pct"/>
            <w:noWrap/>
            <w:vAlign w:val="center"/>
          </w:tcPr>
          <w:p w14:paraId="1BA9621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p>
        </w:tc>
        <w:tc>
          <w:tcPr>
            <w:tcW w:w="575" w:type="pct"/>
            <w:noWrap/>
            <w:vAlign w:val="center"/>
          </w:tcPr>
          <w:p w14:paraId="4C24B80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0.019 </w:t>
            </w:r>
          </w:p>
        </w:tc>
        <w:tc>
          <w:tcPr>
            <w:tcW w:w="570" w:type="pct"/>
            <w:noWrap/>
            <w:vAlign w:val="center"/>
          </w:tcPr>
          <w:p w14:paraId="37B52D8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57" w:type="pct"/>
            <w:noWrap/>
            <w:vAlign w:val="center"/>
          </w:tcPr>
          <w:p w14:paraId="3C9F677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0.019 </w:t>
            </w:r>
          </w:p>
        </w:tc>
        <w:tc>
          <w:tcPr>
            <w:tcW w:w="570" w:type="pct"/>
            <w:noWrap/>
            <w:vAlign w:val="center"/>
          </w:tcPr>
          <w:p w14:paraId="4A51CDA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57" w:type="pct"/>
            <w:noWrap/>
            <w:vAlign w:val="center"/>
          </w:tcPr>
          <w:p w14:paraId="3F4C203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c>
          <w:tcPr>
            <w:tcW w:w="658" w:type="pct"/>
            <w:noWrap/>
            <w:vAlign w:val="center"/>
          </w:tcPr>
          <w:p w14:paraId="667CCAE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12316EB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restart"/>
            <w:noWrap/>
            <w:vAlign w:val="center"/>
          </w:tcPr>
          <w:p w14:paraId="794864DF">
            <w:pPr>
              <w:widowControl/>
              <w:jc w:val="center"/>
              <w:rPr>
                <w:rFonts w:ascii="Times New Roman" w:hAnsi="Times New Roman" w:eastAsia="等线" w:cs="Times New Roman"/>
                <w:color w:val="000000"/>
                <w:kern w:val="0"/>
                <w:szCs w:val="21"/>
              </w:rPr>
            </w:pPr>
            <w:r>
              <w:rPr>
                <w:rFonts w:ascii="Times New Roman" w:hAnsi="Times New Roman" w:cs="Times New Roman"/>
                <w:szCs w:val="21"/>
              </w:rPr>
              <w:t>FSI</w:t>
            </w:r>
            <w:r>
              <w:rPr>
                <w:rFonts w:ascii="Times New Roman" w:hAnsi="Times New Roman" w:cs="Times New Roman"/>
                <w:szCs w:val="21"/>
                <w:vertAlign w:val="superscript"/>
              </w:rPr>
              <w:t>-</w:t>
            </w:r>
          </w:p>
        </w:tc>
        <w:tc>
          <w:tcPr>
            <w:tcW w:w="594" w:type="pct"/>
            <w:noWrap/>
            <w:vAlign w:val="center"/>
          </w:tcPr>
          <w:p w14:paraId="6952C66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N</w:t>
            </w:r>
          </w:p>
        </w:tc>
        <w:tc>
          <w:tcPr>
            <w:tcW w:w="575" w:type="pct"/>
            <w:noWrap/>
            <w:vAlign w:val="center"/>
          </w:tcPr>
          <w:p w14:paraId="2792665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0.946 </w:t>
            </w:r>
          </w:p>
        </w:tc>
        <w:tc>
          <w:tcPr>
            <w:tcW w:w="570" w:type="pct"/>
            <w:noWrap/>
            <w:vAlign w:val="center"/>
          </w:tcPr>
          <w:p w14:paraId="366BDF6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0.017 </w:t>
            </w:r>
          </w:p>
        </w:tc>
        <w:tc>
          <w:tcPr>
            <w:tcW w:w="657" w:type="pct"/>
            <w:vMerge w:val="restart"/>
            <w:noWrap/>
            <w:vAlign w:val="center"/>
          </w:tcPr>
          <w:p w14:paraId="63676D0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9.610 </w:t>
            </w:r>
          </w:p>
        </w:tc>
        <w:tc>
          <w:tcPr>
            <w:tcW w:w="570" w:type="pct"/>
            <w:vMerge w:val="restart"/>
            <w:noWrap/>
            <w:vAlign w:val="center"/>
          </w:tcPr>
          <w:p w14:paraId="11CE9F3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0.122 </w:t>
            </w:r>
          </w:p>
        </w:tc>
        <w:tc>
          <w:tcPr>
            <w:tcW w:w="657" w:type="pct"/>
            <w:vMerge w:val="restart"/>
            <w:noWrap/>
            <w:vAlign w:val="center"/>
          </w:tcPr>
          <w:p w14:paraId="3EBF4D4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1.7325 </w:t>
            </w:r>
          </w:p>
        </w:tc>
        <w:tc>
          <w:tcPr>
            <w:tcW w:w="658" w:type="pct"/>
            <w:vMerge w:val="restart"/>
            <w:noWrap/>
            <w:vAlign w:val="center"/>
          </w:tcPr>
          <w:p w14:paraId="4C05B65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0.8288 </w:t>
            </w:r>
          </w:p>
        </w:tc>
      </w:tr>
      <w:tr w14:paraId="5866B08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0D704788">
            <w:pPr>
              <w:widowControl/>
              <w:jc w:val="left"/>
              <w:rPr>
                <w:rFonts w:ascii="Times New Roman" w:hAnsi="Times New Roman" w:eastAsia="等线" w:cs="Times New Roman"/>
                <w:color w:val="000000"/>
                <w:kern w:val="0"/>
                <w:szCs w:val="21"/>
              </w:rPr>
            </w:pPr>
          </w:p>
        </w:tc>
        <w:tc>
          <w:tcPr>
            <w:tcW w:w="594" w:type="pct"/>
            <w:noWrap/>
            <w:vAlign w:val="center"/>
          </w:tcPr>
          <w:p w14:paraId="2774EDF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w:t>
            </w:r>
          </w:p>
        </w:tc>
        <w:tc>
          <w:tcPr>
            <w:tcW w:w="575" w:type="pct"/>
            <w:noWrap/>
            <w:vAlign w:val="center"/>
          </w:tcPr>
          <w:p w14:paraId="4BDA1A7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0.709 </w:t>
            </w:r>
          </w:p>
        </w:tc>
        <w:tc>
          <w:tcPr>
            <w:tcW w:w="570" w:type="pct"/>
            <w:noWrap/>
            <w:vAlign w:val="center"/>
          </w:tcPr>
          <w:p w14:paraId="0935F2C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0.009 </w:t>
            </w:r>
          </w:p>
        </w:tc>
        <w:tc>
          <w:tcPr>
            <w:tcW w:w="657" w:type="pct"/>
            <w:vMerge w:val="continue"/>
            <w:vAlign w:val="center"/>
          </w:tcPr>
          <w:p w14:paraId="75AF1122">
            <w:pPr>
              <w:widowControl/>
              <w:jc w:val="left"/>
              <w:rPr>
                <w:rFonts w:ascii="Times New Roman" w:hAnsi="Times New Roman" w:eastAsia="等线" w:cs="Times New Roman"/>
                <w:color w:val="000000"/>
                <w:kern w:val="0"/>
                <w:szCs w:val="21"/>
              </w:rPr>
            </w:pPr>
          </w:p>
        </w:tc>
        <w:tc>
          <w:tcPr>
            <w:tcW w:w="570" w:type="pct"/>
            <w:vMerge w:val="continue"/>
            <w:vAlign w:val="center"/>
          </w:tcPr>
          <w:p w14:paraId="58312D93">
            <w:pPr>
              <w:widowControl/>
              <w:jc w:val="left"/>
              <w:rPr>
                <w:rFonts w:ascii="Times New Roman" w:hAnsi="Times New Roman" w:eastAsia="等线" w:cs="Times New Roman"/>
                <w:color w:val="000000"/>
                <w:kern w:val="0"/>
                <w:szCs w:val="21"/>
              </w:rPr>
            </w:pPr>
          </w:p>
        </w:tc>
        <w:tc>
          <w:tcPr>
            <w:tcW w:w="657" w:type="pct"/>
            <w:vMerge w:val="continue"/>
            <w:vAlign w:val="center"/>
          </w:tcPr>
          <w:p w14:paraId="71AE53B7">
            <w:pPr>
              <w:widowControl/>
              <w:jc w:val="left"/>
              <w:rPr>
                <w:rFonts w:ascii="Times New Roman" w:hAnsi="Times New Roman" w:eastAsia="等线" w:cs="Times New Roman"/>
                <w:color w:val="000000"/>
                <w:kern w:val="0"/>
                <w:szCs w:val="21"/>
              </w:rPr>
            </w:pPr>
          </w:p>
        </w:tc>
        <w:tc>
          <w:tcPr>
            <w:tcW w:w="658" w:type="pct"/>
            <w:vMerge w:val="continue"/>
            <w:vAlign w:val="center"/>
          </w:tcPr>
          <w:p w14:paraId="47CE8239">
            <w:pPr>
              <w:widowControl/>
              <w:jc w:val="left"/>
              <w:rPr>
                <w:rFonts w:ascii="Times New Roman" w:hAnsi="Times New Roman" w:eastAsia="等线" w:cs="Times New Roman"/>
                <w:color w:val="000000"/>
                <w:kern w:val="0"/>
                <w:szCs w:val="21"/>
              </w:rPr>
            </w:pPr>
          </w:p>
        </w:tc>
      </w:tr>
      <w:tr w14:paraId="448551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768F137D">
            <w:pPr>
              <w:widowControl/>
              <w:jc w:val="left"/>
              <w:rPr>
                <w:rFonts w:ascii="Times New Roman" w:hAnsi="Times New Roman" w:eastAsia="等线" w:cs="Times New Roman"/>
                <w:color w:val="000000"/>
                <w:kern w:val="0"/>
                <w:szCs w:val="21"/>
              </w:rPr>
            </w:pPr>
          </w:p>
        </w:tc>
        <w:tc>
          <w:tcPr>
            <w:tcW w:w="594" w:type="pct"/>
            <w:noWrap/>
            <w:vAlign w:val="center"/>
          </w:tcPr>
          <w:p w14:paraId="69EBAA8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w:t>
            </w:r>
          </w:p>
        </w:tc>
        <w:tc>
          <w:tcPr>
            <w:tcW w:w="575" w:type="pct"/>
            <w:noWrap/>
            <w:vAlign w:val="center"/>
          </w:tcPr>
          <w:p w14:paraId="10FAE51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2.442 </w:t>
            </w:r>
          </w:p>
        </w:tc>
        <w:tc>
          <w:tcPr>
            <w:tcW w:w="570" w:type="pct"/>
            <w:noWrap/>
            <w:vAlign w:val="center"/>
          </w:tcPr>
          <w:p w14:paraId="0432DB6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0.031 </w:t>
            </w:r>
          </w:p>
        </w:tc>
        <w:tc>
          <w:tcPr>
            <w:tcW w:w="657" w:type="pct"/>
            <w:vMerge w:val="continue"/>
            <w:vAlign w:val="center"/>
          </w:tcPr>
          <w:p w14:paraId="2E18B00D">
            <w:pPr>
              <w:widowControl/>
              <w:jc w:val="left"/>
              <w:rPr>
                <w:rFonts w:ascii="Times New Roman" w:hAnsi="Times New Roman" w:eastAsia="等线" w:cs="Times New Roman"/>
                <w:color w:val="000000"/>
                <w:kern w:val="0"/>
                <w:szCs w:val="21"/>
              </w:rPr>
            </w:pPr>
          </w:p>
        </w:tc>
        <w:tc>
          <w:tcPr>
            <w:tcW w:w="570" w:type="pct"/>
            <w:vMerge w:val="continue"/>
            <w:vAlign w:val="center"/>
          </w:tcPr>
          <w:p w14:paraId="0426B932">
            <w:pPr>
              <w:widowControl/>
              <w:jc w:val="left"/>
              <w:rPr>
                <w:rFonts w:ascii="Times New Roman" w:hAnsi="Times New Roman" w:eastAsia="等线" w:cs="Times New Roman"/>
                <w:color w:val="000000"/>
                <w:kern w:val="0"/>
                <w:szCs w:val="21"/>
              </w:rPr>
            </w:pPr>
          </w:p>
        </w:tc>
        <w:tc>
          <w:tcPr>
            <w:tcW w:w="657" w:type="pct"/>
            <w:vMerge w:val="continue"/>
            <w:vAlign w:val="center"/>
          </w:tcPr>
          <w:p w14:paraId="5C9B57CD">
            <w:pPr>
              <w:widowControl/>
              <w:jc w:val="left"/>
              <w:rPr>
                <w:rFonts w:ascii="Times New Roman" w:hAnsi="Times New Roman" w:eastAsia="等线" w:cs="Times New Roman"/>
                <w:color w:val="000000"/>
                <w:kern w:val="0"/>
                <w:szCs w:val="21"/>
              </w:rPr>
            </w:pPr>
          </w:p>
        </w:tc>
        <w:tc>
          <w:tcPr>
            <w:tcW w:w="658" w:type="pct"/>
            <w:vMerge w:val="continue"/>
            <w:vAlign w:val="center"/>
          </w:tcPr>
          <w:p w14:paraId="4E844CDB">
            <w:pPr>
              <w:widowControl/>
              <w:jc w:val="left"/>
              <w:rPr>
                <w:rFonts w:ascii="Times New Roman" w:hAnsi="Times New Roman" w:eastAsia="等线" w:cs="Times New Roman"/>
                <w:color w:val="000000"/>
                <w:kern w:val="0"/>
                <w:szCs w:val="21"/>
              </w:rPr>
            </w:pPr>
          </w:p>
        </w:tc>
      </w:tr>
      <w:tr w14:paraId="05177A0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498C54A8">
            <w:pPr>
              <w:widowControl/>
              <w:jc w:val="left"/>
              <w:rPr>
                <w:rFonts w:ascii="Times New Roman" w:hAnsi="Times New Roman" w:eastAsia="等线" w:cs="Times New Roman"/>
                <w:color w:val="000000"/>
                <w:kern w:val="0"/>
                <w:szCs w:val="21"/>
              </w:rPr>
            </w:pPr>
          </w:p>
        </w:tc>
        <w:tc>
          <w:tcPr>
            <w:tcW w:w="594" w:type="pct"/>
            <w:noWrap/>
            <w:vAlign w:val="center"/>
          </w:tcPr>
          <w:p w14:paraId="2798838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w:t>
            </w:r>
          </w:p>
        </w:tc>
        <w:tc>
          <w:tcPr>
            <w:tcW w:w="575" w:type="pct"/>
            <w:noWrap/>
            <w:vAlign w:val="center"/>
          </w:tcPr>
          <w:p w14:paraId="20FAAB5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0.471 </w:t>
            </w:r>
          </w:p>
        </w:tc>
        <w:tc>
          <w:tcPr>
            <w:tcW w:w="570" w:type="pct"/>
            <w:noWrap/>
            <w:vAlign w:val="center"/>
          </w:tcPr>
          <w:p w14:paraId="4B8CAFA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0.009 </w:t>
            </w:r>
          </w:p>
        </w:tc>
        <w:tc>
          <w:tcPr>
            <w:tcW w:w="657" w:type="pct"/>
            <w:vMerge w:val="continue"/>
            <w:vAlign w:val="center"/>
          </w:tcPr>
          <w:p w14:paraId="6F3C7615">
            <w:pPr>
              <w:widowControl/>
              <w:jc w:val="left"/>
              <w:rPr>
                <w:rFonts w:ascii="Times New Roman" w:hAnsi="Times New Roman" w:eastAsia="等线" w:cs="Times New Roman"/>
                <w:color w:val="000000"/>
                <w:kern w:val="0"/>
                <w:szCs w:val="21"/>
              </w:rPr>
            </w:pPr>
          </w:p>
        </w:tc>
        <w:tc>
          <w:tcPr>
            <w:tcW w:w="570" w:type="pct"/>
            <w:vMerge w:val="continue"/>
            <w:vAlign w:val="center"/>
          </w:tcPr>
          <w:p w14:paraId="7D8AF597">
            <w:pPr>
              <w:widowControl/>
              <w:jc w:val="left"/>
              <w:rPr>
                <w:rFonts w:ascii="Times New Roman" w:hAnsi="Times New Roman" w:eastAsia="等线" w:cs="Times New Roman"/>
                <w:color w:val="000000"/>
                <w:kern w:val="0"/>
                <w:szCs w:val="21"/>
              </w:rPr>
            </w:pPr>
          </w:p>
        </w:tc>
        <w:tc>
          <w:tcPr>
            <w:tcW w:w="657" w:type="pct"/>
            <w:vMerge w:val="continue"/>
            <w:vAlign w:val="center"/>
          </w:tcPr>
          <w:p w14:paraId="56FCACB2">
            <w:pPr>
              <w:widowControl/>
              <w:jc w:val="left"/>
              <w:rPr>
                <w:rFonts w:ascii="Times New Roman" w:hAnsi="Times New Roman" w:eastAsia="等线" w:cs="Times New Roman"/>
                <w:color w:val="000000"/>
                <w:kern w:val="0"/>
                <w:szCs w:val="21"/>
              </w:rPr>
            </w:pPr>
          </w:p>
        </w:tc>
        <w:tc>
          <w:tcPr>
            <w:tcW w:w="658" w:type="pct"/>
            <w:vMerge w:val="continue"/>
            <w:vAlign w:val="center"/>
          </w:tcPr>
          <w:p w14:paraId="367A18D5">
            <w:pPr>
              <w:widowControl/>
              <w:jc w:val="left"/>
              <w:rPr>
                <w:rFonts w:ascii="Times New Roman" w:hAnsi="Times New Roman" w:eastAsia="等线" w:cs="Times New Roman"/>
                <w:color w:val="000000"/>
                <w:kern w:val="0"/>
                <w:szCs w:val="21"/>
              </w:rPr>
            </w:pPr>
          </w:p>
        </w:tc>
      </w:tr>
      <w:tr w14:paraId="5095E0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restart"/>
            <w:noWrap/>
            <w:vAlign w:val="center"/>
          </w:tcPr>
          <w:p w14:paraId="70B0049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TFSI</w:t>
            </w:r>
            <w:r>
              <w:rPr>
                <w:rFonts w:ascii="Times New Roman" w:hAnsi="Times New Roman" w:cs="Times New Roman"/>
                <w:szCs w:val="21"/>
                <w:vertAlign w:val="superscript"/>
              </w:rPr>
              <w:t>-</w:t>
            </w:r>
          </w:p>
        </w:tc>
        <w:tc>
          <w:tcPr>
            <w:tcW w:w="594" w:type="pct"/>
            <w:noWrap/>
            <w:vAlign w:val="center"/>
          </w:tcPr>
          <w:p w14:paraId="2BAC6C8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CT</w:t>
            </w:r>
          </w:p>
        </w:tc>
        <w:tc>
          <w:tcPr>
            <w:tcW w:w="575" w:type="pct"/>
            <w:noWrap/>
            <w:vAlign w:val="center"/>
          </w:tcPr>
          <w:p w14:paraId="10CCF52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1.343 </w:t>
            </w:r>
          </w:p>
        </w:tc>
        <w:tc>
          <w:tcPr>
            <w:tcW w:w="570" w:type="pct"/>
            <w:noWrap/>
            <w:vAlign w:val="center"/>
          </w:tcPr>
          <w:p w14:paraId="21E4A44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0.019 </w:t>
            </w:r>
          </w:p>
        </w:tc>
        <w:tc>
          <w:tcPr>
            <w:tcW w:w="657" w:type="pct"/>
            <w:vMerge w:val="restart"/>
            <w:noWrap/>
            <w:vAlign w:val="center"/>
          </w:tcPr>
          <w:p w14:paraId="5B7F98A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13.935 </w:t>
            </w:r>
          </w:p>
        </w:tc>
        <w:tc>
          <w:tcPr>
            <w:tcW w:w="570" w:type="pct"/>
            <w:vMerge w:val="restart"/>
            <w:noWrap/>
            <w:vAlign w:val="center"/>
          </w:tcPr>
          <w:p w14:paraId="49101C7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0.209 </w:t>
            </w:r>
          </w:p>
        </w:tc>
        <w:tc>
          <w:tcPr>
            <w:tcW w:w="657" w:type="pct"/>
            <w:vMerge w:val="restart"/>
            <w:noWrap/>
            <w:vAlign w:val="center"/>
          </w:tcPr>
          <w:p w14:paraId="0A215E0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3.6986 </w:t>
            </w:r>
          </w:p>
        </w:tc>
        <w:tc>
          <w:tcPr>
            <w:tcW w:w="658" w:type="pct"/>
            <w:vMerge w:val="restart"/>
            <w:noWrap/>
            <w:vAlign w:val="center"/>
          </w:tcPr>
          <w:p w14:paraId="3D21B12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1.6373 </w:t>
            </w:r>
          </w:p>
        </w:tc>
      </w:tr>
      <w:tr w14:paraId="079917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20E13564">
            <w:pPr>
              <w:widowControl/>
              <w:jc w:val="left"/>
              <w:rPr>
                <w:rFonts w:ascii="Times New Roman" w:hAnsi="Times New Roman" w:eastAsia="等线" w:cs="Times New Roman"/>
                <w:color w:val="000000"/>
                <w:kern w:val="0"/>
                <w:szCs w:val="21"/>
              </w:rPr>
            </w:pPr>
          </w:p>
        </w:tc>
        <w:tc>
          <w:tcPr>
            <w:tcW w:w="594" w:type="pct"/>
            <w:noWrap/>
            <w:vAlign w:val="center"/>
          </w:tcPr>
          <w:p w14:paraId="7AC9F76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FT</w:t>
            </w:r>
          </w:p>
        </w:tc>
        <w:tc>
          <w:tcPr>
            <w:tcW w:w="575" w:type="pct"/>
            <w:noWrap/>
            <w:vAlign w:val="center"/>
          </w:tcPr>
          <w:p w14:paraId="3124D52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0.457 </w:t>
            </w:r>
          </w:p>
        </w:tc>
        <w:tc>
          <w:tcPr>
            <w:tcW w:w="570" w:type="pct"/>
            <w:noWrap/>
            <w:vAlign w:val="center"/>
          </w:tcPr>
          <w:p w14:paraId="6D111B2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0.006 </w:t>
            </w:r>
          </w:p>
        </w:tc>
        <w:tc>
          <w:tcPr>
            <w:tcW w:w="657" w:type="pct"/>
            <w:vMerge w:val="continue"/>
            <w:vAlign w:val="center"/>
          </w:tcPr>
          <w:p w14:paraId="444B3135">
            <w:pPr>
              <w:widowControl/>
              <w:jc w:val="left"/>
              <w:rPr>
                <w:rFonts w:ascii="Times New Roman" w:hAnsi="Times New Roman" w:eastAsia="等线" w:cs="Times New Roman"/>
                <w:color w:val="000000"/>
                <w:kern w:val="0"/>
                <w:szCs w:val="21"/>
              </w:rPr>
            </w:pPr>
          </w:p>
        </w:tc>
        <w:tc>
          <w:tcPr>
            <w:tcW w:w="570" w:type="pct"/>
            <w:vMerge w:val="continue"/>
            <w:vAlign w:val="center"/>
          </w:tcPr>
          <w:p w14:paraId="13ABA549">
            <w:pPr>
              <w:widowControl/>
              <w:jc w:val="left"/>
              <w:rPr>
                <w:rFonts w:ascii="Times New Roman" w:hAnsi="Times New Roman" w:eastAsia="等线" w:cs="Times New Roman"/>
                <w:color w:val="000000"/>
                <w:kern w:val="0"/>
                <w:szCs w:val="21"/>
              </w:rPr>
            </w:pPr>
          </w:p>
        </w:tc>
        <w:tc>
          <w:tcPr>
            <w:tcW w:w="657" w:type="pct"/>
            <w:vMerge w:val="continue"/>
            <w:vAlign w:val="center"/>
          </w:tcPr>
          <w:p w14:paraId="3AF08BA1">
            <w:pPr>
              <w:widowControl/>
              <w:jc w:val="left"/>
              <w:rPr>
                <w:rFonts w:ascii="Times New Roman" w:hAnsi="Times New Roman" w:eastAsia="等线" w:cs="Times New Roman"/>
                <w:color w:val="000000"/>
                <w:kern w:val="0"/>
                <w:szCs w:val="21"/>
              </w:rPr>
            </w:pPr>
          </w:p>
        </w:tc>
        <w:tc>
          <w:tcPr>
            <w:tcW w:w="658" w:type="pct"/>
            <w:vMerge w:val="continue"/>
            <w:vAlign w:val="center"/>
          </w:tcPr>
          <w:p w14:paraId="39297C7A">
            <w:pPr>
              <w:widowControl/>
              <w:jc w:val="left"/>
              <w:rPr>
                <w:rFonts w:ascii="Times New Roman" w:hAnsi="Times New Roman" w:eastAsia="等线" w:cs="Times New Roman"/>
                <w:color w:val="000000"/>
                <w:kern w:val="0"/>
                <w:szCs w:val="21"/>
              </w:rPr>
            </w:pPr>
          </w:p>
        </w:tc>
      </w:tr>
      <w:tr w14:paraId="311D64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1731333D">
            <w:pPr>
              <w:widowControl/>
              <w:jc w:val="left"/>
              <w:rPr>
                <w:rFonts w:ascii="Times New Roman" w:hAnsi="Times New Roman" w:eastAsia="等线" w:cs="Times New Roman"/>
                <w:color w:val="000000"/>
                <w:kern w:val="0"/>
                <w:szCs w:val="21"/>
              </w:rPr>
            </w:pPr>
          </w:p>
        </w:tc>
        <w:tc>
          <w:tcPr>
            <w:tcW w:w="594" w:type="pct"/>
            <w:noWrap/>
            <w:vAlign w:val="center"/>
          </w:tcPr>
          <w:p w14:paraId="558762C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ST</w:t>
            </w:r>
          </w:p>
        </w:tc>
        <w:tc>
          <w:tcPr>
            <w:tcW w:w="575" w:type="pct"/>
            <w:noWrap/>
            <w:vAlign w:val="center"/>
          </w:tcPr>
          <w:p w14:paraId="45E47DC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2.388 </w:t>
            </w:r>
          </w:p>
        </w:tc>
        <w:tc>
          <w:tcPr>
            <w:tcW w:w="570" w:type="pct"/>
            <w:noWrap/>
            <w:vAlign w:val="center"/>
          </w:tcPr>
          <w:p w14:paraId="69B9F1D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0.038 </w:t>
            </w:r>
          </w:p>
        </w:tc>
        <w:tc>
          <w:tcPr>
            <w:tcW w:w="657" w:type="pct"/>
            <w:vMerge w:val="continue"/>
            <w:vAlign w:val="center"/>
          </w:tcPr>
          <w:p w14:paraId="1D7FA7F0">
            <w:pPr>
              <w:widowControl/>
              <w:jc w:val="left"/>
              <w:rPr>
                <w:rFonts w:ascii="Times New Roman" w:hAnsi="Times New Roman" w:eastAsia="等线" w:cs="Times New Roman"/>
                <w:color w:val="000000"/>
                <w:kern w:val="0"/>
                <w:szCs w:val="21"/>
              </w:rPr>
            </w:pPr>
          </w:p>
        </w:tc>
        <w:tc>
          <w:tcPr>
            <w:tcW w:w="570" w:type="pct"/>
            <w:vMerge w:val="continue"/>
            <w:vAlign w:val="center"/>
          </w:tcPr>
          <w:p w14:paraId="455A6C11">
            <w:pPr>
              <w:widowControl/>
              <w:jc w:val="left"/>
              <w:rPr>
                <w:rFonts w:ascii="Times New Roman" w:hAnsi="Times New Roman" w:eastAsia="等线" w:cs="Times New Roman"/>
                <w:color w:val="000000"/>
                <w:kern w:val="0"/>
                <w:szCs w:val="21"/>
              </w:rPr>
            </w:pPr>
          </w:p>
        </w:tc>
        <w:tc>
          <w:tcPr>
            <w:tcW w:w="657" w:type="pct"/>
            <w:vMerge w:val="continue"/>
            <w:vAlign w:val="center"/>
          </w:tcPr>
          <w:p w14:paraId="38F0A5C3">
            <w:pPr>
              <w:widowControl/>
              <w:jc w:val="left"/>
              <w:rPr>
                <w:rFonts w:ascii="Times New Roman" w:hAnsi="Times New Roman" w:eastAsia="等线" w:cs="Times New Roman"/>
                <w:color w:val="000000"/>
                <w:kern w:val="0"/>
                <w:szCs w:val="21"/>
              </w:rPr>
            </w:pPr>
          </w:p>
        </w:tc>
        <w:tc>
          <w:tcPr>
            <w:tcW w:w="658" w:type="pct"/>
            <w:vMerge w:val="continue"/>
            <w:vAlign w:val="center"/>
          </w:tcPr>
          <w:p w14:paraId="0313FEAA">
            <w:pPr>
              <w:widowControl/>
              <w:jc w:val="left"/>
              <w:rPr>
                <w:rFonts w:ascii="Times New Roman" w:hAnsi="Times New Roman" w:eastAsia="等线" w:cs="Times New Roman"/>
                <w:color w:val="000000"/>
                <w:kern w:val="0"/>
                <w:szCs w:val="21"/>
              </w:rPr>
            </w:pPr>
          </w:p>
        </w:tc>
      </w:tr>
      <w:tr w14:paraId="72030B2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4FA72FD1">
            <w:pPr>
              <w:widowControl/>
              <w:jc w:val="left"/>
              <w:rPr>
                <w:rFonts w:ascii="Times New Roman" w:hAnsi="Times New Roman" w:eastAsia="等线" w:cs="Times New Roman"/>
                <w:color w:val="000000"/>
                <w:kern w:val="0"/>
                <w:szCs w:val="21"/>
              </w:rPr>
            </w:pPr>
          </w:p>
        </w:tc>
        <w:tc>
          <w:tcPr>
            <w:tcW w:w="594" w:type="pct"/>
            <w:noWrap/>
            <w:vAlign w:val="center"/>
          </w:tcPr>
          <w:p w14:paraId="5BE2576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NT</w:t>
            </w:r>
          </w:p>
        </w:tc>
        <w:tc>
          <w:tcPr>
            <w:tcW w:w="575" w:type="pct"/>
            <w:noWrap/>
            <w:vAlign w:val="center"/>
          </w:tcPr>
          <w:p w14:paraId="15406C5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0.930 </w:t>
            </w:r>
          </w:p>
        </w:tc>
        <w:tc>
          <w:tcPr>
            <w:tcW w:w="570" w:type="pct"/>
            <w:noWrap/>
            <w:vAlign w:val="center"/>
          </w:tcPr>
          <w:p w14:paraId="63889EC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0.021 </w:t>
            </w:r>
          </w:p>
        </w:tc>
        <w:tc>
          <w:tcPr>
            <w:tcW w:w="657" w:type="pct"/>
            <w:vMerge w:val="continue"/>
            <w:vAlign w:val="center"/>
          </w:tcPr>
          <w:p w14:paraId="0B40A824">
            <w:pPr>
              <w:widowControl/>
              <w:jc w:val="left"/>
              <w:rPr>
                <w:rFonts w:ascii="Times New Roman" w:hAnsi="Times New Roman" w:eastAsia="等线" w:cs="Times New Roman"/>
                <w:color w:val="000000"/>
                <w:kern w:val="0"/>
                <w:szCs w:val="21"/>
              </w:rPr>
            </w:pPr>
          </w:p>
        </w:tc>
        <w:tc>
          <w:tcPr>
            <w:tcW w:w="570" w:type="pct"/>
            <w:vMerge w:val="continue"/>
            <w:vAlign w:val="center"/>
          </w:tcPr>
          <w:p w14:paraId="4A7F311D">
            <w:pPr>
              <w:widowControl/>
              <w:jc w:val="left"/>
              <w:rPr>
                <w:rFonts w:ascii="Times New Roman" w:hAnsi="Times New Roman" w:eastAsia="等线" w:cs="Times New Roman"/>
                <w:color w:val="000000"/>
                <w:kern w:val="0"/>
                <w:szCs w:val="21"/>
              </w:rPr>
            </w:pPr>
          </w:p>
        </w:tc>
        <w:tc>
          <w:tcPr>
            <w:tcW w:w="657" w:type="pct"/>
            <w:vMerge w:val="continue"/>
            <w:vAlign w:val="center"/>
          </w:tcPr>
          <w:p w14:paraId="0C8BFCAE">
            <w:pPr>
              <w:widowControl/>
              <w:jc w:val="left"/>
              <w:rPr>
                <w:rFonts w:ascii="Times New Roman" w:hAnsi="Times New Roman" w:eastAsia="等线" w:cs="Times New Roman"/>
                <w:color w:val="000000"/>
                <w:kern w:val="0"/>
                <w:szCs w:val="21"/>
              </w:rPr>
            </w:pPr>
          </w:p>
        </w:tc>
        <w:tc>
          <w:tcPr>
            <w:tcW w:w="658" w:type="pct"/>
            <w:vMerge w:val="continue"/>
            <w:vAlign w:val="center"/>
          </w:tcPr>
          <w:p w14:paraId="71695C33">
            <w:pPr>
              <w:widowControl/>
              <w:jc w:val="left"/>
              <w:rPr>
                <w:rFonts w:ascii="Times New Roman" w:hAnsi="Times New Roman" w:eastAsia="等线" w:cs="Times New Roman"/>
                <w:color w:val="000000"/>
                <w:kern w:val="0"/>
                <w:szCs w:val="21"/>
              </w:rPr>
            </w:pPr>
          </w:p>
        </w:tc>
      </w:tr>
      <w:tr w14:paraId="171A0F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79D0F13F">
            <w:pPr>
              <w:widowControl/>
              <w:jc w:val="left"/>
              <w:rPr>
                <w:rFonts w:ascii="Times New Roman" w:hAnsi="Times New Roman" w:eastAsia="等线" w:cs="Times New Roman"/>
                <w:color w:val="000000"/>
                <w:kern w:val="0"/>
                <w:szCs w:val="21"/>
              </w:rPr>
            </w:pPr>
          </w:p>
        </w:tc>
        <w:tc>
          <w:tcPr>
            <w:tcW w:w="594" w:type="pct"/>
            <w:noWrap/>
            <w:vAlign w:val="center"/>
          </w:tcPr>
          <w:p w14:paraId="5FC402B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OT</w:t>
            </w:r>
          </w:p>
        </w:tc>
        <w:tc>
          <w:tcPr>
            <w:tcW w:w="575" w:type="pct"/>
            <w:noWrap/>
            <w:vAlign w:val="center"/>
          </w:tcPr>
          <w:p w14:paraId="7DA9C21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0.700 </w:t>
            </w:r>
          </w:p>
        </w:tc>
        <w:tc>
          <w:tcPr>
            <w:tcW w:w="570" w:type="pct"/>
            <w:noWrap/>
            <w:vAlign w:val="center"/>
          </w:tcPr>
          <w:p w14:paraId="74878D0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0.010 </w:t>
            </w:r>
          </w:p>
        </w:tc>
        <w:tc>
          <w:tcPr>
            <w:tcW w:w="657" w:type="pct"/>
            <w:vMerge w:val="continue"/>
            <w:vAlign w:val="center"/>
          </w:tcPr>
          <w:p w14:paraId="0F3A0084">
            <w:pPr>
              <w:widowControl/>
              <w:jc w:val="left"/>
              <w:rPr>
                <w:rFonts w:ascii="Times New Roman" w:hAnsi="Times New Roman" w:eastAsia="等线" w:cs="Times New Roman"/>
                <w:color w:val="000000"/>
                <w:kern w:val="0"/>
                <w:szCs w:val="21"/>
              </w:rPr>
            </w:pPr>
          </w:p>
        </w:tc>
        <w:tc>
          <w:tcPr>
            <w:tcW w:w="570" w:type="pct"/>
            <w:vMerge w:val="continue"/>
            <w:vAlign w:val="center"/>
          </w:tcPr>
          <w:p w14:paraId="3F3279A2">
            <w:pPr>
              <w:widowControl/>
              <w:jc w:val="left"/>
              <w:rPr>
                <w:rFonts w:ascii="Times New Roman" w:hAnsi="Times New Roman" w:eastAsia="等线" w:cs="Times New Roman"/>
                <w:color w:val="000000"/>
                <w:kern w:val="0"/>
                <w:szCs w:val="21"/>
              </w:rPr>
            </w:pPr>
          </w:p>
        </w:tc>
        <w:tc>
          <w:tcPr>
            <w:tcW w:w="657" w:type="pct"/>
            <w:vMerge w:val="continue"/>
            <w:vAlign w:val="center"/>
          </w:tcPr>
          <w:p w14:paraId="0E70FFBD">
            <w:pPr>
              <w:widowControl/>
              <w:jc w:val="left"/>
              <w:rPr>
                <w:rFonts w:ascii="Times New Roman" w:hAnsi="Times New Roman" w:eastAsia="等线" w:cs="Times New Roman"/>
                <w:color w:val="000000"/>
                <w:kern w:val="0"/>
                <w:szCs w:val="21"/>
              </w:rPr>
            </w:pPr>
          </w:p>
        </w:tc>
        <w:tc>
          <w:tcPr>
            <w:tcW w:w="658" w:type="pct"/>
            <w:vMerge w:val="continue"/>
            <w:vAlign w:val="center"/>
          </w:tcPr>
          <w:p w14:paraId="200FBEDE">
            <w:pPr>
              <w:widowControl/>
              <w:jc w:val="left"/>
              <w:rPr>
                <w:rFonts w:ascii="Times New Roman" w:hAnsi="Times New Roman" w:eastAsia="等线" w:cs="Times New Roman"/>
                <w:color w:val="000000"/>
                <w:kern w:val="0"/>
                <w:szCs w:val="21"/>
              </w:rPr>
            </w:pPr>
          </w:p>
        </w:tc>
      </w:tr>
      <w:tr w14:paraId="02FAB9B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restart"/>
            <w:noWrap/>
            <w:vAlign w:val="center"/>
          </w:tcPr>
          <w:p w14:paraId="5DE024A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PF</w:t>
            </w:r>
            <w:r>
              <w:rPr>
                <w:rFonts w:ascii="Times New Roman" w:hAnsi="Times New Roman" w:eastAsia="等线" w:cs="Times New Roman"/>
                <w:color w:val="000000"/>
                <w:kern w:val="0"/>
                <w:szCs w:val="21"/>
                <w:vertAlign w:val="subscript"/>
              </w:rPr>
              <w:t>6</w:t>
            </w:r>
            <w:r>
              <w:rPr>
                <w:rFonts w:ascii="Times New Roman" w:hAnsi="Times New Roman" w:cs="Times New Roman"/>
                <w:szCs w:val="21"/>
                <w:vertAlign w:val="superscript"/>
              </w:rPr>
              <w:t>-</w:t>
            </w:r>
          </w:p>
        </w:tc>
        <w:tc>
          <w:tcPr>
            <w:tcW w:w="594" w:type="pct"/>
            <w:noWrap/>
            <w:vAlign w:val="center"/>
          </w:tcPr>
          <w:p w14:paraId="7AEABC1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w:t>
            </w:r>
          </w:p>
        </w:tc>
        <w:tc>
          <w:tcPr>
            <w:tcW w:w="575" w:type="pct"/>
            <w:noWrap/>
            <w:vAlign w:val="center"/>
          </w:tcPr>
          <w:p w14:paraId="1A3E724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2.460 </w:t>
            </w:r>
          </w:p>
        </w:tc>
        <w:tc>
          <w:tcPr>
            <w:tcW w:w="570" w:type="pct"/>
            <w:noWrap/>
            <w:vAlign w:val="center"/>
          </w:tcPr>
          <w:p w14:paraId="68B3095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0.021 </w:t>
            </w:r>
          </w:p>
        </w:tc>
        <w:tc>
          <w:tcPr>
            <w:tcW w:w="657" w:type="pct"/>
            <w:vMerge w:val="restart"/>
            <w:noWrap/>
            <w:vAlign w:val="center"/>
          </w:tcPr>
          <w:p w14:paraId="377A895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4.642 </w:t>
            </w:r>
          </w:p>
        </w:tc>
        <w:tc>
          <w:tcPr>
            <w:tcW w:w="570" w:type="pct"/>
            <w:vMerge w:val="restart"/>
            <w:noWrap/>
            <w:vAlign w:val="center"/>
          </w:tcPr>
          <w:p w14:paraId="72F327D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0.040 </w:t>
            </w:r>
          </w:p>
        </w:tc>
        <w:tc>
          <w:tcPr>
            <w:tcW w:w="657" w:type="pct"/>
            <w:vMerge w:val="restart"/>
            <w:noWrap/>
            <w:vAlign w:val="center"/>
          </w:tcPr>
          <w:p w14:paraId="754D4D0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c>
          <w:tcPr>
            <w:tcW w:w="658" w:type="pct"/>
            <w:vMerge w:val="restart"/>
            <w:noWrap/>
            <w:vAlign w:val="center"/>
          </w:tcPr>
          <w:p w14:paraId="31902C2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 </w:t>
            </w:r>
          </w:p>
        </w:tc>
      </w:tr>
      <w:tr w14:paraId="5B3F856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67B2C039">
            <w:pPr>
              <w:widowControl/>
              <w:jc w:val="left"/>
              <w:rPr>
                <w:rFonts w:ascii="Times New Roman" w:hAnsi="Times New Roman" w:eastAsia="等线" w:cs="Times New Roman"/>
                <w:color w:val="000000"/>
                <w:kern w:val="0"/>
                <w:szCs w:val="21"/>
              </w:rPr>
            </w:pPr>
          </w:p>
        </w:tc>
        <w:tc>
          <w:tcPr>
            <w:tcW w:w="594" w:type="pct"/>
            <w:noWrap/>
            <w:vAlign w:val="center"/>
          </w:tcPr>
          <w:p w14:paraId="4F852D6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FP</w:t>
            </w:r>
          </w:p>
        </w:tc>
        <w:tc>
          <w:tcPr>
            <w:tcW w:w="575" w:type="pct"/>
            <w:noWrap/>
            <w:vAlign w:val="center"/>
          </w:tcPr>
          <w:p w14:paraId="432B284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0.364 </w:t>
            </w:r>
          </w:p>
        </w:tc>
        <w:tc>
          <w:tcPr>
            <w:tcW w:w="570" w:type="pct"/>
            <w:noWrap/>
            <w:vAlign w:val="center"/>
          </w:tcPr>
          <w:p w14:paraId="69B4E23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0.003 </w:t>
            </w:r>
          </w:p>
        </w:tc>
        <w:tc>
          <w:tcPr>
            <w:tcW w:w="657" w:type="pct"/>
            <w:vMerge w:val="continue"/>
            <w:vAlign w:val="center"/>
          </w:tcPr>
          <w:p w14:paraId="5B5646B1">
            <w:pPr>
              <w:widowControl/>
              <w:jc w:val="left"/>
              <w:rPr>
                <w:rFonts w:ascii="Times New Roman" w:hAnsi="Times New Roman" w:eastAsia="等线" w:cs="Times New Roman"/>
                <w:color w:val="000000"/>
                <w:kern w:val="0"/>
                <w:szCs w:val="21"/>
              </w:rPr>
            </w:pPr>
          </w:p>
        </w:tc>
        <w:tc>
          <w:tcPr>
            <w:tcW w:w="570" w:type="pct"/>
            <w:vMerge w:val="continue"/>
            <w:vAlign w:val="center"/>
          </w:tcPr>
          <w:p w14:paraId="17E2ECCA">
            <w:pPr>
              <w:widowControl/>
              <w:jc w:val="left"/>
              <w:rPr>
                <w:rFonts w:ascii="Times New Roman" w:hAnsi="Times New Roman" w:eastAsia="等线" w:cs="Times New Roman"/>
                <w:color w:val="000000"/>
                <w:kern w:val="0"/>
                <w:szCs w:val="21"/>
              </w:rPr>
            </w:pPr>
          </w:p>
        </w:tc>
        <w:tc>
          <w:tcPr>
            <w:tcW w:w="657" w:type="pct"/>
            <w:vMerge w:val="continue"/>
            <w:vAlign w:val="center"/>
          </w:tcPr>
          <w:p w14:paraId="77A2B7DA">
            <w:pPr>
              <w:widowControl/>
              <w:jc w:val="left"/>
              <w:rPr>
                <w:rFonts w:ascii="Times New Roman" w:hAnsi="Times New Roman" w:eastAsia="等线" w:cs="Times New Roman"/>
                <w:color w:val="000000"/>
                <w:kern w:val="0"/>
                <w:szCs w:val="21"/>
              </w:rPr>
            </w:pPr>
          </w:p>
        </w:tc>
        <w:tc>
          <w:tcPr>
            <w:tcW w:w="658" w:type="pct"/>
            <w:vMerge w:val="continue"/>
            <w:vAlign w:val="center"/>
          </w:tcPr>
          <w:p w14:paraId="3874286C">
            <w:pPr>
              <w:widowControl/>
              <w:jc w:val="left"/>
              <w:rPr>
                <w:rFonts w:ascii="Times New Roman" w:hAnsi="Times New Roman" w:eastAsia="等线" w:cs="Times New Roman"/>
                <w:color w:val="000000"/>
                <w:kern w:val="0"/>
                <w:szCs w:val="21"/>
              </w:rPr>
            </w:pPr>
          </w:p>
        </w:tc>
      </w:tr>
      <w:tr w14:paraId="656BD8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restart"/>
            <w:noWrap/>
            <w:vAlign w:val="center"/>
          </w:tcPr>
          <w:p w14:paraId="2EECEBC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594" w:type="pct"/>
            <w:noWrap/>
            <w:vAlign w:val="center"/>
          </w:tcPr>
          <w:p w14:paraId="521CF4D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C11</w:t>
            </w:r>
          </w:p>
        </w:tc>
        <w:tc>
          <w:tcPr>
            <w:tcW w:w="575" w:type="pct"/>
            <w:noWrap/>
            <w:vAlign w:val="center"/>
          </w:tcPr>
          <w:p w14:paraId="3BEA095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1.584 </w:t>
            </w:r>
          </w:p>
        </w:tc>
        <w:tc>
          <w:tcPr>
            <w:tcW w:w="570" w:type="pct"/>
            <w:noWrap/>
            <w:vAlign w:val="center"/>
          </w:tcPr>
          <w:p w14:paraId="1C7526A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0.055 </w:t>
            </w:r>
          </w:p>
        </w:tc>
        <w:tc>
          <w:tcPr>
            <w:tcW w:w="657" w:type="pct"/>
            <w:vMerge w:val="restart"/>
            <w:noWrap/>
            <w:vAlign w:val="center"/>
          </w:tcPr>
          <w:p w14:paraId="5558723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9.204 </w:t>
            </w:r>
          </w:p>
        </w:tc>
        <w:tc>
          <w:tcPr>
            <w:tcW w:w="570" w:type="pct"/>
            <w:vMerge w:val="restart"/>
            <w:noWrap/>
            <w:vAlign w:val="center"/>
          </w:tcPr>
          <w:p w14:paraId="3D218B0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0.160 </w:t>
            </w:r>
          </w:p>
        </w:tc>
        <w:tc>
          <w:tcPr>
            <w:tcW w:w="657" w:type="pct"/>
            <w:vMerge w:val="restart"/>
            <w:noWrap/>
            <w:vAlign w:val="center"/>
          </w:tcPr>
          <w:p w14:paraId="4ADE90F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1.9550 </w:t>
            </w:r>
          </w:p>
        </w:tc>
        <w:tc>
          <w:tcPr>
            <w:tcW w:w="658" w:type="pct"/>
            <w:vMerge w:val="restart"/>
            <w:noWrap/>
            <w:vAlign w:val="center"/>
          </w:tcPr>
          <w:p w14:paraId="576C00E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0.4750 </w:t>
            </w:r>
          </w:p>
        </w:tc>
      </w:tr>
      <w:tr w14:paraId="10685A3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756897AB">
            <w:pPr>
              <w:widowControl/>
              <w:jc w:val="left"/>
              <w:rPr>
                <w:rFonts w:ascii="Times New Roman" w:hAnsi="Times New Roman" w:eastAsia="等线" w:cs="Times New Roman"/>
                <w:color w:val="000000"/>
                <w:kern w:val="0"/>
                <w:szCs w:val="21"/>
              </w:rPr>
            </w:pPr>
          </w:p>
        </w:tc>
        <w:tc>
          <w:tcPr>
            <w:tcW w:w="594" w:type="pct"/>
            <w:noWrap/>
            <w:vAlign w:val="center"/>
          </w:tcPr>
          <w:p w14:paraId="488F769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H11</w:t>
            </w:r>
          </w:p>
        </w:tc>
        <w:tc>
          <w:tcPr>
            <w:tcW w:w="575" w:type="pct"/>
            <w:noWrap/>
            <w:vAlign w:val="center"/>
          </w:tcPr>
          <w:p w14:paraId="42C5D8F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570" w:type="pct"/>
            <w:noWrap/>
            <w:vAlign w:val="center"/>
          </w:tcPr>
          <w:p w14:paraId="3B2198E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57" w:type="pct"/>
            <w:vMerge w:val="continue"/>
            <w:vAlign w:val="center"/>
          </w:tcPr>
          <w:p w14:paraId="12F4BF73">
            <w:pPr>
              <w:widowControl/>
              <w:jc w:val="left"/>
              <w:rPr>
                <w:rFonts w:ascii="Times New Roman" w:hAnsi="Times New Roman" w:eastAsia="等线" w:cs="Times New Roman"/>
                <w:color w:val="000000"/>
                <w:kern w:val="0"/>
                <w:szCs w:val="21"/>
              </w:rPr>
            </w:pPr>
          </w:p>
        </w:tc>
        <w:tc>
          <w:tcPr>
            <w:tcW w:w="570" w:type="pct"/>
            <w:vMerge w:val="continue"/>
            <w:vAlign w:val="center"/>
          </w:tcPr>
          <w:p w14:paraId="52616236">
            <w:pPr>
              <w:widowControl/>
              <w:jc w:val="left"/>
              <w:rPr>
                <w:rFonts w:ascii="Times New Roman" w:hAnsi="Times New Roman" w:eastAsia="等线" w:cs="Times New Roman"/>
                <w:color w:val="000000"/>
                <w:kern w:val="0"/>
                <w:szCs w:val="21"/>
              </w:rPr>
            </w:pPr>
          </w:p>
        </w:tc>
        <w:tc>
          <w:tcPr>
            <w:tcW w:w="657" w:type="pct"/>
            <w:vMerge w:val="continue"/>
            <w:vAlign w:val="center"/>
          </w:tcPr>
          <w:p w14:paraId="7D019DBC">
            <w:pPr>
              <w:widowControl/>
              <w:jc w:val="left"/>
              <w:rPr>
                <w:rFonts w:ascii="Times New Roman" w:hAnsi="Times New Roman" w:eastAsia="等线" w:cs="Times New Roman"/>
                <w:color w:val="000000"/>
                <w:kern w:val="0"/>
                <w:szCs w:val="21"/>
              </w:rPr>
            </w:pPr>
          </w:p>
        </w:tc>
        <w:tc>
          <w:tcPr>
            <w:tcW w:w="658" w:type="pct"/>
            <w:vMerge w:val="continue"/>
            <w:vAlign w:val="center"/>
          </w:tcPr>
          <w:p w14:paraId="420D399F">
            <w:pPr>
              <w:widowControl/>
              <w:jc w:val="left"/>
              <w:rPr>
                <w:rFonts w:ascii="Times New Roman" w:hAnsi="Times New Roman" w:eastAsia="等线" w:cs="Times New Roman"/>
                <w:color w:val="000000"/>
                <w:kern w:val="0"/>
                <w:szCs w:val="21"/>
              </w:rPr>
            </w:pPr>
          </w:p>
        </w:tc>
      </w:tr>
      <w:tr w14:paraId="759674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0E598E1B">
            <w:pPr>
              <w:widowControl/>
              <w:jc w:val="left"/>
              <w:rPr>
                <w:rFonts w:ascii="Times New Roman" w:hAnsi="Times New Roman" w:eastAsia="等线" w:cs="Times New Roman"/>
                <w:color w:val="000000"/>
                <w:kern w:val="0"/>
                <w:szCs w:val="21"/>
              </w:rPr>
            </w:pPr>
          </w:p>
        </w:tc>
        <w:tc>
          <w:tcPr>
            <w:tcW w:w="594" w:type="pct"/>
            <w:noWrap/>
            <w:vAlign w:val="center"/>
          </w:tcPr>
          <w:p w14:paraId="1CAD560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O11</w:t>
            </w:r>
          </w:p>
        </w:tc>
        <w:tc>
          <w:tcPr>
            <w:tcW w:w="575" w:type="pct"/>
            <w:noWrap/>
            <w:vAlign w:val="center"/>
          </w:tcPr>
          <w:p w14:paraId="40CA61E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0.688 </w:t>
            </w:r>
          </w:p>
        </w:tc>
        <w:tc>
          <w:tcPr>
            <w:tcW w:w="570" w:type="pct"/>
            <w:noWrap/>
            <w:vAlign w:val="center"/>
          </w:tcPr>
          <w:p w14:paraId="2F1A8B1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0.039 </w:t>
            </w:r>
          </w:p>
        </w:tc>
        <w:tc>
          <w:tcPr>
            <w:tcW w:w="657" w:type="pct"/>
            <w:vMerge w:val="continue"/>
            <w:vAlign w:val="center"/>
          </w:tcPr>
          <w:p w14:paraId="2857100E">
            <w:pPr>
              <w:widowControl/>
              <w:jc w:val="left"/>
              <w:rPr>
                <w:rFonts w:ascii="Times New Roman" w:hAnsi="Times New Roman" w:eastAsia="等线" w:cs="Times New Roman"/>
                <w:color w:val="000000"/>
                <w:kern w:val="0"/>
                <w:szCs w:val="21"/>
              </w:rPr>
            </w:pPr>
          </w:p>
        </w:tc>
        <w:tc>
          <w:tcPr>
            <w:tcW w:w="570" w:type="pct"/>
            <w:vMerge w:val="continue"/>
            <w:vAlign w:val="center"/>
          </w:tcPr>
          <w:p w14:paraId="2F0FB7FD">
            <w:pPr>
              <w:widowControl/>
              <w:jc w:val="left"/>
              <w:rPr>
                <w:rFonts w:ascii="Times New Roman" w:hAnsi="Times New Roman" w:eastAsia="等线" w:cs="Times New Roman"/>
                <w:color w:val="000000"/>
                <w:kern w:val="0"/>
                <w:szCs w:val="21"/>
              </w:rPr>
            </w:pPr>
          </w:p>
        </w:tc>
        <w:tc>
          <w:tcPr>
            <w:tcW w:w="657" w:type="pct"/>
            <w:vMerge w:val="continue"/>
            <w:vAlign w:val="center"/>
          </w:tcPr>
          <w:p w14:paraId="091222A8">
            <w:pPr>
              <w:widowControl/>
              <w:jc w:val="left"/>
              <w:rPr>
                <w:rFonts w:ascii="Times New Roman" w:hAnsi="Times New Roman" w:eastAsia="等线" w:cs="Times New Roman"/>
                <w:color w:val="000000"/>
                <w:kern w:val="0"/>
                <w:szCs w:val="21"/>
              </w:rPr>
            </w:pPr>
          </w:p>
        </w:tc>
        <w:tc>
          <w:tcPr>
            <w:tcW w:w="658" w:type="pct"/>
            <w:vMerge w:val="continue"/>
            <w:vAlign w:val="center"/>
          </w:tcPr>
          <w:p w14:paraId="17C82DEC">
            <w:pPr>
              <w:widowControl/>
              <w:jc w:val="left"/>
              <w:rPr>
                <w:rFonts w:ascii="Times New Roman" w:hAnsi="Times New Roman" w:eastAsia="等线" w:cs="Times New Roman"/>
                <w:color w:val="000000"/>
                <w:kern w:val="0"/>
                <w:szCs w:val="21"/>
              </w:rPr>
            </w:pPr>
          </w:p>
        </w:tc>
      </w:tr>
      <w:tr w14:paraId="5E61022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2804F951">
            <w:pPr>
              <w:widowControl/>
              <w:jc w:val="left"/>
              <w:rPr>
                <w:rFonts w:ascii="Times New Roman" w:hAnsi="Times New Roman" w:eastAsia="等线" w:cs="Times New Roman"/>
                <w:color w:val="000000"/>
                <w:kern w:val="0"/>
                <w:szCs w:val="21"/>
              </w:rPr>
            </w:pPr>
          </w:p>
        </w:tc>
        <w:tc>
          <w:tcPr>
            <w:tcW w:w="594" w:type="pct"/>
            <w:noWrap/>
            <w:vAlign w:val="center"/>
          </w:tcPr>
          <w:p w14:paraId="61DD4E2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C12</w:t>
            </w:r>
          </w:p>
        </w:tc>
        <w:tc>
          <w:tcPr>
            <w:tcW w:w="575" w:type="pct"/>
            <w:noWrap/>
            <w:vAlign w:val="center"/>
          </w:tcPr>
          <w:p w14:paraId="020BEAB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1.660 </w:t>
            </w:r>
          </w:p>
        </w:tc>
        <w:tc>
          <w:tcPr>
            <w:tcW w:w="570" w:type="pct"/>
            <w:noWrap/>
            <w:vAlign w:val="center"/>
          </w:tcPr>
          <w:p w14:paraId="1E3818F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0.047 </w:t>
            </w:r>
          </w:p>
        </w:tc>
        <w:tc>
          <w:tcPr>
            <w:tcW w:w="657" w:type="pct"/>
            <w:vMerge w:val="continue"/>
            <w:vAlign w:val="center"/>
          </w:tcPr>
          <w:p w14:paraId="69229532">
            <w:pPr>
              <w:widowControl/>
              <w:jc w:val="left"/>
              <w:rPr>
                <w:rFonts w:ascii="Times New Roman" w:hAnsi="Times New Roman" w:eastAsia="等线" w:cs="Times New Roman"/>
                <w:color w:val="000000"/>
                <w:kern w:val="0"/>
                <w:szCs w:val="21"/>
              </w:rPr>
            </w:pPr>
          </w:p>
        </w:tc>
        <w:tc>
          <w:tcPr>
            <w:tcW w:w="570" w:type="pct"/>
            <w:vMerge w:val="continue"/>
            <w:vAlign w:val="center"/>
          </w:tcPr>
          <w:p w14:paraId="6EC28B5C">
            <w:pPr>
              <w:widowControl/>
              <w:jc w:val="left"/>
              <w:rPr>
                <w:rFonts w:ascii="Times New Roman" w:hAnsi="Times New Roman" w:eastAsia="等线" w:cs="Times New Roman"/>
                <w:color w:val="000000"/>
                <w:kern w:val="0"/>
                <w:szCs w:val="21"/>
              </w:rPr>
            </w:pPr>
          </w:p>
        </w:tc>
        <w:tc>
          <w:tcPr>
            <w:tcW w:w="657" w:type="pct"/>
            <w:vMerge w:val="continue"/>
            <w:vAlign w:val="center"/>
          </w:tcPr>
          <w:p w14:paraId="38692D5A">
            <w:pPr>
              <w:widowControl/>
              <w:jc w:val="left"/>
              <w:rPr>
                <w:rFonts w:ascii="Times New Roman" w:hAnsi="Times New Roman" w:eastAsia="等线" w:cs="Times New Roman"/>
                <w:color w:val="000000"/>
                <w:kern w:val="0"/>
                <w:szCs w:val="21"/>
              </w:rPr>
            </w:pPr>
          </w:p>
        </w:tc>
        <w:tc>
          <w:tcPr>
            <w:tcW w:w="658" w:type="pct"/>
            <w:vMerge w:val="continue"/>
            <w:vAlign w:val="center"/>
          </w:tcPr>
          <w:p w14:paraId="35FDA2F3">
            <w:pPr>
              <w:widowControl/>
              <w:jc w:val="left"/>
              <w:rPr>
                <w:rFonts w:ascii="Times New Roman" w:hAnsi="Times New Roman" w:eastAsia="等线" w:cs="Times New Roman"/>
                <w:color w:val="000000"/>
                <w:kern w:val="0"/>
                <w:szCs w:val="21"/>
              </w:rPr>
            </w:pPr>
          </w:p>
        </w:tc>
      </w:tr>
      <w:tr w14:paraId="4B369AB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4A9D06CF">
            <w:pPr>
              <w:widowControl/>
              <w:jc w:val="left"/>
              <w:rPr>
                <w:rFonts w:ascii="Times New Roman" w:hAnsi="Times New Roman" w:eastAsia="等线" w:cs="Times New Roman"/>
                <w:color w:val="000000"/>
                <w:kern w:val="0"/>
                <w:szCs w:val="21"/>
              </w:rPr>
            </w:pPr>
          </w:p>
        </w:tc>
        <w:tc>
          <w:tcPr>
            <w:tcW w:w="594" w:type="pct"/>
            <w:noWrap/>
            <w:vAlign w:val="center"/>
          </w:tcPr>
          <w:p w14:paraId="051B0F3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H12</w:t>
            </w:r>
          </w:p>
        </w:tc>
        <w:tc>
          <w:tcPr>
            <w:tcW w:w="575" w:type="pct"/>
            <w:noWrap/>
            <w:vAlign w:val="center"/>
          </w:tcPr>
          <w:p w14:paraId="7A23668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570" w:type="pct"/>
            <w:noWrap/>
            <w:vAlign w:val="center"/>
          </w:tcPr>
          <w:p w14:paraId="3B222A8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57" w:type="pct"/>
            <w:vMerge w:val="continue"/>
            <w:vAlign w:val="center"/>
          </w:tcPr>
          <w:p w14:paraId="28C762D4">
            <w:pPr>
              <w:widowControl/>
              <w:jc w:val="left"/>
              <w:rPr>
                <w:rFonts w:ascii="Times New Roman" w:hAnsi="Times New Roman" w:eastAsia="等线" w:cs="Times New Roman"/>
                <w:color w:val="000000"/>
                <w:kern w:val="0"/>
                <w:szCs w:val="21"/>
              </w:rPr>
            </w:pPr>
          </w:p>
        </w:tc>
        <w:tc>
          <w:tcPr>
            <w:tcW w:w="570" w:type="pct"/>
            <w:vMerge w:val="continue"/>
            <w:vAlign w:val="center"/>
          </w:tcPr>
          <w:p w14:paraId="04271F4F">
            <w:pPr>
              <w:widowControl/>
              <w:jc w:val="left"/>
              <w:rPr>
                <w:rFonts w:ascii="Times New Roman" w:hAnsi="Times New Roman" w:eastAsia="等线" w:cs="Times New Roman"/>
                <w:color w:val="000000"/>
                <w:kern w:val="0"/>
                <w:szCs w:val="21"/>
              </w:rPr>
            </w:pPr>
          </w:p>
        </w:tc>
        <w:tc>
          <w:tcPr>
            <w:tcW w:w="657" w:type="pct"/>
            <w:vMerge w:val="continue"/>
            <w:vAlign w:val="center"/>
          </w:tcPr>
          <w:p w14:paraId="6BE8C754">
            <w:pPr>
              <w:widowControl/>
              <w:jc w:val="left"/>
              <w:rPr>
                <w:rFonts w:ascii="Times New Roman" w:hAnsi="Times New Roman" w:eastAsia="等线" w:cs="Times New Roman"/>
                <w:color w:val="000000"/>
                <w:kern w:val="0"/>
                <w:szCs w:val="21"/>
              </w:rPr>
            </w:pPr>
          </w:p>
        </w:tc>
        <w:tc>
          <w:tcPr>
            <w:tcW w:w="658" w:type="pct"/>
            <w:vMerge w:val="continue"/>
            <w:vAlign w:val="center"/>
          </w:tcPr>
          <w:p w14:paraId="5C33D31B">
            <w:pPr>
              <w:widowControl/>
              <w:jc w:val="left"/>
              <w:rPr>
                <w:rFonts w:ascii="Times New Roman" w:hAnsi="Times New Roman" w:eastAsia="等线" w:cs="Times New Roman"/>
                <w:color w:val="000000"/>
                <w:kern w:val="0"/>
                <w:szCs w:val="21"/>
              </w:rPr>
            </w:pPr>
          </w:p>
        </w:tc>
      </w:tr>
      <w:tr w14:paraId="0C96250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restart"/>
            <w:noWrap/>
            <w:vAlign w:val="center"/>
          </w:tcPr>
          <w:p w14:paraId="08DAF5A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594" w:type="pct"/>
            <w:noWrap/>
            <w:vAlign w:val="center"/>
          </w:tcPr>
          <w:p w14:paraId="530F4CA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H21</w:t>
            </w:r>
          </w:p>
        </w:tc>
        <w:tc>
          <w:tcPr>
            <w:tcW w:w="575" w:type="pct"/>
            <w:noWrap/>
            <w:vAlign w:val="center"/>
          </w:tcPr>
          <w:p w14:paraId="0CFC90F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570" w:type="pct"/>
            <w:noWrap/>
            <w:vAlign w:val="center"/>
          </w:tcPr>
          <w:p w14:paraId="5052159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57" w:type="pct"/>
            <w:vMerge w:val="restart"/>
            <w:noWrap/>
            <w:vAlign w:val="center"/>
          </w:tcPr>
          <w:p w14:paraId="7813351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6.599 </w:t>
            </w:r>
          </w:p>
        </w:tc>
        <w:tc>
          <w:tcPr>
            <w:tcW w:w="570" w:type="pct"/>
            <w:vMerge w:val="restart"/>
            <w:noWrap/>
            <w:vAlign w:val="center"/>
          </w:tcPr>
          <w:p w14:paraId="13E8C17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0.051 </w:t>
            </w:r>
          </w:p>
        </w:tc>
        <w:tc>
          <w:tcPr>
            <w:tcW w:w="657" w:type="pct"/>
            <w:vMerge w:val="restart"/>
            <w:noWrap/>
            <w:vAlign w:val="center"/>
          </w:tcPr>
          <w:p w14:paraId="6353EEA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6.0356 </w:t>
            </w:r>
          </w:p>
        </w:tc>
        <w:tc>
          <w:tcPr>
            <w:tcW w:w="658" w:type="pct"/>
            <w:vMerge w:val="restart"/>
            <w:noWrap/>
            <w:vAlign w:val="center"/>
          </w:tcPr>
          <w:p w14:paraId="25F6EAB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0.1793 </w:t>
            </w:r>
          </w:p>
        </w:tc>
      </w:tr>
      <w:tr w14:paraId="146C36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77163A47">
            <w:pPr>
              <w:widowControl/>
              <w:jc w:val="left"/>
              <w:rPr>
                <w:rFonts w:ascii="Times New Roman" w:hAnsi="Times New Roman" w:eastAsia="等线" w:cs="Times New Roman"/>
                <w:color w:val="000000"/>
                <w:kern w:val="0"/>
                <w:szCs w:val="21"/>
              </w:rPr>
            </w:pPr>
          </w:p>
        </w:tc>
        <w:tc>
          <w:tcPr>
            <w:tcW w:w="594" w:type="pct"/>
            <w:noWrap/>
            <w:vAlign w:val="center"/>
          </w:tcPr>
          <w:p w14:paraId="2AC6A85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C21</w:t>
            </w:r>
          </w:p>
        </w:tc>
        <w:tc>
          <w:tcPr>
            <w:tcW w:w="575" w:type="pct"/>
            <w:noWrap/>
            <w:vAlign w:val="center"/>
          </w:tcPr>
          <w:p w14:paraId="2235A0E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1.495 </w:t>
            </w:r>
          </w:p>
        </w:tc>
        <w:tc>
          <w:tcPr>
            <w:tcW w:w="570" w:type="pct"/>
            <w:noWrap/>
            <w:vAlign w:val="center"/>
          </w:tcPr>
          <w:p w14:paraId="7E6B4CD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0.010 </w:t>
            </w:r>
          </w:p>
        </w:tc>
        <w:tc>
          <w:tcPr>
            <w:tcW w:w="657" w:type="pct"/>
            <w:vMerge w:val="continue"/>
            <w:vAlign w:val="center"/>
          </w:tcPr>
          <w:p w14:paraId="75706691">
            <w:pPr>
              <w:widowControl/>
              <w:jc w:val="left"/>
              <w:rPr>
                <w:rFonts w:ascii="Times New Roman" w:hAnsi="Times New Roman" w:eastAsia="等线" w:cs="Times New Roman"/>
                <w:color w:val="000000"/>
                <w:kern w:val="0"/>
                <w:szCs w:val="21"/>
              </w:rPr>
            </w:pPr>
          </w:p>
        </w:tc>
        <w:tc>
          <w:tcPr>
            <w:tcW w:w="570" w:type="pct"/>
            <w:vMerge w:val="continue"/>
            <w:vAlign w:val="center"/>
          </w:tcPr>
          <w:p w14:paraId="741BB000">
            <w:pPr>
              <w:widowControl/>
              <w:jc w:val="left"/>
              <w:rPr>
                <w:rFonts w:ascii="Times New Roman" w:hAnsi="Times New Roman" w:eastAsia="等线" w:cs="Times New Roman"/>
                <w:color w:val="000000"/>
                <w:kern w:val="0"/>
                <w:szCs w:val="21"/>
              </w:rPr>
            </w:pPr>
          </w:p>
        </w:tc>
        <w:tc>
          <w:tcPr>
            <w:tcW w:w="657" w:type="pct"/>
            <w:vMerge w:val="continue"/>
            <w:vAlign w:val="center"/>
          </w:tcPr>
          <w:p w14:paraId="653BDC6B">
            <w:pPr>
              <w:widowControl/>
              <w:jc w:val="left"/>
              <w:rPr>
                <w:rFonts w:ascii="Times New Roman" w:hAnsi="Times New Roman" w:eastAsia="等线" w:cs="Times New Roman"/>
                <w:color w:val="000000"/>
                <w:kern w:val="0"/>
                <w:szCs w:val="21"/>
              </w:rPr>
            </w:pPr>
          </w:p>
        </w:tc>
        <w:tc>
          <w:tcPr>
            <w:tcW w:w="658" w:type="pct"/>
            <w:vMerge w:val="continue"/>
            <w:vAlign w:val="center"/>
          </w:tcPr>
          <w:p w14:paraId="4483EEC8">
            <w:pPr>
              <w:widowControl/>
              <w:jc w:val="left"/>
              <w:rPr>
                <w:rFonts w:ascii="Times New Roman" w:hAnsi="Times New Roman" w:eastAsia="等线" w:cs="Times New Roman"/>
                <w:color w:val="000000"/>
                <w:kern w:val="0"/>
                <w:szCs w:val="21"/>
              </w:rPr>
            </w:pPr>
          </w:p>
        </w:tc>
      </w:tr>
      <w:tr w14:paraId="011452D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167140FB">
            <w:pPr>
              <w:widowControl/>
              <w:jc w:val="left"/>
              <w:rPr>
                <w:rFonts w:ascii="Times New Roman" w:hAnsi="Times New Roman" w:eastAsia="等线" w:cs="Times New Roman"/>
                <w:color w:val="000000"/>
                <w:kern w:val="0"/>
                <w:szCs w:val="21"/>
              </w:rPr>
            </w:pPr>
          </w:p>
        </w:tc>
        <w:tc>
          <w:tcPr>
            <w:tcW w:w="594" w:type="pct"/>
            <w:noWrap/>
            <w:vAlign w:val="center"/>
          </w:tcPr>
          <w:p w14:paraId="11D68BF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O21</w:t>
            </w:r>
          </w:p>
        </w:tc>
        <w:tc>
          <w:tcPr>
            <w:tcW w:w="575" w:type="pct"/>
            <w:noWrap/>
            <w:vAlign w:val="center"/>
          </w:tcPr>
          <w:p w14:paraId="6EC35D3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0.585 </w:t>
            </w:r>
          </w:p>
        </w:tc>
        <w:tc>
          <w:tcPr>
            <w:tcW w:w="570" w:type="pct"/>
            <w:noWrap/>
            <w:vAlign w:val="center"/>
          </w:tcPr>
          <w:p w14:paraId="57DBD77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0.004 </w:t>
            </w:r>
          </w:p>
        </w:tc>
        <w:tc>
          <w:tcPr>
            <w:tcW w:w="657" w:type="pct"/>
            <w:vMerge w:val="continue"/>
            <w:vAlign w:val="center"/>
          </w:tcPr>
          <w:p w14:paraId="27E55A47">
            <w:pPr>
              <w:widowControl/>
              <w:jc w:val="left"/>
              <w:rPr>
                <w:rFonts w:ascii="Times New Roman" w:hAnsi="Times New Roman" w:eastAsia="等线" w:cs="Times New Roman"/>
                <w:color w:val="000000"/>
                <w:kern w:val="0"/>
                <w:szCs w:val="21"/>
              </w:rPr>
            </w:pPr>
          </w:p>
        </w:tc>
        <w:tc>
          <w:tcPr>
            <w:tcW w:w="570" w:type="pct"/>
            <w:vMerge w:val="continue"/>
            <w:vAlign w:val="center"/>
          </w:tcPr>
          <w:p w14:paraId="24C5272B">
            <w:pPr>
              <w:widowControl/>
              <w:jc w:val="left"/>
              <w:rPr>
                <w:rFonts w:ascii="Times New Roman" w:hAnsi="Times New Roman" w:eastAsia="等线" w:cs="Times New Roman"/>
                <w:color w:val="000000"/>
                <w:kern w:val="0"/>
                <w:szCs w:val="21"/>
              </w:rPr>
            </w:pPr>
          </w:p>
        </w:tc>
        <w:tc>
          <w:tcPr>
            <w:tcW w:w="657" w:type="pct"/>
            <w:vMerge w:val="continue"/>
            <w:vAlign w:val="center"/>
          </w:tcPr>
          <w:p w14:paraId="3A7C5A23">
            <w:pPr>
              <w:widowControl/>
              <w:jc w:val="left"/>
              <w:rPr>
                <w:rFonts w:ascii="Times New Roman" w:hAnsi="Times New Roman" w:eastAsia="等线" w:cs="Times New Roman"/>
                <w:color w:val="000000"/>
                <w:kern w:val="0"/>
                <w:szCs w:val="21"/>
              </w:rPr>
            </w:pPr>
          </w:p>
        </w:tc>
        <w:tc>
          <w:tcPr>
            <w:tcW w:w="658" w:type="pct"/>
            <w:vMerge w:val="continue"/>
            <w:vAlign w:val="center"/>
          </w:tcPr>
          <w:p w14:paraId="4F9ACF6C">
            <w:pPr>
              <w:widowControl/>
              <w:jc w:val="left"/>
              <w:rPr>
                <w:rFonts w:ascii="Times New Roman" w:hAnsi="Times New Roman" w:eastAsia="等线" w:cs="Times New Roman"/>
                <w:color w:val="000000"/>
                <w:kern w:val="0"/>
                <w:szCs w:val="21"/>
              </w:rPr>
            </w:pPr>
          </w:p>
        </w:tc>
      </w:tr>
      <w:tr w14:paraId="7E3F7A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03BB4F43">
            <w:pPr>
              <w:widowControl/>
              <w:jc w:val="left"/>
              <w:rPr>
                <w:rFonts w:ascii="Times New Roman" w:hAnsi="Times New Roman" w:eastAsia="等线" w:cs="Times New Roman"/>
                <w:color w:val="000000"/>
                <w:kern w:val="0"/>
                <w:szCs w:val="21"/>
              </w:rPr>
            </w:pPr>
          </w:p>
        </w:tc>
        <w:tc>
          <w:tcPr>
            <w:tcW w:w="594" w:type="pct"/>
            <w:noWrap/>
            <w:vAlign w:val="center"/>
          </w:tcPr>
          <w:p w14:paraId="43DC7D8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C22</w:t>
            </w:r>
          </w:p>
        </w:tc>
        <w:tc>
          <w:tcPr>
            <w:tcW w:w="575" w:type="pct"/>
            <w:noWrap/>
            <w:vAlign w:val="center"/>
          </w:tcPr>
          <w:p w14:paraId="7CC9891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1.237 </w:t>
            </w:r>
          </w:p>
        </w:tc>
        <w:tc>
          <w:tcPr>
            <w:tcW w:w="570" w:type="pct"/>
            <w:noWrap/>
            <w:vAlign w:val="center"/>
          </w:tcPr>
          <w:p w14:paraId="5A9DCD9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0.014 </w:t>
            </w:r>
          </w:p>
        </w:tc>
        <w:tc>
          <w:tcPr>
            <w:tcW w:w="657" w:type="pct"/>
            <w:vMerge w:val="continue"/>
            <w:vAlign w:val="center"/>
          </w:tcPr>
          <w:p w14:paraId="72E3F7C8">
            <w:pPr>
              <w:widowControl/>
              <w:jc w:val="left"/>
              <w:rPr>
                <w:rFonts w:ascii="Times New Roman" w:hAnsi="Times New Roman" w:eastAsia="等线" w:cs="Times New Roman"/>
                <w:color w:val="000000"/>
                <w:kern w:val="0"/>
                <w:szCs w:val="21"/>
              </w:rPr>
            </w:pPr>
          </w:p>
        </w:tc>
        <w:tc>
          <w:tcPr>
            <w:tcW w:w="570" w:type="pct"/>
            <w:vMerge w:val="continue"/>
            <w:vAlign w:val="center"/>
          </w:tcPr>
          <w:p w14:paraId="2EA5B821">
            <w:pPr>
              <w:widowControl/>
              <w:jc w:val="left"/>
              <w:rPr>
                <w:rFonts w:ascii="Times New Roman" w:hAnsi="Times New Roman" w:eastAsia="等线" w:cs="Times New Roman"/>
                <w:color w:val="000000"/>
                <w:kern w:val="0"/>
                <w:szCs w:val="21"/>
              </w:rPr>
            </w:pPr>
          </w:p>
        </w:tc>
        <w:tc>
          <w:tcPr>
            <w:tcW w:w="657" w:type="pct"/>
            <w:vMerge w:val="continue"/>
            <w:vAlign w:val="center"/>
          </w:tcPr>
          <w:p w14:paraId="2695A939">
            <w:pPr>
              <w:widowControl/>
              <w:jc w:val="left"/>
              <w:rPr>
                <w:rFonts w:ascii="Times New Roman" w:hAnsi="Times New Roman" w:eastAsia="等线" w:cs="Times New Roman"/>
                <w:color w:val="000000"/>
                <w:kern w:val="0"/>
                <w:szCs w:val="21"/>
              </w:rPr>
            </w:pPr>
          </w:p>
        </w:tc>
        <w:tc>
          <w:tcPr>
            <w:tcW w:w="658" w:type="pct"/>
            <w:vMerge w:val="continue"/>
            <w:vAlign w:val="center"/>
          </w:tcPr>
          <w:p w14:paraId="5689C460">
            <w:pPr>
              <w:widowControl/>
              <w:jc w:val="left"/>
              <w:rPr>
                <w:rFonts w:ascii="Times New Roman" w:hAnsi="Times New Roman" w:eastAsia="等线" w:cs="Times New Roman"/>
                <w:color w:val="000000"/>
                <w:kern w:val="0"/>
                <w:szCs w:val="21"/>
              </w:rPr>
            </w:pPr>
          </w:p>
        </w:tc>
      </w:tr>
      <w:tr w14:paraId="648C61A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trPr>
        <w:tc>
          <w:tcPr>
            <w:tcW w:w="719" w:type="pct"/>
            <w:vMerge w:val="continue"/>
            <w:vAlign w:val="center"/>
          </w:tcPr>
          <w:p w14:paraId="64499D57">
            <w:pPr>
              <w:widowControl/>
              <w:jc w:val="left"/>
              <w:rPr>
                <w:rFonts w:ascii="Times New Roman" w:hAnsi="Times New Roman" w:eastAsia="等线" w:cs="Times New Roman"/>
                <w:color w:val="000000"/>
                <w:kern w:val="0"/>
                <w:szCs w:val="21"/>
              </w:rPr>
            </w:pPr>
          </w:p>
        </w:tc>
        <w:tc>
          <w:tcPr>
            <w:tcW w:w="594" w:type="pct"/>
            <w:noWrap/>
            <w:vAlign w:val="center"/>
          </w:tcPr>
          <w:p w14:paraId="7725ED5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O22</w:t>
            </w:r>
          </w:p>
        </w:tc>
        <w:tc>
          <w:tcPr>
            <w:tcW w:w="575" w:type="pct"/>
            <w:noWrap/>
            <w:vAlign w:val="center"/>
          </w:tcPr>
          <w:p w14:paraId="050F218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0.667 </w:t>
            </w:r>
          </w:p>
        </w:tc>
        <w:tc>
          <w:tcPr>
            <w:tcW w:w="570" w:type="pct"/>
            <w:noWrap/>
            <w:vAlign w:val="center"/>
          </w:tcPr>
          <w:p w14:paraId="3086533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0.011 </w:t>
            </w:r>
          </w:p>
        </w:tc>
        <w:tc>
          <w:tcPr>
            <w:tcW w:w="657" w:type="pct"/>
            <w:vMerge w:val="continue"/>
            <w:vAlign w:val="center"/>
          </w:tcPr>
          <w:p w14:paraId="2C336C01">
            <w:pPr>
              <w:widowControl/>
              <w:jc w:val="left"/>
              <w:rPr>
                <w:rFonts w:ascii="Times New Roman" w:hAnsi="Times New Roman" w:eastAsia="等线" w:cs="Times New Roman"/>
                <w:color w:val="000000"/>
                <w:kern w:val="0"/>
                <w:szCs w:val="21"/>
              </w:rPr>
            </w:pPr>
          </w:p>
        </w:tc>
        <w:tc>
          <w:tcPr>
            <w:tcW w:w="570" w:type="pct"/>
            <w:vMerge w:val="continue"/>
            <w:vAlign w:val="center"/>
          </w:tcPr>
          <w:p w14:paraId="4BC321FA">
            <w:pPr>
              <w:widowControl/>
              <w:jc w:val="left"/>
              <w:rPr>
                <w:rFonts w:ascii="Times New Roman" w:hAnsi="Times New Roman" w:eastAsia="等线" w:cs="Times New Roman"/>
                <w:color w:val="000000"/>
                <w:kern w:val="0"/>
                <w:szCs w:val="21"/>
              </w:rPr>
            </w:pPr>
          </w:p>
        </w:tc>
        <w:tc>
          <w:tcPr>
            <w:tcW w:w="657" w:type="pct"/>
            <w:vMerge w:val="continue"/>
            <w:vAlign w:val="center"/>
          </w:tcPr>
          <w:p w14:paraId="17FB55D4">
            <w:pPr>
              <w:widowControl/>
              <w:jc w:val="left"/>
              <w:rPr>
                <w:rFonts w:ascii="Times New Roman" w:hAnsi="Times New Roman" w:eastAsia="等线" w:cs="Times New Roman"/>
                <w:color w:val="000000"/>
                <w:kern w:val="0"/>
                <w:szCs w:val="21"/>
              </w:rPr>
            </w:pPr>
          </w:p>
        </w:tc>
        <w:tc>
          <w:tcPr>
            <w:tcW w:w="658" w:type="pct"/>
            <w:vMerge w:val="continue"/>
            <w:vAlign w:val="center"/>
          </w:tcPr>
          <w:p w14:paraId="20186FF9">
            <w:pPr>
              <w:widowControl/>
              <w:jc w:val="left"/>
              <w:rPr>
                <w:rFonts w:ascii="Times New Roman" w:hAnsi="Times New Roman" w:eastAsia="等线" w:cs="Times New Roman"/>
                <w:color w:val="000000"/>
                <w:kern w:val="0"/>
                <w:szCs w:val="21"/>
              </w:rPr>
            </w:pPr>
          </w:p>
        </w:tc>
      </w:tr>
    </w:tbl>
    <w:p w14:paraId="788AEE00">
      <w:pPr>
        <w:rPr>
          <w:rFonts w:ascii="Times New Roman" w:hAnsi="Times New Roman" w:cs="Times New Roman"/>
        </w:rPr>
      </w:pP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08"/>
        <w:gridCol w:w="1108"/>
        <w:gridCol w:w="1108"/>
        <w:gridCol w:w="1108"/>
        <w:gridCol w:w="1108"/>
        <w:gridCol w:w="1110"/>
        <w:gridCol w:w="1108"/>
        <w:gridCol w:w="1106"/>
      </w:tblGrid>
      <w:tr w14:paraId="1488A80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restart"/>
            <w:vAlign w:val="center"/>
          </w:tcPr>
          <w:p w14:paraId="04D967E5">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Species</w:t>
            </w:r>
          </w:p>
        </w:tc>
        <w:tc>
          <w:tcPr>
            <w:tcW w:w="625" w:type="pct"/>
            <w:vMerge w:val="restart"/>
            <w:vAlign w:val="center"/>
          </w:tcPr>
          <w:p w14:paraId="23737344">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Atom</w:t>
            </w:r>
          </w:p>
        </w:tc>
        <w:tc>
          <w:tcPr>
            <w:tcW w:w="1250" w:type="pct"/>
            <w:gridSpan w:val="2"/>
            <w:vAlign w:val="center"/>
          </w:tcPr>
          <w:p w14:paraId="1F19BE96">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α</w:t>
            </w:r>
            <w:r>
              <w:rPr>
                <w:rFonts w:ascii="Times New Roman" w:hAnsi="Times New Roman" w:eastAsia="等线" w:cs="Times New Roman"/>
                <w:b/>
                <w:bCs/>
                <w:color w:val="000000"/>
                <w:kern w:val="0"/>
                <w:szCs w:val="21"/>
              </w:rPr>
              <w:t xml:space="preserve"> (Å</w:t>
            </w:r>
            <w:r>
              <w:rPr>
                <w:rFonts w:ascii="Times New Roman" w:hAnsi="Times New Roman" w:eastAsia="等线" w:cs="Times New Roman"/>
                <w:b/>
                <w:bCs/>
                <w:color w:val="000000"/>
                <w:kern w:val="0"/>
                <w:szCs w:val="21"/>
                <w:vertAlign w:val="superscript"/>
              </w:rPr>
              <w:t>3</w:t>
            </w:r>
            <w:r>
              <w:rPr>
                <w:rFonts w:ascii="Times New Roman" w:hAnsi="Times New Roman" w:eastAsia="等线" w:cs="Times New Roman"/>
                <w:b/>
                <w:bCs/>
                <w:color w:val="000000"/>
                <w:kern w:val="0"/>
                <w:szCs w:val="21"/>
              </w:rPr>
              <w:t>)</w:t>
            </w:r>
          </w:p>
        </w:tc>
        <w:tc>
          <w:tcPr>
            <w:tcW w:w="1251" w:type="pct"/>
            <w:gridSpan w:val="2"/>
            <w:vAlign w:val="center"/>
          </w:tcPr>
          <w:p w14:paraId="39B153E3">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A</w:t>
            </w:r>
            <w:r>
              <w:rPr>
                <w:rFonts w:ascii="Times New Roman" w:hAnsi="Times New Roman" w:eastAsia="等线" w:cs="Times New Roman"/>
                <w:b/>
                <w:bCs/>
                <w:color w:val="000000"/>
                <w:kern w:val="0"/>
                <w:szCs w:val="21"/>
              </w:rPr>
              <w:t xml:space="preserve"> (Å</w:t>
            </w:r>
            <w:r>
              <w:rPr>
                <w:rFonts w:ascii="Times New Roman" w:hAnsi="Times New Roman" w:eastAsia="等线" w:cs="Times New Roman"/>
                <w:b/>
                <w:bCs/>
                <w:color w:val="000000"/>
                <w:kern w:val="0"/>
                <w:szCs w:val="21"/>
                <w:vertAlign w:val="superscript"/>
              </w:rPr>
              <w:t>3</w:t>
            </w:r>
            <w:r>
              <w:rPr>
                <w:rFonts w:ascii="Times New Roman" w:hAnsi="Times New Roman" w:eastAsia="等线" w:cs="Times New Roman"/>
                <w:b/>
                <w:bCs/>
                <w:color w:val="000000"/>
                <w:kern w:val="0"/>
                <w:szCs w:val="21"/>
              </w:rPr>
              <w:t>)</w:t>
            </w:r>
          </w:p>
        </w:tc>
        <w:tc>
          <w:tcPr>
            <w:tcW w:w="1249" w:type="pct"/>
            <w:gridSpan w:val="2"/>
            <w:vAlign w:val="center"/>
          </w:tcPr>
          <w:p w14:paraId="62EC0BAC">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μ</w:t>
            </w:r>
            <w:r>
              <w:rPr>
                <w:rFonts w:ascii="Times New Roman" w:hAnsi="Times New Roman" w:eastAsia="等线" w:cs="Times New Roman"/>
                <w:b/>
                <w:bCs/>
                <w:color w:val="000000"/>
                <w:kern w:val="0"/>
                <w:szCs w:val="21"/>
              </w:rPr>
              <w:t xml:space="preserve"> (Debye)</w:t>
            </w:r>
          </w:p>
        </w:tc>
      </w:tr>
      <w:tr w14:paraId="64D70F5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59A275D2">
            <w:pPr>
              <w:widowControl/>
              <w:jc w:val="left"/>
              <w:rPr>
                <w:rFonts w:ascii="Times New Roman" w:hAnsi="Times New Roman" w:eastAsia="等线" w:cs="Times New Roman"/>
                <w:b/>
                <w:bCs/>
                <w:color w:val="000000"/>
                <w:kern w:val="0"/>
                <w:szCs w:val="21"/>
              </w:rPr>
            </w:pPr>
          </w:p>
        </w:tc>
        <w:tc>
          <w:tcPr>
            <w:tcW w:w="625" w:type="pct"/>
            <w:vMerge w:val="continue"/>
            <w:vAlign w:val="center"/>
          </w:tcPr>
          <w:p w14:paraId="488EE75C">
            <w:pPr>
              <w:widowControl/>
              <w:jc w:val="left"/>
              <w:rPr>
                <w:rFonts w:ascii="Times New Roman" w:hAnsi="Times New Roman" w:eastAsia="等线" w:cs="Times New Roman"/>
                <w:b/>
                <w:bCs/>
                <w:color w:val="000000"/>
                <w:kern w:val="0"/>
                <w:szCs w:val="21"/>
              </w:rPr>
            </w:pPr>
          </w:p>
        </w:tc>
        <w:tc>
          <w:tcPr>
            <w:tcW w:w="625" w:type="pct"/>
            <w:vAlign w:val="center"/>
          </w:tcPr>
          <w:p w14:paraId="2D4E87B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25" w:type="pct"/>
            <w:vAlign w:val="center"/>
          </w:tcPr>
          <w:p w14:paraId="38BA5D4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c>
          <w:tcPr>
            <w:tcW w:w="625" w:type="pct"/>
            <w:vAlign w:val="center"/>
          </w:tcPr>
          <w:p w14:paraId="6098B9F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26" w:type="pct"/>
            <w:vAlign w:val="center"/>
          </w:tcPr>
          <w:p w14:paraId="5E24194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c>
          <w:tcPr>
            <w:tcW w:w="625" w:type="pct"/>
            <w:vAlign w:val="center"/>
          </w:tcPr>
          <w:p w14:paraId="29EA374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24" w:type="pct"/>
            <w:vAlign w:val="center"/>
          </w:tcPr>
          <w:p w14:paraId="1958202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r>
      <w:tr w14:paraId="6ABA0F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restart"/>
            <w:noWrap/>
            <w:vAlign w:val="center"/>
          </w:tcPr>
          <w:p w14:paraId="2974C19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625" w:type="pct"/>
            <w:noWrap/>
            <w:vAlign w:val="center"/>
          </w:tcPr>
          <w:p w14:paraId="7F33AC2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O31</w:t>
            </w:r>
          </w:p>
        </w:tc>
        <w:tc>
          <w:tcPr>
            <w:tcW w:w="625" w:type="pct"/>
            <w:noWrap/>
            <w:vAlign w:val="center"/>
          </w:tcPr>
          <w:p w14:paraId="7C60160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0.662 </w:t>
            </w:r>
          </w:p>
        </w:tc>
        <w:tc>
          <w:tcPr>
            <w:tcW w:w="625" w:type="pct"/>
            <w:noWrap/>
            <w:vAlign w:val="center"/>
          </w:tcPr>
          <w:p w14:paraId="0D39FDD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0.010 </w:t>
            </w:r>
          </w:p>
        </w:tc>
        <w:tc>
          <w:tcPr>
            <w:tcW w:w="625" w:type="pct"/>
            <w:vMerge w:val="restart"/>
            <w:noWrap/>
            <w:vAlign w:val="center"/>
          </w:tcPr>
          <w:p w14:paraId="04CCA96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6.734 </w:t>
            </w:r>
          </w:p>
        </w:tc>
        <w:tc>
          <w:tcPr>
            <w:tcW w:w="626" w:type="pct"/>
            <w:vMerge w:val="restart"/>
            <w:noWrap/>
            <w:vAlign w:val="center"/>
          </w:tcPr>
          <w:p w14:paraId="3A8ABA8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0.056 </w:t>
            </w:r>
          </w:p>
        </w:tc>
        <w:tc>
          <w:tcPr>
            <w:tcW w:w="625" w:type="pct"/>
            <w:vMerge w:val="restart"/>
            <w:noWrap/>
            <w:vAlign w:val="center"/>
          </w:tcPr>
          <w:p w14:paraId="7722305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5.2701 </w:t>
            </w:r>
          </w:p>
        </w:tc>
        <w:tc>
          <w:tcPr>
            <w:tcW w:w="624" w:type="pct"/>
            <w:vMerge w:val="restart"/>
            <w:noWrap/>
            <w:vAlign w:val="center"/>
          </w:tcPr>
          <w:p w14:paraId="75A58A5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0.4475 </w:t>
            </w:r>
          </w:p>
        </w:tc>
      </w:tr>
      <w:tr w14:paraId="4BB27CB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7EE96D4F">
            <w:pPr>
              <w:widowControl/>
              <w:jc w:val="left"/>
              <w:rPr>
                <w:rFonts w:ascii="Times New Roman" w:hAnsi="Times New Roman" w:eastAsia="等线" w:cs="Times New Roman"/>
                <w:color w:val="000000"/>
                <w:kern w:val="0"/>
                <w:szCs w:val="21"/>
              </w:rPr>
            </w:pPr>
          </w:p>
        </w:tc>
        <w:tc>
          <w:tcPr>
            <w:tcW w:w="625" w:type="pct"/>
            <w:noWrap/>
            <w:vAlign w:val="center"/>
          </w:tcPr>
          <w:p w14:paraId="5C13715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C31</w:t>
            </w:r>
          </w:p>
        </w:tc>
        <w:tc>
          <w:tcPr>
            <w:tcW w:w="625" w:type="pct"/>
            <w:noWrap/>
            <w:vAlign w:val="center"/>
          </w:tcPr>
          <w:p w14:paraId="70EF604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1.229 </w:t>
            </w:r>
          </w:p>
        </w:tc>
        <w:tc>
          <w:tcPr>
            <w:tcW w:w="625" w:type="pct"/>
            <w:noWrap/>
            <w:vAlign w:val="center"/>
          </w:tcPr>
          <w:p w14:paraId="2A4D8FE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0.010 </w:t>
            </w:r>
          </w:p>
        </w:tc>
        <w:tc>
          <w:tcPr>
            <w:tcW w:w="625" w:type="pct"/>
            <w:vMerge w:val="continue"/>
            <w:vAlign w:val="center"/>
          </w:tcPr>
          <w:p w14:paraId="7C96AAE4">
            <w:pPr>
              <w:widowControl/>
              <w:jc w:val="left"/>
              <w:rPr>
                <w:rFonts w:ascii="Times New Roman" w:hAnsi="Times New Roman" w:eastAsia="等线" w:cs="Times New Roman"/>
                <w:color w:val="000000"/>
                <w:kern w:val="0"/>
                <w:szCs w:val="21"/>
              </w:rPr>
            </w:pPr>
          </w:p>
        </w:tc>
        <w:tc>
          <w:tcPr>
            <w:tcW w:w="626" w:type="pct"/>
            <w:vMerge w:val="continue"/>
            <w:vAlign w:val="center"/>
          </w:tcPr>
          <w:p w14:paraId="3B26F772">
            <w:pPr>
              <w:widowControl/>
              <w:jc w:val="left"/>
              <w:rPr>
                <w:rFonts w:ascii="Times New Roman" w:hAnsi="Times New Roman" w:eastAsia="等线" w:cs="Times New Roman"/>
                <w:color w:val="000000"/>
                <w:kern w:val="0"/>
                <w:szCs w:val="21"/>
              </w:rPr>
            </w:pPr>
          </w:p>
        </w:tc>
        <w:tc>
          <w:tcPr>
            <w:tcW w:w="625" w:type="pct"/>
            <w:vMerge w:val="continue"/>
            <w:vAlign w:val="center"/>
          </w:tcPr>
          <w:p w14:paraId="60EFABC0">
            <w:pPr>
              <w:widowControl/>
              <w:jc w:val="left"/>
              <w:rPr>
                <w:rFonts w:ascii="Times New Roman" w:hAnsi="Times New Roman" w:eastAsia="等线" w:cs="Times New Roman"/>
                <w:color w:val="000000"/>
                <w:kern w:val="0"/>
                <w:szCs w:val="21"/>
              </w:rPr>
            </w:pPr>
          </w:p>
        </w:tc>
        <w:tc>
          <w:tcPr>
            <w:tcW w:w="624" w:type="pct"/>
            <w:vMerge w:val="continue"/>
            <w:vAlign w:val="center"/>
          </w:tcPr>
          <w:p w14:paraId="659CCEB2">
            <w:pPr>
              <w:widowControl/>
              <w:jc w:val="left"/>
              <w:rPr>
                <w:rFonts w:ascii="Times New Roman" w:hAnsi="Times New Roman" w:eastAsia="等线" w:cs="Times New Roman"/>
                <w:color w:val="000000"/>
                <w:kern w:val="0"/>
                <w:szCs w:val="21"/>
              </w:rPr>
            </w:pPr>
          </w:p>
        </w:tc>
      </w:tr>
      <w:tr w14:paraId="603F637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19679AED">
            <w:pPr>
              <w:widowControl/>
              <w:jc w:val="left"/>
              <w:rPr>
                <w:rFonts w:ascii="Times New Roman" w:hAnsi="Times New Roman" w:eastAsia="等线" w:cs="Times New Roman"/>
                <w:color w:val="000000"/>
                <w:kern w:val="0"/>
                <w:szCs w:val="21"/>
              </w:rPr>
            </w:pPr>
          </w:p>
        </w:tc>
        <w:tc>
          <w:tcPr>
            <w:tcW w:w="625" w:type="pct"/>
            <w:noWrap/>
            <w:vAlign w:val="center"/>
          </w:tcPr>
          <w:p w14:paraId="36AF482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O32</w:t>
            </w:r>
          </w:p>
        </w:tc>
        <w:tc>
          <w:tcPr>
            <w:tcW w:w="625" w:type="pct"/>
            <w:noWrap/>
            <w:vAlign w:val="center"/>
          </w:tcPr>
          <w:p w14:paraId="7D6F894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0.582 </w:t>
            </w:r>
          </w:p>
        </w:tc>
        <w:tc>
          <w:tcPr>
            <w:tcW w:w="625" w:type="pct"/>
            <w:noWrap/>
            <w:vAlign w:val="center"/>
          </w:tcPr>
          <w:p w14:paraId="3AF37BA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0.005 </w:t>
            </w:r>
          </w:p>
        </w:tc>
        <w:tc>
          <w:tcPr>
            <w:tcW w:w="625" w:type="pct"/>
            <w:vMerge w:val="continue"/>
            <w:vAlign w:val="center"/>
          </w:tcPr>
          <w:p w14:paraId="29DCB647">
            <w:pPr>
              <w:widowControl/>
              <w:jc w:val="left"/>
              <w:rPr>
                <w:rFonts w:ascii="Times New Roman" w:hAnsi="Times New Roman" w:eastAsia="等线" w:cs="Times New Roman"/>
                <w:color w:val="000000"/>
                <w:kern w:val="0"/>
                <w:szCs w:val="21"/>
              </w:rPr>
            </w:pPr>
          </w:p>
        </w:tc>
        <w:tc>
          <w:tcPr>
            <w:tcW w:w="626" w:type="pct"/>
            <w:vMerge w:val="continue"/>
            <w:vAlign w:val="center"/>
          </w:tcPr>
          <w:p w14:paraId="13498322">
            <w:pPr>
              <w:widowControl/>
              <w:jc w:val="left"/>
              <w:rPr>
                <w:rFonts w:ascii="Times New Roman" w:hAnsi="Times New Roman" w:eastAsia="等线" w:cs="Times New Roman"/>
                <w:color w:val="000000"/>
                <w:kern w:val="0"/>
                <w:szCs w:val="21"/>
              </w:rPr>
            </w:pPr>
          </w:p>
        </w:tc>
        <w:tc>
          <w:tcPr>
            <w:tcW w:w="625" w:type="pct"/>
            <w:vMerge w:val="continue"/>
            <w:vAlign w:val="center"/>
          </w:tcPr>
          <w:p w14:paraId="063871D1">
            <w:pPr>
              <w:widowControl/>
              <w:jc w:val="left"/>
              <w:rPr>
                <w:rFonts w:ascii="Times New Roman" w:hAnsi="Times New Roman" w:eastAsia="等线" w:cs="Times New Roman"/>
                <w:color w:val="000000"/>
                <w:kern w:val="0"/>
                <w:szCs w:val="21"/>
              </w:rPr>
            </w:pPr>
          </w:p>
        </w:tc>
        <w:tc>
          <w:tcPr>
            <w:tcW w:w="624" w:type="pct"/>
            <w:vMerge w:val="continue"/>
            <w:vAlign w:val="center"/>
          </w:tcPr>
          <w:p w14:paraId="3E7316D3">
            <w:pPr>
              <w:widowControl/>
              <w:jc w:val="left"/>
              <w:rPr>
                <w:rFonts w:ascii="Times New Roman" w:hAnsi="Times New Roman" w:eastAsia="等线" w:cs="Times New Roman"/>
                <w:color w:val="000000"/>
                <w:kern w:val="0"/>
                <w:szCs w:val="21"/>
              </w:rPr>
            </w:pPr>
          </w:p>
        </w:tc>
      </w:tr>
      <w:tr w14:paraId="4662BF7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7AD7724A">
            <w:pPr>
              <w:widowControl/>
              <w:jc w:val="left"/>
              <w:rPr>
                <w:rFonts w:ascii="Times New Roman" w:hAnsi="Times New Roman" w:eastAsia="等线" w:cs="Times New Roman"/>
                <w:color w:val="000000"/>
                <w:kern w:val="0"/>
                <w:szCs w:val="21"/>
              </w:rPr>
            </w:pPr>
          </w:p>
        </w:tc>
        <w:tc>
          <w:tcPr>
            <w:tcW w:w="625" w:type="pct"/>
            <w:noWrap/>
            <w:vAlign w:val="center"/>
          </w:tcPr>
          <w:p w14:paraId="36488B9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O33</w:t>
            </w:r>
          </w:p>
        </w:tc>
        <w:tc>
          <w:tcPr>
            <w:tcW w:w="625" w:type="pct"/>
            <w:noWrap/>
            <w:vAlign w:val="center"/>
          </w:tcPr>
          <w:p w14:paraId="181F68A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0.580 </w:t>
            </w:r>
          </w:p>
        </w:tc>
        <w:tc>
          <w:tcPr>
            <w:tcW w:w="625" w:type="pct"/>
            <w:noWrap/>
            <w:vAlign w:val="center"/>
          </w:tcPr>
          <w:p w14:paraId="07FDEDB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0.007 </w:t>
            </w:r>
          </w:p>
        </w:tc>
        <w:tc>
          <w:tcPr>
            <w:tcW w:w="625" w:type="pct"/>
            <w:vMerge w:val="continue"/>
            <w:vAlign w:val="center"/>
          </w:tcPr>
          <w:p w14:paraId="3395374F">
            <w:pPr>
              <w:widowControl/>
              <w:jc w:val="left"/>
              <w:rPr>
                <w:rFonts w:ascii="Times New Roman" w:hAnsi="Times New Roman" w:eastAsia="等线" w:cs="Times New Roman"/>
                <w:color w:val="000000"/>
                <w:kern w:val="0"/>
                <w:szCs w:val="21"/>
              </w:rPr>
            </w:pPr>
          </w:p>
        </w:tc>
        <w:tc>
          <w:tcPr>
            <w:tcW w:w="626" w:type="pct"/>
            <w:vMerge w:val="continue"/>
            <w:vAlign w:val="center"/>
          </w:tcPr>
          <w:p w14:paraId="7E77A384">
            <w:pPr>
              <w:widowControl/>
              <w:jc w:val="left"/>
              <w:rPr>
                <w:rFonts w:ascii="Times New Roman" w:hAnsi="Times New Roman" w:eastAsia="等线" w:cs="Times New Roman"/>
                <w:color w:val="000000"/>
                <w:kern w:val="0"/>
                <w:szCs w:val="21"/>
              </w:rPr>
            </w:pPr>
          </w:p>
        </w:tc>
        <w:tc>
          <w:tcPr>
            <w:tcW w:w="625" w:type="pct"/>
            <w:vMerge w:val="continue"/>
            <w:vAlign w:val="center"/>
          </w:tcPr>
          <w:p w14:paraId="4EC90CA4">
            <w:pPr>
              <w:widowControl/>
              <w:jc w:val="left"/>
              <w:rPr>
                <w:rFonts w:ascii="Times New Roman" w:hAnsi="Times New Roman" w:eastAsia="等线" w:cs="Times New Roman"/>
                <w:color w:val="000000"/>
                <w:kern w:val="0"/>
                <w:szCs w:val="21"/>
              </w:rPr>
            </w:pPr>
          </w:p>
        </w:tc>
        <w:tc>
          <w:tcPr>
            <w:tcW w:w="624" w:type="pct"/>
            <w:vMerge w:val="continue"/>
            <w:vAlign w:val="center"/>
          </w:tcPr>
          <w:p w14:paraId="11F6DC01">
            <w:pPr>
              <w:widowControl/>
              <w:jc w:val="left"/>
              <w:rPr>
                <w:rFonts w:ascii="Times New Roman" w:hAnsi="Times New Roman" w:eastAsia="等线" w:cs="Times New Roman"/>
                <w:color w:val="000000"/>
                <w:kern w:val="0"/>
                <w:szCs w:val="21"/>
              </w:rPr>
            </w:pPr>
          </w:p>
        </w:tc>
      </w:tr>
      <w:tr w14:paraId="1AE0B13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555845C5">
            <w:pPr>
              <w:widowControl/>
              <w:jc w:val="left"/>
              <w:rPr>
                <w:rFonts w:ascii="Times New Roman" w:hAnsi="Times New Roman" w:eastAsia="等线" w:cs="Times New Roman"/>
                <w:color w:val="000000"/>
                <w:kern w:val="0"/>
                <w:szCs w:val="21"/>
              </w:rPr>
            </w:pPr>
          </w:p>
        </w:tc>
        <w:tc>
          <w:tcPr>
            <w:tcW w:w="625" w:type="pct"/>
            <w:noWrap/>
            <w:vAlign w:val="center"/>
          </w:tcPr>
          <w:p w14:paraId="367974F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C32</w:t>
            </w:r>
          </w:p>
        </w:tc>
        <w:tc>
          <w:tcPr>
            <w:tcW w:w="625" w:type="pct"/>
            <w:noWrap/>
            <w:vAlign w:val="center"/>
          </w:tcPr>
          <w:p w14:paraId="6C896F9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1.348 </w:t>
            </w:r>
          </w:p>
        </w:tc>
        <w:tc>
          <w:tcPr>
            <w:tcW w:w="625" w:type="pct"/>
            <w:noWrap/>
            <w:vAlign w:val="center"/>
          </w:tcPr>
          <w:p w14:paraId="6F89D1D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0.019 </w:t>
            </w:r>
          </w:p>
        </w:tc>
        <w:tc>
          <w:tcPr>
            <w:tcW w:w="625" w:type="pct"/>
            <w:vMerge w:val="continue"/>
            <w:vAlign w:val="center"/>
          </w:tcPr>
          <w:p w14:paraId="1544CA27">
            <w:pPr>
              <w:widowControl/>
              <w:jc w:val="left"/>
              <w:rPr>
                <w:rFonts w:ascii="Times New Roman" w:hAnsi="Times New Roman" w:eastAsia="等线" w:cs="Times New Roman"/>
                <w:color w:val="000000"/>
                <w:kern w:val="0"/>
                <w:szCs w:val="21"/>
              </w:rPr>
            </w:pPr>
          </w:p>
        </w:tc>
        <w:tc>
          <w:tcPr>
            <w:tcW w:w="626" w:type="pct"/>
            <w:vMerge w:val="continue"/>
            <w:vAlign w:val="center"/>
          </w:tcPr>
          <w:p w14:paraId="0B0BFCEF">
            <w:pPr>
              <w:widowControl/>
              <w:jc w:val="left"/>
              <w:rPr>
                <w:rFonts w:ascii="Times New Roman" w:hAnsi="Times New Roman" w:eastAsia="等线" w:cs="Times New Roman"/>
                <w:color w:val="000000"/>
                <w:kern w:val="0"/>
                <w:szCs w:val="21"/>
              </w:rPr>
            </w:pPr>
          </w:p>
        </w:tc>
        <w:tc>
          <w:tcPr>
            <w:tcW w:w="625" w:type="pct"/>
            <w:vMerge w:val="continue"/>
            <w:vAlign w:val="center"/>
          </w:tcPr>
          <w:p w14:paraId="65F30A3B">
            <w:pPr>
              <w:widowControl/>
              <w:jc w:val="left"/>
              <w:rPr>
                <w:rFonts w:ascii="Times New Roman" w:hAnsi="Times New Roman" w:eastAsia="等线" w:cs="Times New Roman"/>
                <w:color w:val="000000"/>
                <w:kern w:val="0"/>
                <w:szCs w:val="21"/>
              </w:rPr>
            </w:pPr>
          </w:p>
        </w:tc>
        <w:tc>
          <w:tcPr>
            <w:tcW w:w="624" w:type="pct"/>
            <w:vMerge w:val="continue"/>
            <w:vAlign w:val="center"/>
          </w:tcPr>
          <w:p w14:paraId="37DC561F">
            <w:pPr>
              <w:widowControl/>
              <w:jc w:val="left"/>
              <w:rPr>
                <w:rFonts w:ascii="Times New Roman" w:hAnsi="Times New Roman" w:eastAsia="等线" w:cs="Times New Roman"/>
                <w:color w:val="000000"/>
                <w:kern w:val="0"/>
                <w:szCs w:val="21"/>
              </w:rPr>
            </w:pPr>
          </w:p>
        </w:tc>
      </w:tr>
      <w:tr w14:paraId="3A12A03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38FA54AE">
            <w:pPr>
              <w:widowControl/>
              <w:jc w:val="left"/>
              <w:rPr>
                <w:rFonts w:ascii="Times New Roman" w:hAnsi="Times New Roman" w:eastAsia="等线" w:cs="Times New Roman"/>
                <w:color w:val="000000"/>
                <w:kern w:val="0"/>
                <w:szCs w:val="21"/>
              </w:rPr>
            </w:pPr>
          </w:p>
        </w:tc>
        <w:tc>
          <w:tcPr>
            <w:tcW w:w="625" w:type="pct"/>
            <w:noWrap/>
            <w:vAlign w:val="center"/>
          </w:tcPr>
          <w:p w14:paraId="768F73A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C33</w:t>
            </w:r>
          </w:p>
        </w:tc>
        <w:tc>
          <w:tcPr>
            <w:tcW w:w="625" w:type="pct"/>
            <w:noWrap/>
            <w:vAlign w:val="center"/>
          </w:tcPr>
          <w:p w14:paraId="78556CD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1.500 </w:t>
            </w:r>
          </w:p>
        </w:tc>
        <w:tc>
          <w:tcPr>
            <w:tcW w:w="625" w:type="pct"/>
            <w:noWrap/>
            <w:vAlign w:val="center"/>
          </w:tcPr>
          <w:p w14:paraId="003E635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0.015 </w:t>
            </w:r>
          </w:p>
        </w:tc>
        <w:tc>
          <w:tcPr>
            <w:tcW w:w="625" w:type="pct"/>
            <w:vMerge w:val="continue"/>
            <w:vAlign w:val="center"/>
          </w:tcPr>
          <w:p w14:paraId="74756FE5">
            <w:pPr>
              <w:widowControl/>
              <w:jc w:val="left"/>
              <w:rPr>
                <w:rFonts w:ascii="Times New Roman" w:hAnsi="Times New Roman" w:eastAsia="等线" w:cs="Times New Roman"/>
                <w:color w:val="000000"/>
                <w:kern w:val="0"/>
                <w:szCs w:val="21"/>
              </w:rPr>
            </w:pPr>
          </w:p>
        </w:tc>
        <w:tc>
          <w:tcPr>
            <w:tcW w:w="626" w:type="pct"/>
            <w:vMerge w:val="continue"/>
            <w:vAlign w:val="center"/>
          </w:tcPr>
          <w:p w14:paraId="585290FD">
            <w:pPr>
              <w:widowControl/>
              <w:jc w:val="left"/>
              <w:rPr>
                <w:rFonts w:ascii="Times New Roman" w:hAnsi="Times New Roman" w:eastAsia="等线" w:cs="Times New Roman"/>
                <w:color w:val="000000"/>
                <w:kern w:val="0"/>
                <w:szCs w:val="21"/>
              </w:rPr>
            </w:pPr>
          </w:p>
        </w:tc>
        <w:tc>
          <w:tcPr>
            <w:tcW w:w="625" w:type="pct"/>
            <w:vMerge w:val="continue"/>
            <w:vAlign w:val="center"/>
          </w:tcPr>
          <w:p w14:paraId="7291183E">
            <w:pPr>
              <w:widowControl/>
              <w:jc w:val="left"/>
              <w:rPr>
                <w:rFonts w:ascii="Times New Roman" w:hAnsi="Times New Roman" w:eastAsia="等线" w:cs="Times New Roman"/>
                <w:color w:val="000000"/>
                <w:kern w:val="0"/>
                <w:szCs w:val="21"/>
              </w:rPr>
            </w:pPr>
          </w:p>
        </w:tc>
        <w:tc>
          <w:tcPr>
            <w:tcW w:w="624" w:type="pct"/>
            <w:vMerge w:val="continue"/>
            <w:vAlign w:val="center"/>
          </w:tcPr>
          <w:p w14:paraId="435BF6AA">
            <w:pPr>
              <w:widowControl/>
              <w:jc w:val="left"/>
              <w:rPr>
                <w:rFonts w:ascii="Times New Roman" w:hAnsi="Times New Roman" w:eastAsia="等线" w:cs="Times New Roman"/>
                <w:color w:val="000000"/>
                <w:kern w:val="0"/>
                <w:szCs w:val="21"/>
              </w:rPr>
            </w:pPr>
          </w:p>
        </w:tc>
      </w:tr>
      <w:tr w14:paraId="03E8563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77992A41">
            <w:pPr>
              <w:widowControl/>
              <w:jc w:val="left"/>
              <w:rPr>
                <w:rFonts w:ascii="Times New Roman" w:hAnsi="Times New Roman" w:eastAsia="等线" w:cs="Times New Roman"/>
                <w:color w:val="000000"/>
                <w:kern w:val="0"/>
                <w:szCs w:val="21"/>
              </w:rPr>
            </w:pPr>
          </w:p>
        </w:tc>
        <w:tc>
          <w:tcPr>
            <w:tcW w:w="625" w:type="pct"/>
            <w:noWrap/>
            <w:vAlign w:val="center"/>
          </w:tcPr>
          <w:p w14:paraId="49F6FC5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H31</w:t>
            </w:r>
          </w:p>
        </w:tc>
        <w:tc>
          <w:tcPr>
            <w:tcW w:w="625" w:type="pct"/>
            <w:noWrap/>
            <w:vAlign w:val="center"/>
          </w:tcPr>
          <w:p w14:paraId="233C8CA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64EB8DD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3BAE833F">
            <w:pPr>
              <w:widowControl/>
              <w:jc w:val="left"/>
              <w:rPr>
                <w:rFonts w:ascii="Times New Roman" w:hAnsi="Times New Roman" w:eastAsia="等线" w:cs="Times New Roman"/>
                <w:color w:val="000000"/>
                <w:kern w:val="0"/>
                <w:szCs w:val="21"/>
              </w:rPr>
            </w:pPr>
          </w:p>
        </w:tc>
        <w:tc>
          <w:tcPr>
            <w:tcW w:w="626" w:type="pct"/>
            <w:vMerge w:val="continue"/>
            <w:vAlign w:val="center"/>
          </w:tcPr>
          <w:p w14:paraId="30EDDC8F">
            <w:pPr>
              <w:widowControl/>
              <w:jc w:val="left"/>
              <w:rPr>
                <w:rFonts w:ascii="Times New Roman" w:hAnsi="Times New Roman" w:eastAsia="等线" w:cs="Times New Roman"/>
                <w:color w:val="000000"/>
                <w:kern w:val="0"/>
                <w:szCs w:val="21"/>
              </w:rPr>
            </w:pPr>
          </w:p>
        </w:tc>
        <w:tc>
          <w:tcPr>
            <w:tcW w:w="625" w:type="pct"/>
            <w:vMerge w:val="continue"/>
            <w:vAlign w:val="center"/>
          </w:tcPr>
          <w:p w14:paraId="3033172B">
            <w:pPr>
              <w:widowControl/>
              <w:jc w:val="left"/>
              <w:rPr>
                <w:rFonts w:ascii="Times New Roman" w:hAnsi="Times New Roman" w:eastAsia="等线" w:cs="Times New Roman"/>
                <w:color w:val="000000"/>
                <w:kern w:val="0"/>
                <w:szCs w:val="21"/>
              </w:rPr>
            </w:pPr>
          </w:p>
        </w:tc>
        <w:tc>
          <w:tcPr>
            <w:tcW w:w="624" w:type="pct"/>
            <w:vMerge w:val="continue"/>
            <w:vAlign w:val="center"/>
          </w:tcPr>
          <w:p w14:paraId="330C8F75">
            <w:pPr>
              <w:widowControl/>
              <w:jc w:val="left"/>
              <w:rPr>
                <w:rFonts w:ascii="Times New Roman" w:hAnsi="Times New Roman" w:eastAsia="等线" w:cs="Times New Roman"/>
                <w:color w:val="000000"/>
                <w:kern w:val="0"/>
                <w:szCs w:val="21"/>
              </w:rPr>
            </w:pPr>
          </w:p>
        </w:tc>
      </w:tr>
      <w:tr w14:paraId="175A558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03416118">
            <w:pPr>
              <w:widowControl/>
              <w:jc w:val="left"/>
              <w:rPr>
                <w:rFonts w:ascii="Times New Roman" w:hAnsi="Times New Roman" w:eastAsia="等线" w:cs="Times New Roman"/>
                <w:color w:val="000000"/>
                <w:kern w:val="0"/>
                <w:szCs w:val="21"/>
              </w:rPr>
            </w:pPr>
          </w:p>
        </w:tc>
        <w:tc>
          <w:tcPr>
            <w:tcW w:w="625" w:type="pct"/>
            <w:noWrap/>
            <w:vAlign w:val="center"/>
          </w:tcPr>
          <w:p w14:paraId="7E367DA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F31</w:t>
            </w:r>
          </w:p>
        </w:tc>
        <w:tc>
          <w:tcPr>
            <w:tcW w:w="625" w:type="pct"/>
            <w:noWrap/>
            <w:vAlign w:val="center"/>
          </w:tcPr>
          <w:p w14:paraId="0B7F68C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0.431 </w:t>
            </w:r>
          </w:p>
        </w:tc>
        <w:tc>
          <w:tcPr>
            <w:tcW w:w="625" w:type="pct"/>
            <w:noWrap/>
            <w:vAlign w:val="center"/>
          </w:tcPr>
          <w:p w14:paraId="31E2930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0.006 </w:t>
            </w:r>
          </w:p>
        </w:tc>
        <w:tc>
          <w:tcPr>
            <w:tcW w:w="625" w:type="pct"/>
            <w:vMerge w:val="continue"/>
            <w:vAlign w:val="center"/>
          </w:tcPr>
          <w:p w14:paraId="5C301284">
            <w:pPr>
              <w:widowControl/>
              <w:jc w:val="left"/>
              <w:rPr>
                <w:rFonts w:ascii="Times New Roman" w:hAnsi="Times New Roman" w:eastAsia="等线" w:cs="Times New Roman"/>
                <w:color w:val="000000"/>
                <w:kern w:val="0"/>
                <w:szCs w:val="21"/>
              </w:rPr>
            </w:pPr>
          </w:p>
        </w:tc>
        <w:tc>
          <w:tcPr>
            <w:tcW w:w="626" w:type="pct"/>
            <w:vMerge w:val="continue"/>
            <w:vAlign w:val="center"/>
          </w:tcPr>
          <w:p w14:paraId="3B434605">
            <w:pPr>
              <w:widowControl/>
              <w:jc w:val="left"/>
              <w:rPr>
                <w:rFonts w:ascii="Times New Roman" w:hAnsi="Times New Roman" w:eastAsia="等线" w:cs="Times New Roman"/>
                <w:color w:val="000000"/>
                <w:kern w:val="0"/>
                <w:szCs w:val="21"/>
              </w:rPr>
            </w:pPr>
          </w:p>
        </w:tc>
        <w:tc>
          <w:tcPr>
            <w:tcW w:w="625" w:type="pct"/>
            <w:vMerge w:val="continue"/>
            <w:vAlign w:val="center"/>
          </w:tcPr>
          <w:p w14:paraId="1EE1EF28">
            <w:pPr>
              <w:widowControl/>
              <w:jc w:val="left"/>
              <w:rPr>
                <w:rFonts w:ascii="Times New Roman" w:hAnsi="Times New Roman" w:eastAsia="等线" w:cs="Times New Roman"/>
                <w:color w:val="000000"/>
                <w:kern w:val="0"/>
                <w:szCs w:val="21"/>
              </w:rPr>
            </w:pPr>
          </w:p>
        </w:tc>
        <w:tc>
          <w:tcPr>
            <w:tcW w:w="624" w:type="pct"/>
            <w:vMerge w:val="continue"/>
            <w:vAlign w:val="center"/>
          </w:tcPr>
          <w:p w14:paraId="5CA093FE">
            <w:pPr>
              <w:widowControl/>
              <w:jc w:val="left"/>
              <w:rPr>
                <w:rFonts w:ascii="Times New Roman" w:hAnsi="Times New Roman" w:eastAsia="等线" w:cs="Times New Roman"/>
                <w:color w:val="000000"/>
                <w:kern w:val="0"/>
                <w:szCs w:val="21"/>
              </w:rPr>
            </w:pPr>
          </w:p>
        </w:tc>
      </w:tr>
      <w:tr w14:paraId="319DE1D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7F902F93">
            <w:pPr>
              <w:widowControl/>
              <w:jc w:val="left"/>
              <w:rPr>
                <w:rFonts w:ascii="Times New Roman" w:hAnsi="Times New Roman" w:eastAsia="等线" w:cs="Times New Roman"/>
                <w:color w:val="000000"/>
                <w:kern w:val="0"/>
                <w:szCs w:val="21"/>
              </w:rPr>
            </w:pPr>
          </w:p>
        </w:tc>
        <w:tc>
          <w:tcPr>
            <w:tcW w:w="625" w:type="pct"/>
            <w:noWrap/>
            <w:vAlign w:val="center"/>
          </w:tcPr>
          <w:p w14:paraId="597E0D3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H32</w:t>
            </w:r>
          </w:p>
        </w:tc>
        <w:tc>
          <w:tcPr>
            <w:tcW w:w="625" w:type="pct"/>
            <w:noWrap/>
            <w:vAlign w:val="center"/>
          </w:tcPr>
          <w:p w14:paraId="53CCF52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78E4D52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7DD1C454">
            <w:pPr>
              <w:widowControl/>
              <w:jc w:val="left"/>
              <w:rPr>
                <w:rFonts w:ascii="Times New Roman" w:hAnsi="Times New Roman" w:eastAsia="等线" w:cs="Times New Roman"/>
                <w:color w:val="000000"/>
                <w:kern w:val="0"/>
                <w:szCs w:val="21"/>
              </w:rPr>
            </w:pPr>
          </w:p>
        </w:tc>
        <w:tc>
          <w:tcPr>
            <w:tcW w:w="626" w:type="pct"/>
            <w:vMerge w:val="continue"/>
            <w:vAlign w:val="center"/>
          </w:tcPr>
          <w:p w14:paraId="7365CD43">
            <w:pPr>
              <w:widowControl/>
              <w:jc w:val="left"/>
              <w:rPr>
                <w:rFonts w:ascii="Times New Roman" w:hAnsi="Times New Roman" w:eastAsia="等线" w:cs="Times New Roman"/>
                <w:color w:val="000000"/>
                <w:kern w:val="0"/>
                <w:szCs w:val="21"/>
              </w:rPr>
            </w:pPr>
          </w:p>
        </w:tc>
        <w:tc>
          <w:tcPr>
            <w:tcW w:w="625" w:type="pct"/>
            <w:vMerge w:val="continue"/>
            <w:vAlign w:val="center"/>
          </w:tcPr>
          <w:p w14:paraId="23808232">
            <w:pPr>
              <w:widowControl/>
              <w:jc w:val="left"/>
              <w:rPr>
                <w:rFonts w:ascii="Times New Roman" w:hAnsi="Times New Roman" w:eastAsia="等线" w:cs="Times New Roman"/>
                <w:color w:val="000000"/>
                <w:kern w:val="0"/>
                <w:szCs w:val="21"/>
              </w:rPr>
            </w:pPr>
          </w:p>
        </w:tc>
        <w:tc>
          <w:tcPr>
            <w:tcW w:w="624" w:type="pct"/>
            <w:vMerge w:val="continue"/>
            <w:vAlign w:val="center"/>
          </w:tcPr>
          <w:p w14:paraId="140F7F93">
            <w:pPr>
              <w:widowControl/>
              <w:jc w:val="left"/>
              <w:rPr>
                <w:rFonts w:ascii="Times New Roman" w:hAnsi="Times New Roman" w:eastAsia="等线" w:cs="Times New Roman"/>
                <w:color w:val="000000"/>
                <w:kern w:val="0"/>
                <w:szCs w:val="21"/>
              </w:rPr>
            </w:pPr>
          </w:p>
        </w:tc>
      </w:tr>
      <w:tr w14:paraId="1ADD98B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restart"/>
            <w:noWrap/>
            <w:vAlign w:val="center"/>
          </w:tcPr>
          <w:p w14:paraId="10EE2B8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EMC</w:t>
            </w:r>
          </w:p>
        </w:tc>
        <w:tc>
          <w:tcPr>
            <w:tcW w:w="625" w:type="pct"/>
            <w:noWrap/>
            <w:vAlign w:val="center"/>
          </w:tcPr>
          <w:p w14:paraId="1C09CBB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O41</w:t>
            </w:r>
          </w:p>
        </w:tc>
        <w:tc>
          <w:tcPr>
            <w:tcW w:w="625" w:type="pct"/>
            <w:noWrap/>
            <w:vAlign w:val="center"/>
          </w:tcPr>
          <w:p w14:paraId="3ED9F3B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0.651 </w:t>
            </w:r>
          </w:p>
        </w:tc>
        <w:tc>
          <w:tcPr>
            <w:tcW w:w="625" w:type="pct"/>
            <w:noWrap/>
            <w:vAlign w:val="center"/>
          </w:tcPr>
          <w:p w14:paraId="4A6890F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0.009 </w:t>
            </w:r>
          </w:p>
        </w:tc>
        <w:tc>
          <w:tcPr>
            <w:tcW w:w="625" w:type="pct"/>
            <w:vMerge w:val="restart"/>
            <w:noWrap/>
            <w:vAlign w:val="center"/>
          </w:tcPr>
          <w:p w14:paraId="288D745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9.350 </w:t>
            </w:r>
          </w:p>
        </w:tc>
        <w:tc>
          <w:tcPr>
            <w:tcW w:w="626" w:type="pct"/>
            <w:vMerge w:val="restart"/>
            <w:noWrap/>
            <w:vAlign w:val="center"/>
          </w:tcPr>
          <w:p w14:paraId="55B54B6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0.082 </w:t>
            </w:r>
          </w:p>
        </w:tc>
        <w:tc>
          <w:tcPr>
            <w:tcW w:w="625" w:type="pct"/>
            <w:vMerge w:val="restart"/>
            <w:noWrap/>
            <w:vAlign w:val="center"/>
          </w:tcPr>
          <w:p w14:paraId="271A9CC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0.9776 </w:t>
            </w:r>
          </w:p>
        </w:tc>
        <w:tc>
          <w:tcPr>
            <w:tcW w:w="624" w:type="pct"/>
            <w:vMerge w:val="restart"/>
            <w:noWrap/>
            <w:vAlign w:val="center"/>
          </w:tcPr>
          <w:p w14:paraId="42FDBA3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0.2908 </w:t>
            </w:r>
          </w:p>
        </w:tc>
      </w:tr>
      <w:tr w14:paraId="64F2D3D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42394C73">
            <w:pPr>
              <w:widowControl/>
              <w:jc w:val="left"/>
              <w:rPr>
                <w:rFonts w:ascii="Times New Roman" w:hAnsi="Times New Roman" w:eastAsia="等线" w:cs="Times New Roman"/>
                <w:color w:val="000000"/>
                <w:kern w:val="0"/>
                <w:szCs w:val="21"/>
              </w:rPr>
            </w:pPr>
          </w:p>
        </w:tc>
        <w:tc>
          <w:tcPr>
            <w:tcW w:w="625" w:type="pct"/>
            <w:noWrap/>
            <w:vAlign w:val="center"/>
          </w:tcPr>
          <w:p w14:paraId="2B369DB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C41</w:t>
            </w:r>
          </w:p>
        </w:tc>
        <w:tc>
          <w:tcPr>
            <w:tcW w:w="625" w:type="pct"/>
            <w:noWrap/>
            <w:vAlign w:val="center"/>
          </w:tcPr>
          <w:p w14:paraId="694C2E7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1.228 </w:t>
            </w:r>
          </w:p>
        </w:tc>
        <w:tc>
          <w:tcPr>
            <w:tcW w:w="625" w:type="pct"/>
            <w:noWrap/>
            <w:vAlign w:val="center"/>
          </w:tcPr>
          <w:p w14:paraId="2A9FA10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0.013 </w:t>
            </w:r>
          </w:p>
        </w:tc>
        <w:tc>
          <w:tcPr>
            <w:tcW w:w="625" w:type="pct"/>
            <w:vMerge w:val="continue"/>
            <w:vAlign w:val="center"/>
          </w:tcPr>
          <w:p w14:paraId="48F0CDC0">
            <w:pPr>
              <w:widowControl/>
              <w:jc w:val="left"/>
              <w:rPr>
                <w:rFonts w:ascii="Times New Roman" w:hAnsi="Times New Roman" w:eastAsia="等线" w:cs="Times New Roman"/>
                <w:color w:val="000000"/>
                <w:kern w:val="0"/>
                <w:szCs w:val="21"/>
              </w:rPr>
            </w:pPr>
          </w:p>
        </w:tc>
        <w:tc>
          <w:tcPr>
            <w:tcW w:w="626" w:type="pct"/>
            <w:vMerge w:val="continue"/>
            <w:vAlign w:val="center"/>
          </w:tcPr>
          <w:p w14:paraId="59121A89">
            <w:pPr>
              <w:widowControl/>
              <w:jc w:val="left"/>
              <w:rPr>
                <w:rFonts w:ascii="Times New Roman" w:hAnsi="Times New Roman" w:eastAsia="等线" w:cs="Times New Roman"/>
                <w:color w:val="000000"/>
                <w:kern w:val="0"/>
                <w:szCs w:val="21"/>
              </w:rPr>
            </w:pPr>
          </w:p>
        </w:tc>
        <w:tc>
          <w:tcPr>
            <w:tcW w:w="625" w:type="pct"/>
            <w:vMerge w:val="continue"/>
            <w:vAlign w:val="center"/>
          </w:tcPr>
          <w:p w14:paraId="2690E72B">
            <w:pPr>
              <w:widowControl/>
              <w:jc w:val="left"/>
              <w:rPr>
                <w:rFonts w:ascii="Times New Roman" w:hAnsi="Times New Roman" w:eastAsia="等线" w:cs="Times New Roman"/>
                <w:color w:val="000000"/>
                <w:kern w:val="0"/>
                <w:szCs w:val="21"/>
              </w:rPr>
            </w:pPr>
          </w:p>
        </w:tc>
        <w:tc>
          <w:tcPr>
            <w:tcW w:w="624" w:type="pct"/>
            <w:vMerge w:val="continue"/>
            <w:vAlign w:val="center"/>
          </w:tcPr>
          <w:p w14:paraId="20011798">
            <w:pPr>
              <w:widowControl/>
              <w:jc w:val="left"/>
              <w:rPr>
                <w:rFonts w:ascii="Times New Roman" w:hAnsi="Times New Roman" w:eastAsia="等线" w:cs="Times New Roman"/>
                <w:color w:val="000000"/>
                <w:kern w:val="0"/>
                <w:szCs w:val="21"/>
              </w:rPr>
            </w:pPr>
          </w:p>
        </w:tc>
      </w:tr>
      <w:tr w14:paraId="3D4164B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52B50291">
            <w:pPr>
              <w:widowControl/>
              <w:jc w:val="left"/>
              <w:rPr>
                <w:rFonts w:ascii="Times New Roman" w:hAnsi="Times New Roman" w:eastAsia="等线" w:cs="Times New Roman"/>
                <w:color w:val="000000"/>
                <w:kern w:val="0"/>
                <w:szCs w:val="21"/>
              </w:rPr>
            </w:pPr>
          </w:p>
        </w:tc>
        <w:tc>
          <w:tcPr>
            <w:tcW w:w="625" w:type="pct"/>
            <w:noWrap/>
            <w:vAlign w:val="center"/>
          </w:tcPr>
          <w:p w14:paraId="0530685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O42</w:t>
            </w:r>
          </w:p>
        </w:tc>
        <w:tc>
          <w:tcPr>
            <w:tcW w:w="625" w:type="pct"/>
            <w:noWrap/>
            <w:vAlign w:val="center"/>
          </w:tcPr>
          <w:p w14:paraId="2D20A30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0.594 </w:t>
            </w:r>
          </w:p>
        </w:tc>
        <w:tc>
          <w:tcPr>
            <w:tcW w:w="625" w:type="pct"/>
            <w:noWrap/>
            <w:vAlign w:val="center"/>
          </w:tcPr>
          <w:p w14:paraId="581A5AC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0.008 </w:t>
            </w:r>
          </w:p>
        </w:tc>
        <w:tc>
          <w:tcPr>
            <w:tcW w:w="625" w:type="pct"/>
            <w:vMerge w:val="continue"/>
            <w:vAlign w:val="center"/>
          </w:tcPr>
          <w:p w14:paraId="0619FA23">
            <w:pPr>
              <w:widowControl/>
              <w:jc w:val="left"/>
              <w:rPr>
                <w:rFonts w:ascii="Times New Roman" w:hAnsi="Times New Roman" w:eastAsia="等线" w:cs="Times New Roman"/>
                <w:color w:val="000000"/>
                <w:kern w:val="0"/>
                <w:szCs w:val="21"/>
              </w:rPr>
            </w:pPr>
          </w:p>
        </w:tc>
        <w:tc>
          <w:tcPr>
            <w:tcW w:w="626" w:type="pct"/>
            <w:vMerge w:val="continue"/>
            <w:vAlign w:val="center"/>
          </w:tcPr>
          <w:p w14:paraId="2D9DC2C5">
            <w:pPr>
              <w:widowControl/>
              <w:jc w:val="left"/>
              <w:rPr>
                <w:rFonts w:ascii="Times New Roman" w:hAnsi="Times New Roman" w:eastAsia="等线" w:cs="Times New Roman"/>
                <w:color w:val="000000"/>
                <w:kern w:val="0"/>
                <w:szCs w:val="21"/>
              </w:rPr>
            </w:pPr>
          </w:p>
        </w:tc>
        <w:tc>
          <w:tcPr>
            <w:tcW w:w="625" w:type="pct"/>
            <w:vMerge w:val="continue"/>
            <w:vAlign w:val="center"/>
          </w:tcPr>
          <w:p w14:paraId="1845BFEF">
            <w:pPr>
              <w:widowControl/>
              <w:jc w:val="left"/>
              <w:rPr>
                <w:rFonts w:ascii="Times New Roman" w:hAnsi="Times New Roman" w:eastAsia="等线" w:cs="Times New Roman"/>
                <w:color w:val="000000"/>
                <w:kern w:val="0"/>
                <w:szCs w:val="21"/>
              </w:rPr>
            </w:pPr>
          </w:p>
        </w:tc>
        <w:tc>
          <w:tcPr>
            <w:tcW w:w="624" w:type="pct"/>
            <w:vMerge w:val="continue"/>
            <w:vAlign w:val="center"/>
          </w:tcPr>
          <w:p w14:paraId="46E0E86C">
            <w:pPr>
              <w:widowControl/>
              <w:jc w:val="left"/>
              <w:rPr>
                <w:rFonts w:ascii="Times New Roman" w:hAnsi="Times New Roman" w:eastAsia="等线" w:cs="Times New Roman"/>
                <w:color w:val="000000"/>
                <w:kern w:val="0"/>
                <w:szCs w:val="21"/>
              </w:rPr>
            </w:pPr>
          </w:p>
        </w:tc>
      </w:tr>
      <w:tr w14:paraId="1730375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10C135B2">
            <w:pPr>
              <w:widowControl/>
              <w:jc w:val="left"/>
              <w:rPr>
                <w:rFonts w:ascii="Times New Roman" w:hAnsi="Times New Roman" w:eastAsia="等线" w:cs="Times New Roman"/>
                <w:color w:val="000000"/>
                <w:kern w:val="0"/>
                <w:szCs w:val="21"/>
              </w:rPr>
            </w:pPr>
          </w:p>
        </w:tc>
        <w:tc>
          <w:tcPr>
            <w:tcW w:w="625" w:type="pct"/>
            <w:noWrap/>
            <w:vAlign w:val="center"/>
          </w:tcPr>
          <w:p w14:paraId="5F359B2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O43</w:t>
            </w:r>
          </w:p>
        </w:tc>
        <w:tc>
          <w:tcPr>
            <w:tcW w:w="625" w:type="pct"/>
            <w:noWrap/>
            <w:vAlign w:val="center"/>
          </w:tcPr>
          <w:p w14:paraId="268DBE1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0.601 </w:t>
            </w:r>
          </w:p>
        </w:tc>
        <w:tc>
          <w:tcPr>
            <w:tcW w:w="625" w:type="pct"/>
            <w:noWrap/>
            <w:vAlign w:val="center"/>
          </w:tcPr>
          <w:p w14:paraId="26C28EE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0.006 </w:t>
            </w:r>
          </w:p>
        </w:tc>
        <w:tc>
          <w:tcPr>
            <w:tcW w:w="625" w:type="pct"/>
            <w:vMerge w:val="continue"/>
            <w:vAlign w:val="center"/>
          </w:tcPr>
          <w:p w14:paraId="10F07116">
            <w:pPr>
              <w:widowControl/>
              <w:jc w:val="left"/>
              <w:rPr>
                <w:rFonts w:ascii="Times New Roman" w:hAnsi="Times New Roman" w:eastAsia="等线" w:cs="Times New Roman"/>
                <w:color w:val="000000"/>
                <w:kern w:val="0"/>
                <w:szCs w:val="21"/>
              </w:rPr>
            </w:pPr>
          </w:p>
        </w:tc>
        <w:tc>
          <w:tcPr>
            <w:tcW w:w="626" w:type="pct"/>
            <w:vMerge w:val="continue"/>
            <w:vAlign w:val="center"/>
          </w:tcPr>
          <w:p w14:paraId="732F0B91">
            <w:pPr>
              <w:widowControl/>
              <w:jc w:val="left"/>
              <w:rPr>
                <w:rFonts w:ascii="Times New Roman" w:hAnsi="Times New Roman" w:eastAsia="等线" w:cs="Times New Roman"/>
                <w:color w:val="000000"/>
                <w:kern w:val="0"/>
                <w:szCs w:val="21"/>
              </w:rPr>
            </w:pPr>
          </w:p>
        </w:tc>
        <w:tc>
          <w:tcPr>
            <w:tcW w:w="625" w:type="pct"/>
            <w:vMerge w:val="continue"/>
            <w:vAlign w:val="center"/>
          </w:tcPr>
          <w:p w14:paraId="6EDBAAD1">
            <w:pPr>
              <w:widowControl/>
              <w:jc w:val="left"/>
              <w:rPr>
                <w:rFonts w:ascii="Times New Roman" w:hAnsi="Times New Roman" w:eastAsia="等线" w:cs="Times New Roman"/>
                <w:color w:val="000000"/>
                <w:kern w:val="0"/>
                <w:szCs w:val="21"/>
              </w:rPr>
            </w:pPr>
          </w:p>
        </w:tc>
        <w:tc>
          <w:tcPr>
            <w:tcW w:w="624" w:type="pct"/>
            <w:vMerge w:val="continue"/>
            <w:vAlign w:val="center"/>
          </w:tcPr>
          <w:p w14:paraId="7C34F88D">
            <w:pPr>
              <w:widowControl/>
              <w:jc w:val="left"/>
              <w:rPr>
                <w:rFonts w:ascii="Times New Roman" w:hAnsi="Times New Roman" w:eastAsia="等线" w:cs="Times New Roman"/>
                <w:color w:val="000000"/>
                <w:kern w:val="0"/>
                <w:szCs w:val="21"/>
              </w:rPr>
            </w:pPr>
          </w:p>
        </w:tc>
      </w:tr>
      <w:tr w14:paraId="1D849F6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2FC75FF8">
            <w:pPr>
              <w:widowControl/>
              <w:jc w:val="left"/>
              <w:rPr>
                <w:rFonts w:ascii="Times New Roman" w:hAnsi="Times New Roman" w:eastAsia="等线" w:cs="Times New Roman"/>
                <w:color w:val="000000"/>
                <w:kern w:val="0"/>
                <w:szCs w:val="21"/>
              </w:rPr>
            </w:pPr>
          </w:p>
        </w:tc>
        <w:tc>
          <w:tcPr>
            <w:tcW w:w="625" w:type="pct"/>
            <w:noWrap/>
            <w:vAlign w:val="center"/>
          </w:tcPr>
          <w:p w14:paraId="0EB9676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C42</w:t>
            </w:r>
          </w:p>
        </w:tc>
        <w:tc>
          <w:tcPr>
            <w:tcW w:w="625" w:type="pct"/>
            <w:noWrap/>
            <w:vAlign w:val="center"/>
          </w:tcPr>
          <w:p w14:paraId="79C026F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1.625 </w:t>
            </w:r>
          </w:p>
        </w:tc>
        <w:tc>
          <w:tcPr>
            <w:tcW w:w="625" w:type="pct"/>
            <w:noWrap/>
            <w:vAlign w:val="center"/>
          </w:tcPr>
          <w:p w14:paraId="5BA2CD8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0.022 </w:t>
            </w:r>
          </w:p>
        </w:tc>
        <w:tc>
          <w:tcPr>
            <w:tcW w:w="625" w:type="pct"/>
            <w:vMerge w:val="continue"/>
            <w:vAlign w:val="center"/>
          </w:tcPr>
          <w:p w14:paraId="0FB4B0E8">
            <w:pPr>
              <w:widowControl/>
              <w:jc w:val="left"/>
              <w:rPr>
                <w:rFonts w:ascii="Times New Roman" w:hAnsi="Times New Roman" w:eastAsia="等线" w:cs="Times New Roman"/>
                <w:color w:val="000000"/>
                <w:kern w:val="0"/>
                <w:szCs w:val="21"/>
              </w:rPr>
            </w:pPr>
          </w:p>
        </w:tc>
        <w:tc>
          <w:tcPr>
            <w:tcW w:w="626" w:type="pct"/>
            <w:vMerge w:val="continue"/>
            <w:vAlign w:val="center"/>
          </w:tcPr>
          <w:p w14:paraId="21F37279">
            <w:pPr>
              <w:widowControl/>
              <w:jc w:val="left"/>
              <w:rPr>
                <w:rFonts w:ascii="Times New Roman" w:hAnsi="Times New Roman" w:eastAsia="等线" w:cs="Times New Roman"/>
                <w:color w:val="000000"/>
                <w:kern w:val="0"/>
                <w:szCs w:val="21"/>
              </w:rPr>
            </w:pPr>
          </w:p>
        </w:tc>
        <w:tc>
          <w:tcPr>
            <w:tcW w:w="625" w:type="pct"/>
            <w:vMerge w:val="continue"/>
            <w:vAlign w:val="center"/>
          </w:tcPr>
          <w:p w14:paraId="137B5CA8">
            <w:pPr>
              <w:widowControl/>
              <w:jc w:val="left"/>
              <w:rPr>
                <w:rFonts w:ascii="Times New Roman" w:hAnsi="Times New Roman" w:eastAsia="等线" w:cs="Times New Roman"/>
                <w:color w:val="000000"/>
                <w:kern w:val="0"/>
                <w:szCs w:val="21"/>
              </w:rPr>
            </w:pPr>
          </w:p>
        </w:tc>
        <w:tc>
          <w:tcPr>
            <w:tcW w:w="624" w:type="pct"/>
            <w:vMerge w:val="continue"/>
            <w:vAlign w:val="center"/>
          </w:tcPr>
          <w:p w14:paraId="7E9E648E">
            <w:pPr>
              <w:widowControl/>
              <w:jc w:val="left"/>
              <w:rPr>
                <w:rFonts w:ascii="Times New Roman" w:hAnsi="Times New Roman" w:eastAsia="等线" w:cs="Times New Roman"/>
                <w:color w:val="000000"/>
                <w:kern w:val="0"/>
                <w:szCs w:val="21"/>
              </w:rPr>
            </w:pPr>
          </w:p>
        </w:tc>
      </w:tr>
      <w:tr w14:paraId="291F92E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03E35FED">
            <w:pPr>
              <w:widowControl/>
              <w:jc w:val="left"/>
              <w:rPr>
                <w:rFonts w:ascii="Times New Roman" w:hAnsi="Times New Roman" w:eastAsia="等线" w:cs="Times New Roman"/>
                <w:color w:val="000000"/>
                <w:kern w:val="0"/>
                <w:szCs w:val="21"/>
              </w:rPr>
            </w:pPr>
          </w:p>
        </w:tc>
        <w:tc>
          <w:tcPr>
            <w:tcW w:w="625" w:type="pct"/>
            <w:noWrap/>
            <w:vAlign w:val="center"/>
          </w:tcPr>
          <w:p w14:paraId="44E3BB1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C43</w:t>
            </w:r>
          </w:p>
        </w:tc>
        <w:tc>
          <w:tcPr>
            <w:tcW w:w="625" w:type="pct"/>
            <w:noWrap/>
            <w:vAlign w:val="center"/>
          </w:tcPr>
          <w:p w14:paraId="6F8D8A2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1.789 </w:t>
            </w:r>
          </w:p>
        </w:tc>
        <w:tc>
          <w:tcPr>
            <w:tcW w:w="625" w:type="pct"/>
            <w:noWrap/>
            <w:vAlign w:val="center"/>
          </w:tcPr>
          <w:p w14:paraId="23FA768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0.014 </w:t>
            </w:r>
          </w:p>
        </w:tc>
        <w:tc>
          <w:tcPr>
            <w:tcW w:w="625" w:type="pct"/>
            <w:vMerge w:val="continue"/>
            <w:vAlign w:val="center"/>
          </w:tcPr>
          <w:p w14:paraId="5AA1E9E4">
            <w:pPr>
              <w:widowControl/>
              <w:jc w:val="left"/>
              <w:rPr>
                <w:rFonts w:ascii="Times New Roman" w:hAnsi="Times New Roman" w:eastAsia="等线" w:cs="Times New Roman"/>
                <w:color w:val="000000"/>
                <w:kern w:val="0"/>
                <w:szCs w:val="21"/>
              </w:rPr>
            </w:pPr>
          </w:p>
        </w:tc>
        <w:tc>
          <w:tcPr>
            <w:tcW w:w="626" w:type="pct"/>
            <w:vMerge w:val="continue"/>
            <w:vAlign w:val="center"/>
          </w:tcPr>
          <w:p w14:paraId="1096A94C">
            <w:pPr>
              <w:widowControl/>
              <w:jc w:val="left"/>
              <w:rPr>
                <w:rFonts w:ascii="Times New Roman" w:hAnsi="Times New Roman" w:eastAsia="等线" w:cs="Times New Roman"/>
                <w:color w:val="000000"/>
                <w:kern w:val="0"/>
                <w:szCs w:val="21"/>
              </w:rPr>
            </w:pPr>
          </w:p>
        </w:tc>
        <w:tc>
          <w:tcPr>
            <w:tcW w:w="625" w:type="pct"/>
            <w:vMerge w:val="continue"/>
            <w:vAlign w:val="center"/>
          </w:tcPr>
          <w:p w14:paraId="7EE97770">
            <w:pPr>
              <w:widowControl/>
              <w:jc w:val="left"/>
              <w:rPr>
                <w:rFonts w:ascii="Times New Roman" w:hAnsi="Times New Roman" w:eastAsia="等线" w:cs="Times New Roman"/>
                <w:color w:val="000000"/>
                <w:kern w:val="0"/>
                <w:szCs w:val="21"/>
              </w:rPr>
            </w:pPr>
          </w:p>
        </w:tc>
        <w:tc>
          <w:tcPr>
            <w:tcW w:w="624" w:type="pct"/>
            <w:vMerge w:val="continue"/>
            <w:vAlign w:val="center"/>
          </w:tcPr>
          <w:p w14:paraId="5D97F1AE">
            <w:pPr>
              <w:widowControl/>
              <w:jc w:val="left"/>
              <w:rPr>
                <w:rFonts w:ascii="Times New Roman" w:hAnsi="Times New Roman" w:eastAsia="等线" w:cs="Times New Roman"/>
                <w:color w:val="000000"/>
                <w:kern w:val="0"/>
                <w:szCs w:val="21"/>
              </w:rPr>
            </w:pPr>
          </w:p>
        </w:tc>
      </w:tr>
      <w:tr w14:paraId="27E9734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3B546B75">
            <w:pPr>
              <w:widowControl/>
              <w:jc w:val="left"/>
              <w:rPr>
                <w:rFonts w:ascii="Times New Roman" w:hAnsi="Times New Roman" w:eastAsia="等线" w:cs="Times New Roman"/>
                <w:color w:val="000000"/>
                <w:kern w:val="0"/>
                <w:szCs w:val="21"/>
              </w:rPr>
            </w:pPr>
          </w:p>
        </w:tc>
        <w:tc>
          <w:tcPr>
            <w:tcW w:w="625" w:type="pct"/>
            <w:noWrap/>
            <w:vAlign w:val="center"/>
          </w:tcPr>
          <w:p w14:paraId="30AB4DC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C44</w:t>
            </w:r>
          </w:p>
        </w:tc>
        <w:tc>
          <w:tcPr>
            <w:tcW w:w="625" w:type="pct"/>
            <w:noWrap/>
            <w:vAlign w:val="center"/>
          </w:tcPr>
          <w:p w14:paraId="36D3C92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1.789 </w:t>
            </w:r>
          </w:p>
        </w:tc>
        <w:tc>
          <w:tcPr>
            <w:tcW w:w="625" w:type="pct"/>
            <w:noWrap/>
            <w:vAlign w:val="center"/>
          </w:tcPr>
          <w:p w14:paraId="75D97CD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0.027 </w:t>
            </w:r>
          </w:p>
        </w:tc>
        <w:tc>
          <w:tcPr>
            <w:tcW w:w="625" w:type="pct"/>
            <w:vMerge w:val="continue"/>
            <w:vAlign w:val="center"/>
          </w:tcPr>
          <w:p w14:paraId="339643FB">
            <w:pPr>
              <w:widowControl/>
              <w:jc w:val="left"/>
              <w:rPr>
                <w:rFonts w:ascii="Times New Roman" w:hAnsi="Times New Roman" w:eastAsia="等线" w:cs="Times New Roman"/>
                <w:color w:val="000000"/>
                <w:kern w:val="0"/>
                <w:szCs w:val="21"/>
              </w:rPr>
            </w:pPr>
          </w:p>
        </w:tc>
        <w:tc>
          <w:tcPr>
            <w:tcW w:w="626" w:type="pct"/>
            <w:vMerge w:val="continue"/>
            <w:vAlign w:val="center"/>
          </w:tcPr>
          <w:p w14:paraId="26BAB6F2">
            <w:pPr>
              <w:widowControl/>
              <w:jc w:val="left"/>
              <w:rPr>
                <w:rFonts w:ascii="Times New Roman" w:hAnsi="Times New Roman" w:eastAsia="等线" w:cs="Times New Roman"/>
                <w:color w:val="000000"/>
                <w:kern w:val="0"/>
                <w:szCs w:val="21"/>
              </w:rPr>
            </w:pPr>
          </w:p>
        </w:tc>
        <w:tc>
          <w:tcPr>
            <w:tcW w:w="625" w:type="pct"/>
            <w:vMerge w:val="continue"/>
            <w:vAlign w:val="center"/>
          </w:tcPr>
          <w:p w14:paraId="640935AF">
            <w:pPr>
              <w:widowControl/>
              <w:jc w:val="left"/>
              <w:rPr>
                <w:rFonts w:ascii="Times New Roman" w:hAnsi="Times New Roman" w:eastAsia="等线" w:cs="Times New Roman"/>
                <w:color w:val="000000"/>
                <w:kern w:val="0"/>
                <w:szCs w:val="21"/>
              </w:rPr>
            </w:pPr>
          </w:p>
        </w:tc>
        <w:tc>
          <w:tcPr>
            <w:tcW w:w="624" w:type="pct"/>
            <w:vMerge w:val="continue"/>
            <w:vAlign w:val="center"/>
          </w:tcPr>
          <w:p w14:paraId="505D5743">
            <w:pPr>
              <w:widowControl/>
              <w:jc w:val="left"/>
              <w:rPr>
                <w:rFonts w:ascii="Times New Roman" w:hAnsi="Times New Roman" w:eastAsia="等线" w:cs="Times New Roman"/>
                <w:color w:val="000000"/>
                <w:kern w:val="0"/>
                <w:szCs w:val="21"/>
              </w:rPr>
            </w:pPr>
          </w:p>
        </w:tc>
      </w:tr>
      <w:tr w14:paraId="7D27925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41F7CDF2">
            <w:pPr>
              <w:widowControl/>
              <w:jc w:val="left"/>
              <w:rPr>
                <w:rFonts w:ascii="Times New Roman" w:hAnsi="Times New Roman" w:eastAsia="等线" w:cs="Times New Roman"/>
                <w:color w:val="000000"/>
                <w:kern w:val="0"/>
                <w:szCs w:val="21"/>
              </w:rPr>
            </w:pPr>
          </w:p>
        </w:tc>
        <w:tc>
          <w:tcPr>
            <w:tcW w:w="625" w:type="pct"/>
            <w:noWrap/>
            <w:vAlign w:val="center"/>
          </w:tcPr>
          <w:p w14:paraId="5AA4996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H41</w:t>
            </w:r>
          </w:p>
        </w:tc>
        <w:tc>
          <w:tcPr>
            <w:tcW w:w="625" w:type="pct"/>
            <w:noWrap/>
            <w:vAlign w:val="center"/>
          </w:tcPr>
          <w:p w14:paraId="779CD74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56FAE19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71ACEC77">
            <w:pPr>
              <w:widowControl/>
              <w:jc w:val="left"/>
              <w:rPr>
                <w:rFonts w:ascii="Times New Roman" w:hAnsi="Times New Roman" w:eastAsia="等线" w:cs="Times New Roman"/>
                <w:color w:val="000000"/>
                <w:kern w:val="0"/>
                <w:szCs w:val="21"/>
              </w:rPr>
            </w:pPr>
          </w:p>
        </w:tc>
        <w:tc>
          <w:tcPr>
            <w:tcW w:w="626" w:type="pct"/>
            <w:vMerge w:val="continue"/>
            <w:vAlign w:val="center"/>
          </w:tcPr>
          <w:p w14:paraId="11F87B2F">
            <w:pPr>
              <w:widowControl/>
              <w:jc w:val="left"/>
              <w:rPr>
                <w:rFonts w:ascii="Times New Roman" w:hAnsi="Times New Roman" w:eastAsia="等线" w:cs="Times New Roman"/>
                <w:color w:val="000000"/>
                <w:kern w:val="0"/>
                <w:szCs w:val="21"/>
              </w:rPr>
            </w:pPr>
          </w:p>
        </w:tc>
        <w:tc>
          <w:tcPr>
            <w:tcW w:w="625" w:type="pct"/>
            <w:vMerge w:val="continue"/>
            <w:vAlign w:val="center"/>
          </w:tcPr>
          <w:p w14:paraId="049A678F">
            <w:pPr>
              <w:widowControl/>
              <w:jc w:val="left"/>
              <w:rPr>
                <w:rFonts w:ascii="Times New Roman" w:hAnsi="Times New Roman" w:eastAsia="等线" w:cs="Times New Roman"/>
                <w:color w:val="000000"/>
                <w:kern w:val="0"/>
                <w:szCs w:val="21"/>
              </w:rPr>
            </w:pPr>
          </w:p>
        </w:tc>
        <w:tc>
          <w:tcPr>
            <w:tcW w:w="624" w:type="pct"/>
            <w:vMerge w:val="continue"/>
            <w:vAlign w:val="center"/>
          </w:tcPr>
          <w:p w14:paraId="3283963E">
            <w:pPr>
              <w:widowControl/>
              <w:jc w:val="left"/>
              <w:rPr>
                <w:rFonts w:ascii="Times New Roman" w:hAnsi="Times New Roman" w:eastAsia="等线" w:cs="Times New Roman"/>
                <w:color w:val="000000"/>
                <w:kern w:val="0"/>
                <w:szCs w:val="21"/>
              </w:rPr>
            </w:pPr>
          </w:p>
        </w:tc>
      </w:tr>
      <w:tr w14:paraId="48F6A68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72257721">
            <w:pPr>
              <w:widowControl/>
              <w:jc w:val="left"/>
              <w:rPr>
                <w:rFonts w:ascii="Times New Roman" w:hAnsi="Times New Roman" w:eastAsia="等线" w:cs="Times New Roman"/>
                <w:color w:val="000000"/>
                <w:kern w:val="0"/>
                <w:szCs w:val="21"/>
              </w:rPr>
            </w:pPr>
          </w:p>
        </w:tc>
        <w:tc>
          <w:tcPr>
            <w:tcW w:w="625" w:type="pct"/>
            <w:noWrap/>
            <w:vAlign w:val="center"/>
          </w:tcPr>
          <w:p w14:paraId="22582C4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H42</w:t>
            </w:r>
          </w:p>
        </w:tc>
        <w:tc>
          <w:tcPr>
            <w:tcW w:w="625" w:type="pct"/>
            <w:noWrap/>
            <w:vAlign w:val="center"/>
          </w:tcPr>
          <w:p w14:paraId="2BA8041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67B21E8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374A0D04">
            <w:pPr>
              <w:widowControl/>
              <w:jc w:val="left"/>
              <w:rPr>
                <w:rFonts w:ascii="Times New Roman" w:hAnsi="Times New Roman" w:eastAsia="等线" w:cs="Times New Roman"/>
                <w:color w:val="000000"/>
                <w:kern w:val="0"/>
                <w:szCs w:val="21"/>
              </w:rPr>
            </w:pPr>
          </w:p>
        </w:tc>
        <w:tc>
          <w:tcPr>
            <w:tcW w:w="626" w:type="pct"/>
            <w:vMerge w:val="continue"/>
            <w:vAlign w:val="center"/>
          </w:tcPr>
          <w:p w14:paraId="2EE2227A">
            <w:pPr>
              <w:widowControl/>
              <w:jc w:val="left"/>
              <w:rPr>
                <w:rFonts w:ascii="Times New Roman" w:hAnsi="Times New Roman" w:eastAsia="等线" w:cs="Times New Roman"/>
                <w:color w:val="000000"/>
                <w:kern w:val="0"/>
                <w:szCs w:val="21"/>
              </w:rPr>
            </w:pPr>
          </w:p>
        </w:tc>
        <w:tc>
          <w:tcPr>
            <w:tcW w:w="625" w:type="pct"/>
            <w:vMerge w:val="continue"/>
            <w:vAlign w:val="center"/>
          </w:tcPr>
          <w:p w14:paraId="34517BDC">
            <w:pPr>
              <w:widowControl/>
              <w:jc w:val="left"/>
              <w:rPr>
                <w:rFonts w:ascii="Times New Roman" w:hAnsi="Times New Roman" w:eastAsia="等线" w:cs="Times New Roman"/>
                <w:color w:val="000000"/>
                <w:kern w:val="0"/>
                <w:szCs w:val="21"/>
              </w:rPr>
            </w:pPr>
          </w:p>
        </w:tc>
        <w:tc>
          <w:tcPr>
            <w:tcW w:w="624" w:type="pct"/>
            <w:vMerge w:val="continue"/>
            <w:vAlign w:val="center"/>
          </w:tcPr>
          <w:p w14:paraId="35098316">
            <w:pPr>
              <w:widowControl/>
              <w:jc w:val="left"/>
              <w:rPr>
                <w:rFonts w:ascii="Times New Roman" w:hAnsi="Times New Roman" w:eastAsia="等线" w:cs="Times New Roman"/>
                <w:color w:val="000000"/>
                <w:kern w:val="0"/>
                <w:szCs w:val="21"/>
              </w:rPr>
            </w:pPr>
          </w:p>
        </w:tc>
      </w:tr>
      <w:tr w14:paraId="4B8E80D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395E6F97">
            <w:pPr>
              <w:widowControl/>
              <w:jc w:val="left"/>
              <w:rPr>
                <w:rFonts w:ascii="Times New Roman" w:hAnsi="Times New Roman" w:eastAsia="等线" w:cs="Times New Roman"/>
                <w:color w:val="000000"/>
                <w:kern w:val="0"/>
                <w:szCs w:val="21"/>
              </w:rPr>
            </w:pPr>
          </w:p>
        </w:tc>
        <w:tc>
          <w:tcPr>
            <w:tcW w:w="625" w:type="pct"/>
            <w:noWrap/>
            <w:vAlign w:val="center"/>
          </w:tcPr>
          <w:p w14:paraId="76EBCDB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H43</w:t>
            </w:r>
          </w:p>
        </w:tc>
        <w:tc>
          <w:tcPr>
            <w:tcW w:w="625" w:type="pct"/>
            <w:noWrap/>
            <w:vAlign w:val="center"/>
          </w:tcPr>
          <w:p w14:paraId="4F3EF75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3DA377C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43370FD1">
            <w:pPr>
              <w:widowControl/>
              <w:jc w:val="left"/>
              <w:rPr>
                <w:rFonts w:ascii="Times New Roman" w:hAnsi="Times New Roman" w:eastAsia="等线" w:cs="Times New Roman"/>
                <w:color w:val="000000"/>
                <w:kern w:val="0"/>
                <w:szCs w:val="21"/>
              </w:rPr>
            </w:pPr>
          </w:p>
        </w:tc>
        <w:tc>
          <w:tcPr>
            <w:tcW w:w="626" w:type="pct"/>
            <w:vMerge w:val="continue"/>
            <w:vAlign w:val="center"/>
          </w:tcPr>
          <w:p w14:paraId="3266AECD">
            <w:pPr>
              <w:widowControl/>
              <w:jc w:val="left"/>
              <w:rPr>
                <w:rFonts w:ascii="Times New Roman" w:hAnsi="Times New Roman" w:eastAsia="等线" w:cs="Times New Roman"/>
                <w:color w:val="000000"/>
                <w:kern w:val="0"/>
                <w:szCs w:val="21"/>
              </w:rPr>
            </w:pPr>
          </w:p>
        </w:tc>
        <w:tc>
          <w:tcPr>
            <w:tcW w:w="625" w:type="pct"/>
            <w:vMerge w:val="continue"/>
            <w:vAlign w:val="center"/>
          </w:tcPr>
          <w:p w14:paraId="284CBB33">
            <w:pPr>
              <w:widowControl/>
              <w:jc w:val="left"/>
              <w:rPr>
                <w:rFonts w:ascii="Times New Roman" w:hAnsi="Times New Roman" w:eastAsia="等线" w:cs="Times New Roman"/>
                <w:color w:val="000000"/>
                <w:kern w:val="0"/>
                <w:szCs w:val="21"/>
              </w:rPr>
            </w:pPr>
          </w:p>
        </w:tc>
        <w:tc>
          <w:tcPr>
            <w:tcW w:w="624" w:type="pct"/>
            <w:vMerge w:val="continue"/>
            <w:vAlign w:val="center"/>
          </w:tcPr>
          <w:p w14:paraId="22B66D5E">
            <w:pPr>
              <w:widowControl/>
              <w:jc w:val="left"/>
              <w:rPr>
                <w:rFonts w:ascii="Times New Roman" w:hAnsi="Times New Roman" w:eastAsia="等线" w:cs="Times New Roman"/>
                <w:color w:val="000000"/>
                <w:kern w:val="0"/>
                <w:szCs w:val="21"/>
              </w:rPr>
            </w:pPr>
          </w:p>
        </w:tc>
      </w:tr>
      <w:tr w14:paraId="6888D8B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restart"/>
            <w:noWrap/>
            <w:vAlign w:val="center"/>
          </w:tcPr>
          <w:p w14:paraId="34F0D1A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DMC</w:t>
            </w:r>
          </w:p>
        </w:tc>
        <w:tc>
          <w:tcPr>
            <w:tcW w:w="625" w:type="pct"/>
            <w:noWrap/>
            <w:vAlign w:val="center"/>
          </w:tcPr>
          <w:p w14:paraId="15A8CE7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H51</w:t>
            </w:r>
          </w:p>
        </w:tc>
        <w:tc>
          <w:tcPr>
            <w:tcW w:w="625" w:type="pct"/>
            <w:noWrap/>
            <w:vAlign w:val="center"/>
          </w:tcPr>
          <w:p w14:paraId="08046A7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2C743D0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restart"/>
            <w:noWrap/>
            <w:vAlign w:val="center"/>
          </w:tcPr>
          <w:p w14:paraId="0256166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7.468 </w:t>
            </w:r>
          </w:p>
        </w:tc>
        <w:tc>
          <w:tcPr>
            <w:tcW w:w="626" w:type="pct"/>
            <w:vMerge w:val="restart"/>
            <w:noWrap/>
            <w:vAlign w:val="center"/>
          </w:tcPr>
          <w:p w14:paraId="3BA7281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0.112 </w:t>
            </w:r>
          </w:p>
        </w:tc>
        <w:tc>
          <w:tcPr>
            <w:tcW w:w="625" w:type="pct"/>
            <w:vMerge w:val="restart"/>
            <w:noWrap/>
            <w:vAlign w:val="center"/>
          </w:tcPr>
          <w:p w14:paraId="16BADC8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1.0792 </w:t>
            </w:r>
          </w:p>
        </w:tc>
        <w:tc>
          <w:tcPr>
            <w:tcW w:w="624" w:type="pct"/>
            <w:vMerge w:val="restart"/>
            <w:noWrap/>
            <w:vAlign w:val="center"/>
          </w:tcPr>
          <w:p w14:paraId="19ABA29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0.3554 </w:t>
            </w:r>
          </w:p>
        </w:tc>
      </w:tr>
      <w:tr w14:paraId="3FF1C8F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64EDB85E">
            <w:pPr>
              <w:widowControl/>
              <w:jc w:val="left"/>
              <w:rPr>
                <w:rFonts w:ascii="Times New Roman" w:hAnsi="Times New Roman" w:eastAsia="等线" w:cs="Times New Roman"/>
                <w:color w:val="000000"/>
                <w:kern w:val="0"/>
                <w:szCs w:val="21"/>
              </w:rPr>
            </w:pPr>
          </w:p>
        </w:tc>
        <w:tc>
          <w:tcPr>
            <w:tcW w:w="625" w:type="pct"/>
            <w:noWrap/>
            <w:vAlign w:val="center"/>
          </w:tcPr>
          <w:p w14:paraId="0EC6E59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C51</w:t>
            </w:r>
          </w:p>
        </w:tc>
        <w:tc>
          <w:tcPr>
            <w:tcW w:w="625" w:type="pct"/>
            <w:noWrap/>
            <w:vAlign w:val="center"/>
          </w:tcPr>
          <w:p w14:paraId="7F62737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1.791 </w:t>
            </w:r>
          </w:p>
        </w:tc>
        <w:tc>
          <w:tcPr>
            <w:tcW w:w="625" w:type="pct"/>
            <w:noWrap/>
            <w:vAlign w:val="center"/>
          </w:tcPr>
          <w:p w14:paraId="7EF5BE5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0.030 </w:t>
            </w:r>
          </w:p>
        </w:tc>
        <w:tc>
          <w:tcPr>
            <w:tcW w:w="625" w:type="pct"/>
            <w:vMerge w:val="continue"/>
            <w:vAlign w:val="center"/>
          </w:tcPr>
          <w:p w14:paraId="34938BA3">
            <w:pPr>
              <w:widowControl/>
              <w:jc w:val="left"/>
              <w:rPr>
                <w:rFonts w:ascii="Times New Roman" w:hAnsi="Times New Roman" w:eastAsia="等线" w:cs="Times New Roman"/>
                <w:color w:val="000000"/>
                <w:kern w:val="0"/>
                <w:szCs w:val="21"/>
              </w:rPr>
            </w:pPr>
          </w:p>
        </w:tc>
        <w:tc>
          <w:tcPr>
            <w:tcW w:w="626" w:type="pct"/>
            <w:vMerge w:val="continue"/>
            <w:vAlign w:val="center"/>
          </w:tcPr>
          <w:p w14:paraId="1B60AE14">
            <w:pPr>
              <w:widowControl/>
              <w:jc w:val="left"/>
              <w:rPr>
                <w:rFonts w:ascii="Times New Roman" w:hAnsi="Times New Roman" w:eastAsia="等线" w:cs="Times New Roman"/>
                <w:color w:val="000000"/>
                <w:kern w:val="0"/>
                <w:szCs w:val="21"/>
              </w:rPr>
            </w:pPr>
          </w:p>
        </w:tc>
        <w:tc>
          <w:tcPr>
            <w:tcW w:w="625" w:type="pct"/>
            <w:vMerge w:val="continue"/>
            <w:vAlign w:val="center"/>
          </w:tcPr>
          <w:p w14:paraId="67030224">
            <w:pPr>
              <w:widowControl/>
              <w:jc w:val="left"/>
              <w:rPr>
                <w:rFonts w:ascii="Times New Roman" w:hAnsi="Times New Roman" w:eastAsia="等线" w:cs="Times New Roman"/>
                <w:color w:val="000000"/>
                <w:kern w:val="0"/>
                <w:szCs w:val="21"/>
              </w:rPr>
            </w:pPr>
          </w:p>
        </w:tc>
        <w:tc>
          <w:tcPr>
            <w:tcW w:w="624" w:type="pct"/>
            <w:vMerge w:val="continue"/>
            <w:vAlign w:val="center"/>
          </w:tcPr>
          <w:p w14:paraId="797606DA">
            <w:pPr>
              <w:widowControl/>
              <w:jc w:val="left"/>
              <w:rPr>
                <w:rFonts w:ascii="Times New Roman" w:hAnsi="Times New Roman" w:eastAsia="等线" w:cs="Times New Roman"/>
                <w:color w:val="000000"/>
                <w:kern w:val="0"/>
                <w:szCs w:val="21"/>
              </w:rPr>
            </w:pPr>
          </w:p>
        </w:tc>
      </w:tr>
      <w:tr w14:paraId="358A624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39B86C0D">
            <w:pPr>
              <w:widowControl/>
              <w:jc w:val="left"/>
              <w:rPr>
                <w:rFonts w:ascii="Times New Roman" w:hAnsi="Times New Roman" w:eastAsia="等线" w:cs="Times New Roman"/>
                <w:color w:val="000000"/>
                <w:kern w:val="0"/>
                <w:szCs w:val="21"/>
              </w:rPr>
            </w:pPr>
          </w:p>
        </w:tc>
        <w:tc>
          <w:tcPr>
            <w:tcW w:w="625" w:type="pct"/>
            <w:noWrap/>
            <w:vAlign w:val="center"/>
          </w:tcPr>
          <w:p w14:paraId="7315F5E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O51</w:t>
            </w:r>
          </w:p>
        </w:tc>
        <w:tc>
          <w:tcPr>
            <w:tcW w:w="625" w:type="pct"/>
            <w:noWrap/>
            <w:vAlign w:val="center"/>
          </w:tcPr>
          <w:p w14:paraId="2C878E3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0.601 </w:t>
            </w:r>
          </w:p>
        </w:tc>
        <w:tc>
          <w:tcPr>
            <w:tcW w:w="625" w:type="pct"/>
            <w:noWrap/>
            <w:vAlign w:val="center"/>
          </w:tcPr>
          <w:p w14:paraId="6766973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0.011 </w:t>
            </w:r>
          </w:p>
        </w:tc>
        <w:tc>
          <w:tcPr>
            <w:tcW w:w="625" w:type="pct"/>
            <w:vMerge w:val="continue"/>
            <w:vAlign w:val="center"/>
          </w:tcPr>
          <w:p w14:paraId="65C4C3CB">
            <w:pPr>
              <w:widowControl/>
              <w:jc w:val="left"/>
              <w:rPr>
                <w:rFonts w:ascii="Times New Roman" w:hAnsi="Times New Roman" w:eastAsia="等线" w:cs="Times New Roman"/>
                <w:color w:val="000000"/>
                <w:kern w:val="0"/>
                <w:szCs w:val="21"/>
              </w:rPr>
            </w:pPr>
          </w:p>
        </w:tc>
        <w:tc>
          <w:tcPr>
            <w:tcW w:w="626" w:type="pct"/>
            <w:vMerge w:val="continue"/>
            <w:vAlign w:val="center"/>
          </w:tcPr>
          <w:p w14:paraId="48982B45">
            <w:pPr>
              <w:widowControl/>
              <w:jc w:val="left"/>
              <w:rPr>
                <w:rFonts w:ascii="Times New Roman" w:hAnsi="Times New Roman" w:eastAsia="等线" w:cs="Times New Roman"/>
                <w:color w:val="000000"/>
                <w:kern w:val="0"/>
                <w:szCs w:val="21"/>
              </w:rPr>
            </w:pPr>
          </w:p>
        </w:tc>
        <w:tc>
          <w:tcPr>
            <w:tcW w:w="625" w:type="pct"/>
            <w:vMerge w:val="continue"/>
            <w:vAlign w:val="center"/>
          </w:tcPr>
          <w:p w14:paraId="10C0DED2">
            <w:pPr>
              <w:widowControl/>
              <w:jc w:val="left"/>
              <w:rPr>
                <w:rFonts w:ascii="Times New Roman" w:hAnsi="Times New Roman" w:eastAsia="等线" w:cs="Times New Roman"/>
                <w:color w:val="000000"/>
                <w:kern w:val="0"/>
                <w:szCs w:val="21"/>
              </w:rPr>
            </w:pPr>
          </w:p>
        </w:tc>
        <w:tc>
          <w:tcPr>
            <w:tcW w:w="624" w:type="pct"/>
            <w:vMerge w:val="continue"/>
            <w:vAlign w:val="center"/>
          </w:tcPr>
          <w:p w14:paraId="5230CF37">
            <w:pPr>
              <w:widowControl/>
              <w:jc w:val="left"/>
              <w:rPr>
                <w:rFonts w:ascii="Times New Roman" w:hAnsi="Times New Roman" w:eastAsia="等线" w:cs="Times New Roman"/>
                <w:color w:val="000000"/>
                <w:kern w:val="0"/>
                <w:szCs w:val="21"/>
              </w:rPr>
            </w:pPr>
          </w:p>
        </w:tc>
      </w:tr>
      <w:tr w14:paraId="5D576D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18E8E37C">
            <w:pPr>
              <w:widowControl/>
              <w:jc w:val="left"/>
              <w:rPr>
                <w:rFonts w:ascii="Times New Roman" w:hAnsi="Times New Roman" w:eastAsia="等线" w:cs="Times New Roman"/>
                <w:color w:val="000000"/>
                <w:kern w:val="0"/>
                <w:szCs w:val="21"/>
              </w:rPr>
            </w:pPr>
          </w:p>
        </w:tc>
        <w:tc>
          <w:tcPr>
            <w:tcW w:w="625" w:type="pct"/>
            <w:noWrap/>
            <w:vAlign w:val="center"/>
          </w:tcPr>
          <w:p w14:paraId="396BCD8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C52</w:t>
            </w:r>
          </w:p>
        </w:tc>
        <w:tc>
          <w:tcPr>
            <w:tcW w:w="625" w:type="pct"/>
            <w:noWrap/>
            <w:vAlign w:val="center"/>
          </w:tcPr>
          <w:p w14:paraId="77B8D12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1.230 </w:t>
            </w:r>
          </w:p>
        </w:tc>
        <w:tc>
          <w:tcPr>
            <w:tcW w:w="625" w:type="pct"/>
            <w:noWrap/>
            <w:vAlign w:val="center"/>
          </w:tcPr>
          <w:p w14:paraId="083D34A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0.022 </w:t>
            </w:r>
          </w:p>
        </w:tc>
        <w:tc>
          <w:tcPr>
            <w:tcW w:w="625" w:type="pct"/>
            <w:vMerge w:val="continue"/>
            <w:vAlign w:val="center"/>
          </w:tcPr>
          <w:p w14:paraId="2F193F23">
            <w:pPr>
              <w:widowControl/>
              <w:jc w:val="left"/>
              <w:rPr>
                <w:rFonts w:ascii="Times New Roman" w:hAnsi="Times New Roman" w:eastAsia="等线" w:cs="Times New Roman"/>
                <w:color w:val="000000"/>
                <w:kern w:val="0"/>
                <w:szCs w:val="21"/>
              </w:rPr>
            </w:pPr>
          </w:p>
        </w:tc>
        <w:tc>
          <w:tcPr>
            <w:tcW w:w="626" w:type="pct"/>
            <w:vMerge w:val="continue"/>
            <w:vAlign w:val="center"/>
          </w:tcPr>
          <w:p w14:paraId="7697E718">
            <w:pPr>
              <w:widowControl/>
              <w:jc w:val="left"/>
              <w:rPr>
                <w:rFonts w:ascii="Times New Roman" w:hAnsi="Times New Roman" w:eastAsia="等线" w:cs="Times New Roman"/>
                <w:color w:val="000000"/>
                <w:kern w:val="0"/>
                <w:szCs w:val="21"/>
              </w:rPr>
            </w:pPr>
          </w:p>
        </w:tc>
        <w:tc>
          <w:tcPr>
            <w:tcW w:w="625" w:type="pct"/>
            <w:vMerge w:val="continue"/>
            <w:vAlign w:val="center"/>
          </w:tcPr>
          <w:p w14:paraId="3C898B90">
            <w:pPr>
              <w:widowControl/>
              <w:jc w:val="left"/>
              <w:rPr>
                <w:rFonts w:ascii="Times New Roman" w:hAnsi="Times New Roman" w:eastAsia="等线" w:cs="Times New Roman"/>
                <w:color w:val="000000"/>
                <w:kern w:val="0"/>
                <w:szCs w:val="21"/>
              </w:rPr>
            </w:pPr>
          </w:p>
        </w:tc>
        <w:tc>
          <w:tcPr>
            <w:tcW w:w="624" w:type="pct"/>
            <w:vMerge w:val="continue"/>
            <w:vAlign w:val="center"/>
          </w:tcPr>
          <w:p w14:paraId="03BBF94B">
            <w:pPr>
              <w:widowControl/>
              <w:jc w:val="left"/>
              <w:rPr>
                <w:rFonts w:ascii="Times New Roman" w:hAnsi="Times New Roman" w:eastAsia="等线" w:cs="Times New Roman"/>
                <w:color w:val="000000"/>
                <w:kern w:val="0"/>
                <w:szCs w:val="21"/>
              </w:rPr>
            </w:pPr>
          </w:p>
        </w:tc>
      </w:tr>
      <w:tr w14:paraId="3BA6481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625" w:type="pct"/>
            <w:vMerge w:val="continue"/>
            <w:vAlign w:val="center"/>
          </w:tcPr>
          <w:p w14:paraId="7E1F8DC7">
            <w:pPr>
              <w:widowControl/>
              <w:jc w:val="left"/>
              <w:rPr>
                <w:rFonts w:ascii="Times New Roman" w:hAnsi="Times New Roman" w:eastAsia="等线" w:cs="Times New Roman"/>
                <w:color w:val="000000"/>
                <w:kern w:val="0"/>
                <w:szCs w:val="21"/>
              </w:rPr>
            </w:pPr>
          </w:p>
        </w:tc>
        <w:tc>
          <w:tcPr>
            <w:tcW w:w="625" w:type="pct"/>
            <w:noWrap/>
            <w:vAlign w:val="center"/>
          </w:tcPr>
          <w:p w14:paraId="1B8F163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O52</w:t>
            </w:r>
          </w:p>
        </w:tc>
        <w:tc>
          <w:tcPr>
            <w:tcW w:w="625" w:type="pct"/>
            <w:noWrap/>
            <w:vAlign w:val="center"/>
          </w:tcPr>
          <w:p w14:paraId="5B53E67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0.650 </w:t>
            </w:r>
          </w:p>
        </w:tc>
        <w:tc>
          <w:tcPr>
            <w:tcW w:w="625" w:type="pct"/>
            <w:noWrap/>
            <w:vAlign w:val="center"/>
          </w:tcPr>
          <w:p w14:paraId="3CBD3CB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0.012 </w:t>
            </w:r>
          </w:p>
        </w:tc>
        <w:tc>
          <w:tcPr>
            <w:tcW w:w="625" w:type="pct"/>
            <w:vMerge w:val="continue"/>
            <w:vAlign w:val="center"/>
          </w:tcPr>
          <w:p w14:paraId="42CE4DDC">
            <w:pPr>
              <w:widowControl/>
              <w:jc w:val="left"/>
              <w:rPr>
                <w:rFonts w:ascii="Times New Roman" w:hAnsi="Times New Roman" w:eastAsia="等线" w:cs="Times New Roman"/>
                <w:color w:val="000000"/>
                <w:kern w:val="0"/>
                <w:szCs w:val="21"/>
              </w:rPr>
            </w:pPr>
          </w:p>
        </w:tc>
        <w:tc>
          <w:tcPr>
            <w:tcW w:w="626" w:type="pct"/>
            <w:vMerge w:val="continue"/>
            <w:vAlign w:val="center"/>
          </w:tcPr>
          <w:p w14:paraId="7F8DB88D">
            <w:pPr>
              <w:widowControl/>
              <w:jc w:val="left"/>
              <w:rPr>
                <w:rFonts w:ascii="Times New Roman" w:hAnsi="Times New Roman" w:eastAsia="等线" w:cs="Times New Roman"/>
                <w:color w:val="000000"/>
                <w:kern w:val="0"/>
                <w:szCs w:val="21"/>
              </w:rPr>
            </w:pPr>
          </w:p>
        </w:tc>
        <w:tc>
          <w:tcPr>
            <w:tcW w:w="625" w:type="pct"/>
            <w:vMerge w:val="continue"/>
            <w:vAlign w:val="center"/>
          </w:tcPr>
          <w:p w14:paraId="7AEDEBEF">
            <w:pPr>
              <w:widowControl/>
              <w:jc w:val="left"/>
              <w:rPr>
                <w:rFonts w:ascii="Times New Roman" w:hAnsi="Times New Roman" w:eastAsia="等线" w:cs="Times New Roman"/>
                <w:color w:val="000000"/>
                <w:kern w:val="0"/>
                <w:szCs w:val="21"/>
              </w:rPr>
            </w:pPr>
          </w:p>
        </w:tc>
        <w:tc>
          <w:tcPr>
            <w:tcW w:w="624" w:type="pct"/>
            <w:vMerge w:val="continue"/>
            <w:vAlign w:val="center"/>
          </w:tcPr>
          <w:p w14:paraId="148133A0">
            <w:pPr>
              <w:widowControl/>
              <w:jc w:val="left"/>
              <w:rPr>
                <w:rFonts w:ascii="Times New Roman" w:hAnsi="Times New Roman" w:eastAsia="等线" w:cs="Times New Roman"/>
                <w:color w:val="000000"/>
                <w:kern w:val="0"/>
                <w:szCs w:val="21"/>
              </w:rPr>
            </w:pPr>
          </w:p>
        </w:tc>
      </w:tr>
    </w:tbl>
    <w:p w14:paraId="752827FD">
      <w:pPr>
        <w:widowControl/>
        <w:adjustRightInd w:val="0"/>
        <w:snapToGrid w:val="0"/>
        <w:spacing w:line="360" w:lineRule="auto"/>
        <w:rPr>
          <w:rFonts w:ascii="Times New Roman" w:hAnsi="Times New Roman" w:cs="Times New Roman"/>
          <w:sz w:val="24"/>
          <w:szCs w:val="24"/>
        </w:rPr>
      </w:pP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08"/>
        <w:gridCol w:w="1108"/>
        <w:gridCol w:w="1108"/>
        <w:gridCol w:w="1108"/>
        <w:gridCol w:w="1108"/>
        <w:gridCol w:w="1110"/>
        <w:gridCol w:w="1108"/>
        <w:gridCol w:w="1106"/>
      </w:tblGrid>
      <w:tr w14:paraId="425A7B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restart"/>
            <w:vAlign w:val="center"/>
          </w:tcPr>
          <w:p w14:paraId="2093175D">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Species</w:t>
            </w:r>
          </w:p>
        </w:tc>
        <w:tc>
          <w:tcPr>
            <w:tcW w:w="625" w:type="pct"/>
            <w:vMerge w:val="restart"/>
            <w:vAlign w:val="center"/>
          </w:tcPr>
          <w:p w14:paraId="45F40767">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Atom</w:t>
            </w:r>
          </w:p>
        </w:tc>
        <w:tc>
          <w:tcPr>
            <w:tcW w:w="1249" w:type="pct"/>
            <w:gridSpan w:val="2"/>
            <w:vAlign w:val="center"/>
          </w:tcPr>
          <w:p w14:paraId="3DCCD23C">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α</w:t>
            </w:r>
            <w:r>
              <w:rPr>
                <w:rFonts w:ascii="Times New Roman" w:hAnsi="Times New Roman" w:eastAsia="等线" w:cs="Times New Roman"/>
                <w:b/>
                <w:bCs/>
                <w:color w:val="000000"/>
                <w:kern w:val="0"/>
                <w:szCs w:val="21"/>
              </w:rPr>
              <w:t xml:space="preserve"> (Å</w:t>
            </w:r>
            <w:r>
              <w:rPr>
                <w:rFonts w:ascii="Times New Roman" w:hAnsi="Times New Roman" w:eastAsia="等线" w:cs="Times New Roman"/>
                <w:b/>
                <w:bCs/>
                <w:color w:val="000000"/>
                <w:kern w:val="0"/>
                <w:szCs w:val="21"/>
                <w:vertAlign w:val="superscript"/>
              </w:rPr>
              <w:t>3</w:t>
            </w:r>
            <w:r>
              <w:rPr>
                <w:rFonts w:ascii="Times New Roman" w:hAnsi="Times New Roman" w:eastAsia="等线" w:cs="Times New Roman"/>
                <w:b/>
                <w:bCs/>
                <w:color w:val="000000"/>
                <w:kern w:val="0"/>
                <w:szCs w:val="21"/>
              </w:rPr>
              <w:t>)</w:t>
            </w:r>
          </w:p>
        </w:tc>
        <w:tc>
          <w:tcPr>
            <w:tcW w:w="1251" w:type="pct"/>
            <w:gridSpan w:val="2"/>
            <w:vAlign w:val="center"/>
          </w:tcPr>
          <w:p w14:paraId="75AA1D23">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A</w:t>
            </w:r>
            <w:r>
              <w:rPr>
                <w:rFonts w:ascii="Times New Roman" w:hAnsi="Times New Roman" w:eastAsia="等线" w:cs="Times New Roman"/>
                <w:b/>
                <w:bCs/>
                <w:color w:val="000000"/>
                <w:kern w:val="0"/>
                <w:szCs w:val="21"/>
              </w:rPr>
              <w:t xml:space="preserve"> (Å</w:t>
            </w:r>
            <w:r>
              <w:rPr>
                <w:rFonts w:ascii="Times New Roman" w:hAnsi="Times New Roman" w:eastAsia="等线" w:cs="Times New Roman"/>
                <w:b/>
                <w:bCs/>
                <w:color w:val="000000"/>
                <w:kern w:val="0"/>
                <w:szCs w:val="21"/>
                <w:vertAlign w:val="superscript"/>
              </w:rPr>
              <w:t>3</w:t>
            </w:r>
            <w:r>
              <w:rPr>
                <w:rFonts w:ascii="Times New Roman" w:hAnsi="Times New Roman" w:eastAsia="等线" w:cs="Times New Roman"/>
                <w:b/>
                <w:bCs/>
                <w:color w:val="000000"/>
                <w:kern w:val="0"/>
                <w:szCs w:val="21"/>
              </w:rPr>
              <w:t>)</w:t>
            </w:r>
          </w:p>
        </w:tc>
        <w:tc>
          <w:tcPr>
            <w:tcW w:w="1251" w:type="pct"/>
            <w:gridSpan w:val="2"/>
            <w:vAlign w:val="center"/>
          </w:tcPr>
          <w:p w14:paraId="1A2CC3A6">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μ</w:t>
            </w:r>
            <w:r>
              <w:rPr>
                <w:rFonts w:ascii="Times New Roman" w:hAnsi="Times New Roman" w:eastAsia="等线" w:cs="Times New Roman"/>
                <w:b/>
                <w:bCs/>
                <w:color w:val="000000"/>
                <w:kern w:val="0"/>
                <w:szCs w:val="21"/>
              </w:rPr>
              <w:t xml:space="preserve"> (Debye)</w:t>
            </w:r>
          </w:p>
        </w:tc>
      </w:tr>
      <w:tr w14:paraId="5F2EC3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24432F5C">
            <w:pPr>
              <w:widowControl/>
              <w:jc w:val="left"/>
              <w:rPr>
                <w:rFonts w:ascii="Times New Roman" w:hAnsi="Times New Roman" w:eastAsia="等线" w:cs="Times New Roman"/>
                <w:b/>
                <w:bCs/>
                <w:color w:val="000000"/>
                <w:kern w:val="0"/>
                <w:szCs w:val="21"/>
              </w:rPr>
            </w:pPr>
          </w:p>
        </w:tc>
        <w:tc>
          <w:tcPr>
            <w:tcW w:w="625" w:type="pct"/>
            <w:vMerge w:val="continue"/>
            <w:vAlign w:val="center"/>
          </w:tcPr>
          <w:p w14:paraId="407CB36A">
            <w:pPr>
              <w:widowControl/>
              <w:jc w:val="left"/>
              <w:rPr>
                <w:rFonts w:ascii="Times New Roman" w:hAnsi="Times New Roman" w:eastAsia="等线" w:cs="Times New Roman"/>
                <w:b/>
                <w:bCs/>
                <w:color w:val="000000"/>
                <w:kern w:val="0"/>
                <w:szCs w:val="21"/>
              </w:rPr>
            </w:pPr>
          </w:p>
        </w:tc>
        <w:tc>
          <w:tcPr>
            <w:tcW w:w="625" w:type="pct"/>
            <w:vAlign w:val="center"/>
          </w:tcPr>
          <w:p w14:paraId="0AFBBEE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25" w:type="pct"/>
            <w:vAlign w:val="center"/>
          </w:tcPr>
          <w:p w14:paraId="76D866A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c>
          <w:tcPr>
            <w:tcW w:w="625" w:type="pct"/>
            <w:vAlign w:val="center"/>
          </w:tcPr>
          <w:p w14:paraId="66E63B3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25" w:type="pct"/>
            <w:vAlign w:val="center"/>
          </w:tcPr>
          <w:p w14:paraId="297A188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c>
          <w:tcPr>
            <w:tcW w:w="625" w:type="pct"/>
            <w:vAlign w:val="center"/>
          </w:tcPr>
          <w:p w14:paraId="4C0BB65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25" w:type="pct"/>
            <w:vAlign w:val="center"/>
          </w:tcPr>
          <w:p w14:paraId="785E92B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r>
      <w:tr w14:paraId="106EB7C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restart"/>
            <w:noWrap/>
            <w:vAlign w:val="center"/>
          </w:tcPr>
          <w:p w14:paraId="20047EF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PSF</w:t>
            </w:r>
          </w:p>
        </w:tc>
        <w:tc>
          <w:tcPr>
            <w:tcW w:w="625" w:type="pct"/>
            <w:noWrap/>
            <w:vAlign w:val="center"/>
          </w:tcPr>
          <w:p w14:paraId="6788472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H61</w:t>
            </w:r>
          </w:p>
        </w:tc>
        <w:tc>
          <w:tcPr>
            <w:tcW w:w="625" w:type="pct"/>
            <w:noWrap/>
            <w:vAlign w:val="center"/>
          </w:tcPr>
          <w:p w14:paraId="721DEF6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0175BBD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restart"/>
            <w:noWrap/>
            <w:vAlign w:val="center"/>
          </w:tcPr>
          <w:p w14:paraId="1CB3681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11.741 </w:t>
            </w:r>
          </w:p>
        </w:tc>
        <w:tc>
          <w:tcPr>
            <w:tcW w:w="625" w:type="pct"/>
            <w:vMerge w:val="restart"/>
            <w:noWrap/>
            <w:vAlign w:val="center"/>
          </w:tcPr>
          <w:p w14:paraId="29AD1D6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0.170 </w:t>
            </w:r>
          </w:p>
        </w:tc>
        <w:tc>
          <w:tcPr>
            <w:tcW w:w="625" w:type="pct"/>
            <w:vMerge w:val="restart"/>
            <w:noWrap/>
            <w:vAlign w:val="center"/>
          </w:tcPr>
          <w:p w14:paraId="714E2F6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5.4558 </w:t>
            </w:r>
          </w:p>
        </w:tc>
        <w:tc>
          <w:tcPr>
            <w:tcW w:w="625" w:type="pct"/>
            <w:vMerge w:val="restart"/>
            <w:noWrap/>
            <w:vAlign w:val="center"/>
          </w:tcPr>
          <w:p w14:paraId="5F7E6ED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0.2403 </w:t>
            </w:r>
          </w:p>
        </w:tc>
      </w:tr>
      <w:tr w14:paraId="7ECEEE9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028CEAF8">
            <w:pPr>
              <w:widowControl/>
              <w:jc w:val="left"/>
              <w:rPr>
                <w:rFonts w:ascii="Times New Roman" w:hAnsi="Times New Roman" w:eastAsia="等线" w:cs="Times New Roman"/>
                <w:color w:val="000000"/>
                <w:kern w:val="0"/>
                <w:szCs w:val="21"/>
              </w:rPr>
            </w:pPr>
          </w:p>
        </w:tc>
        <w:tc>
          <w:tcPr>
            <w:tcW w:w="625" w:type="pct"/>
            <w:noWrap/>
            <w:vAlign w:val="center"/>
          </w:tcPr>
          <w:p w14:paraId="731EDCD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C61</w:t>
            </w:r>
          </w:p>
        </w:tc>
        <w:tc>
          <w:tcPr>
            <w:tcW w:w="625" w:type="pct"/>
            <w:noWrap/>
            <w:vAlign w:val="center"/>
          </w:tcPr>
          <w:p w14:paraId="020C3A6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1.557 </w:t>
            </w:r>
          </w:p>
        </w:tc>
        <w:tc>
          <w:tcPr>
            <w:tcW w:w="625" w:type="pct"/>
            <w:noWrap/>
            <w:vAlign w:val="center"/>
          </w:tcPr>
          <w:p w14:paraId="2A28138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0.026 </w:t>
            </w:r>
          </w:p>
        </w:tc>
        <w:tc>
          <w:tcPr>
            <w:tcW w:w="625" w:type="pct"/>
            <w:vMerge w:val="continue"/>
            <w:vAlign w:val="center"/>
          </w:tcPr>
          <w:p w14:paraId="5E81BA52">
            <w:pPr>
              <w:widowControl/>
              <w:jc w:val="left"/>
              <w:rPr>
                <w:rFonts w:ascii="Times New Roman" w:hAnsi="Times New Roman" w:eastAsia="等线" w:cs="Times New Roman"/>
                <w:color w:val="000000"/>
                <w:kern w:val="0"/>
                <w:szCs w:val="21"/>
              </w:rPr>
            </w:pPr>
          </w:p>
        </w:tc>
        <w:tc>
          <w:tcPr>
            <w:tcW w:w="625" w:type="pct"/>
            <w:vMerge w:val="continue"/>
            <w:vAlign w:val="center"/>
          </w:tcPr>
          <w:p w14:paraId="31D5C6F0">
            <w:pPr>
              <w:widowControl/>
              <w:jc w:val="left"/>
              <w:rPr>
                <w:rFonts w:ascii="Times New Roman" w:hAnsi="Times New Roman" w:eastAsia="等线" w:cs="Times New Roman"/>
                <w:color w:val="000000"/>
                <w:kern w:val="0"/>
                <w:szCs w:val="21"/>
              </w:rPr>
            </w:pPr>
          </w:p>
        </w:tc>
        <w:tc>
          <w:tcPr>
            <w:tcW w:w="625" w:type="pct"/>
            <w:vMerge w:val="continue"/>
            <w:vAlign w:val="center"/>
          </w:tcPr>
          <w:p w14:paraId="713DB548">
            <w:pPr>
              <w:widowControl/>
              <w:jc w:val="left"/>
              <w:rPr>
                <w:rFonts w:ascii="Times New Roman" w:hAnsi="Times New Roman" w:eastAsia="等线" w:cs="Times New Roman"/>
                <w:color w:val="000000"/>
                <w:kern w:val="0"/>
                <w:szCs w:val="21"/>
              </w:rPr>
            </w:pPr>
          </w:p>
        </w:tc>
        <w:tc>
          <w:tcPr>
            <w:tcW w:w="625" w:type="pct"/>
            <w:vMerge w:val="continue"/>
            <w:vAlign w:val="center"/>
          </w:tcPr>
          <w:p w14:paraId="67609206">
            <w:pPr>
              <w:widowControl/>
              <w:jc w:val="left"/>
              <w:rPr>
                <w:rFonts w:ascii="Times New Roman" w:hAnsi="Times New Roman" w:eastAsia="等线" w:cs="Times New Roman"/>
                <w:color w:val="000000"/>
                <w:kern w:val="0"/>
                <w:szCs w:val="21"/>
              </w:rPr>
            </w:pPr>
          </w:p>
        </w:tc>
      </w:tr>
      <w:tr w14:paraId="211E12F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63A3B460">
            <w:pPr>
              <w:widowControl/>
              <w:jc w:val="left"/>
              <w:rPr>
                <w:rFonts w:ascii="Times New Roman" w:hAnsi="Times New Roman" w:eastAsia="等线" w:cs="Times New Roman"/>
                <w:color w:val="000000"/>
                <w:kern w:val="0"/>
                <w:szCs w:val="21"/>
              </w:rPr>
            </w:pPr>
          </w:p>
        </w:tc>
        <w:tc>
          <w:tcPr>
            <w:tcW w:w="625" w:type="pct"/>
            <w:noWrap/>
            <w:vAlign w:val="center"/>
          </w:tcPr>
          <w:p w14:paraId="1A4BB69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N61</w:t>
            </w:r>
          </w:p>
        </w:tc>
        <w:tc>
          <w:tcPr>
            <w:tcW w:w="625" w:type="pct"/>
            <w:noWrap/>
            <w:vAlign w:val="center"/>
          </w:tcPr>
          <w:p w14:paraId="65A8B86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0.794 </w:t>
            </w:r>
          </w:p>
        </w:tc>
        <w:tc>
          <w:tcPr>
            <w:tcW w:w="625" w:type="pct"/>
            <w:noWrap/>
            <w:vAlign w:val="center"/>
          </w:tcPr>
          <w:p w14:paraId="14B69FA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0.012 </w:t>
            </w:r>
          </w:p>
        </w:tc>
        <w:tc>
          <w:tcPr>
            <w:tcW w:w="625" w:type="pct"/>
            <w:vMerge w:val="continue"/>
            <w:vAlign w:val="center"/>
          </w:tcPr>
          <w:p w14:paraId="3D16D262">
            <w:pPr>
              <w:widowControl/>
              <w:jc w:val="left"/>
              <w:rPr>
                <w:rFonts w:ascii="Times New Roman" w:hAnsi="Times New Roman" w:eastAsia="等线" w:cs="Times New Roman"/>
                <w:color w:val="000000"/>
                <w:kern w:val="0"/>
                <w:szCs w:val="21"/>
              </w:rPr>
            </w:pPr>
          </w:p>
        </w:tc>
        <w:tc>
          <w:tcPr>
            <w:tcW w:w="625" w:type="pct"/>
            <w:vMerge w:val="continue"/>
            <w:vAlign w:val="center"/>
          </w:tcPr>
          <w:p w14:paraId="2F91CCD9">
            <w:pPr>
              <w:widowControl/>
              <w:jc w:val="left"/>
              <w:rPr>
                <w:rFonts w:ascii="Times New Roman" w:hAnsi="Times New Roman" w:eastAsia="等线" w:cs="Times New Roman"/>
                <w:color w:val="000000"/>
                <w:kern w:val="0"/>
                <w:szCs w:val="21"/>
              </w:rPr>
            </w:pPr>
          </w:p>
        </w:tc>
        <w:tc>
          <w:tcPr>
            <w:tcW w:w="625" w:type="pct"/>
            <w:vMerge w:val="continue"/>
            <w:vAlign w:val="center"/>
          </w:tcPr>
          <w:p w14:paraId="076C731B">
            <w:pPr>
              <w:widowControl/>
              <w:jc w:val="left"/>
              <w:rPr>
                <w:rFonts w:ascii="Times New Roman" w:hAnsi="Times New Roman" w:eastAsia="等线" w:cs="Times New Roman"/>
                <w:color w:val="000000"/>
                <w:kern w:val="0"/>
                <w:szCs w:val="21"/>
              </w:rPr>
            </w:pPr>
          </w:p>
        </w:tc>
        <w:tc>
          <w:tcPr>
            <w:tcW w:w="625" w:type="pct"/>
            <w:vMerge w:val="continue"/>
            <w:vAlign w:val="center"/>
          </w:tcPr>
          <w:p w14:paraId="66889737">
            <w:pPr>
              <w:widowControl/>
              <w:jc w:val="left"/>
              <w:rPr>
                <w:rFonts w:ascii="Times New Roman" w:hAnsi="Times New Roman" w:eastAsia="等线" w:cs="Times New Roman"/>
                <w:color w:val="000000"/>
                <w:kern w:val="0"/>
                <w:szCs w:val="21"/>
              </w:rPr>
            </w:pPr>
          </w:p>
        </w:tc>
      </w:tr>
      <w:tr w14:paraId="7AA88E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19CA5C7C">
            <w:pPr>
              <w:widowControl/>
              <w:jc w:val="left"/>
              <w:rPr>
                <w:rFonts w:ascii="Times New Roman" w:hAnsi="Times New Roman" w:eastAsia="等线" w:cs="Times New Roman"/>
                <w:color w:val="000000"/>
                <w:kern w:val="0"/>
                <w:szCs w:val="21"/>
              </w:rPr>
            </w:pPr>
          </w:p>
        </w:tc>
        <w:tc>
          <w:tcPr>
            <w:tcW w:w="625" w:type="pct"/>
            <w:noWrap/>
            <w:vAlign w:val="center"/>
          </w:tcPr>
          <w:p w14:paraId="034AB0D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C62</w:t>
            </w:r>
          </w:p>
        </w:tc>
        <w:tc>
          <w:tcPr>
            <w:tcW w:w="625" w:type="pct"/>
            <w:noWrap/>
            <w:vAlign w:val="center"/>
          </w:tcPr>
          <w:p w14:paraId="636F70B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1.499 </w:t>
            </w:r>
          </w:p>
        </w:tc>
        <w:tc>
          <w:tcPr>
            <w:tcW w:w="625" w:type="pct"/>
            <w:noWrap/>
            <w:vAlign w:val="center"/>
          </w:tcPr>
          <w:p w14:paraId="4542F37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0.024 </w:t>
            </w:r>
          </w:p>
        </w:tc>
        <w:tc>
          <w:tcPr>
            <w:tcW w:w="625" w:type="pct"/>
            <w:vMerge w:val="continue"/>
            <w:vAlign w:val="center"/>
          </w:tcPr>
          <w:p w14:paraId="34822F49">
            <w:pPr>
              <w:widowControl/>
              <w:jc w:val="left"/>
              <w:rPr>
                <w:rFonts w:ascii="Times New Roman" w:hAnsi="Times New Roman" w:eastAsia="等线" w:cs="Times New Roman"/>
                <w:color w:val="000000"/>
                <w:kern w:val="0"/>
                <w:szCs w:val="21"/>
              </w:rPr>
            </w:pPr>
          </w:p>
        </w:tc>
        <w:tc>
          <w:tcPr>
            <w:tcW w:w="625" w:type="pct"/>
            <w:vMerge w:val="continue"/>
            <w:vAlign w:val="center"/>
          </w:tcPr>
          <w:p w14:paraId="015CD951">
            <w:pPr>
              <w:widowControl/>
              <w:jc w:val="left"/>
              <w:rPr>
                <w:rFonts w:ascii="Times New Roman" w:hAnsi="Times New Roman" w:eastAsia="等线" w:cs="Times New Roman"/>
                <w:color w:val="000000"/>
                <w:kern w:val="0"/>
                <w:szCs w:val="21"/>
              </w:rPr>
            </w:pPr>
          </w:p>
        </w:tc>
        <w:tc>
          <w:tcPr>
            <w:tcW w:w="625" w:type="pct"/>
            <w:vMerge w:val="continue"/>
            <w:vAlign w:val="center"/>
          </w:tcPr>
          <w:p w14:paraId="6209AB13">
            <w:pPr>
              <w:widowControl/>
              <w:jc w:val="left"/>
              <w:rPr>
                <w:rFonts w:ascii="Times New Roman" w:hAnsi="Times New Roman" w:eastAsia="等线" w:cs="Times New Roman"/>
                <w:color w:val="000000"/>
                <w:kern w:val="0"/>
                <w:szCs w:val="21"/>
              </w:rPr>
            </w:pPr>
          </w:p>
        </w:tc>
        <w:tc>
          <w:tcPr>
            <w:tcW w:w="625" w:type="pct"/>
            <w:vMerge w:val="continue"/>
            <w:vAlign w:val="center"/>
          </w:tcPr>
          <w:p w14:paraId="27F4F004">
            <w:pPr>
              <w:widowControl/>
              <w:jc w:val="left"/>
              <w:rPr>
                <w:rFonts w:ascii="Times New Roman" w:hAnsi="Times New Roman" w:eastAsia="等线" w:cs="Times New Roman"/>
                <w:color w:val="000000"/>
                <w:kern w:val="0"/>
                <w:szCs w:val="21"/>
              </w:rPr>
            </w:pPr>
          </w:p>
        </w:tc>
      </w:tr>
      <w:tr w14:paraId="5F79B0E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2F7F6919">
            <w:pPr>
              <w:widowControl/>
              <w:jc w:val="left"/>
              <w:rPr>
                <w:rFonts w:ascii="Times New Roman" w:hAnsi="Times New Roman" w:eastAsia="等线" w:cs="Times New Roman"/>
                <w:color w:val="000000"/>
                <w:kern w:val="0"/>
                <w:szCs w:val="21"/>
              </w:rPr>
            </w:pPr>
          </w:p>
        </w:tc>
        <w:tc>
          <w:tcPr>
            <w:tcW w:w="625" w:type="pct"/>
            <w:noWrap/>
            <w:vAlign w:val="center"/>
          </w:tcPr>
          <w:p w14:paraId="45EF9FA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S61</w:t>
            </w:r>
          </w:p>
        </w:tc>
        <w:tc>
          <w:tcPr>
            <w:tcW w:w="625" w:type="pct"/>
            <w:noWrap/>
            <w:vAlign w:val="center"/>
          </w:tcPr>
          <w:p w14:paraId="14CC8CA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2.107 </w:t>
            </w:r>
          </w:p>
        </w:tc>
        <w:tc>
          <w:tcPr>
            <w:tcW w:w="625" w:type="pct"/>
            <w:noWrap/>
            <w:vAlign w:val="center"/>
          </w:tcPr>
          <w:p w14:paraId="063CCB5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0.033 </w:t>
            </w:r>
          </w:p>
        </w:tc>
        <w:tc>
          <w:tcPr>
            <w:tcW w:w="625" w:type="pct"/>
            <w:vMerge w:val="continue"/>
            <w:vAlign w:val="center"/>
          </w:tcPr>
          <w:p w14:paraId="6551BF4A">
            <w:pPr>
              <w:widowControl/>
              <w:jc w:val="left"/>
              <w:rPr>
                <w:rFonts w:ascii="Times New Roman" w:hAnsi="Times New Roman" w:eastAsia="等线" w:cs="Times New Roman"/>
                <w:color w:val="000000"/>
                <w:kern w:val="0"/>
                <w:szCs w:val="21"/>
              </w:rPr>
            </w:pPr>
          </w:p>
        </w:tc>
        <w:tc>
          <w:tcPr>
            <w:tcW w:w="625" w:type="pct"/>
            <w:vMerge w:val="continue"/>
            <w:vAlign w:val="center"/>
          </w:tcPr>
          <w:p w14:paraId="0C246F4D">
            <w:pPr>
              <w:widowControl/>
              <w:jc w:val="left"/>
              <w:rPr>
                <w:rFonts w:ascii="Times New Roman" w:hAnsi="Times New Roman" w:eastAsia="等线" w:cs="Times New Roman"/>
                <w:color w:val="000000"/>
                <w:kern w:val="0"/>
                <w:szCs w:val="21"/>
              </w:rPr>
            </w:pPr>
          </w:p>
        </w:tc>
        <w:tc>
          <w:tcPr>
            <w:tcW w:w="625" w:type="pct"/>
            <w:vMerge w:val="continue"/>
            <w:vAlign w:val="center"/>
          </w:tcPr>
          <w:p w14:paraId="6CCE8249">
            <w:pPr>
              <w:widowControl/>
              <w:jc w:val="left"/>
              <w:rPr>
                <w:rFonts w:ascii="Times New Roman" w:hAnsi="Times New Roman" w:eastAsia="等线" w:cs="Times New Roman"/>
                <w:color w:val="000000"/>
                <w:kern w:val="0"/>
                <w:szCs w:val="21"/>
              </w:rPr>
            </w:pPr>
          </w:p>
        </w:tc>
        <w:tc>
          <w:tcPr>
            <w:tcW w:w="625" w:type="pct"/>
            <w:vMerge w:val="continue"/>
            <w:vAlign w:val="center"/>
          </w:tcPr>
          <w:p w14:paraId="496915E4">
            <w:pPr>
              <w:widowControl/>
              <w:jc w:val="left"/>
              <w:rPr>
                <w:rFonts w:ascii="Times New Roman" w:hAnsi="Times New Roman" w:eastAsia="等线" w:cs="Times New Roman"/>
                <w:color w:val="000000"/>
                <w:kern w:val="0"/>
                <w:szCs w:val="21"/>
              </w:rPr>
            </w:pPr>
          </w:p>
        </w:tc>
      </w:tr>
      <w:tr w14:paraId="7B4490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5A848F65">
            <w:pPr>
              <w:widowControl/>
              <w:jc w:val="left"/>
              <w:rPr>
                <w:rFonts w:ascii="Times New Roman" w:hAnsi="Times New Roman" w:eastAsia="等线" w:cs="Times New Roman"/>
                <w:color w:val="000000"/>
                <w:kern w:val="0"/>
                <w:szCs w:val="21"/>
              </w:rPr>
            </w:pPr>
          </w:p>
        </w:tc>
        <w:tc>
          <w:tcPr>
            <w:tcW w:w="625" w:type="pct"/>
            <w:noWrap/>
            <w:vAlign w:val="center"/>
          </w:tcPr>
          <w:p w14:paraId="2A7DEAB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H62</w:t>
            </w:r>
          </w:p>
        </w:tc>
        <w:tc>
          <w:tcPr>
            <w:tcW w:w="625" w:type="pct"/>
            <w:noWrap/>
            <w:vAlign w:val="center"/>
          </w:tcPr>
          <w:p w14:paraId="3BA30E5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796A8DA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07C91C48">
            <w:pPr>
              <w:widowControl/>
              <w:jc w:val="left"/>
              <w:rPr>
                <w:rFonts w:ascii="Times New Roman" w:hAnsi="Times New Roman" w:eastAsia="等线" w:cs="Times New Roman"/>
                <w:color w:val="000000"/>
                <w:kern w:val="0"/>
                <w:szCs w:val="21"/>
              </w:rPr>
            </w:pPr>
          </w:p>
        </w:tc>
        <w:tc>
          <w:tcPr>
            <w:tcW w:w="625" w:type="pct"/>
            <w:vMerge w:val="continue"/>
            <w:vAlign w:val="center"/>
          </w:tcPr>
          <w:p w14:paraId="494EBD1D">
            <w:pPr>
              <w:widowControl/>
              <w:jc w:val="left"/>
              <w:rPr>
                <w:rFonts w:ascii="Times New Roman" w:hAnsi="Times New Roman" w:eastAsia="等线" w:cs="Times New Roman"/>
                <w:color w:val="000000"/>
                <w:kern w:val="0"/>
                <w:szCs w:val="21"/>
              </w:rPr>
            </w:pPr>
          </w:p>
        </w:tc>
        <w:tc>
          <w:tcPr>
            <w:tcW w:w="625" w:type="pct"/>
            <w:vMerge w:val="continue"/>
            <w:vAlign w:val="center"/>
          </w:tcPr>
          <w:p w14:paraId="6CB9DBE5">
            <w:pPr>
              <w:widowControl/>
              <w:jc w:val="left"/>
              <w:rPr>
                <w:rFonts w:ascii="Times New Roman" w:hAnsi="Times New Roman" w:eastAsia="等线" w:cs="Times New Roman"/>
                <w:color w:val="000000"/>
                <w:kern w:val="0"/>
                <w:szCs w:val="21"/>
              </w:rPr>
            </w:pPr>
          </w:p>
        </w:tc>
        <w:tc>
          <w:tcPr>
            <w:tcW w:w="625" w:type="pct"/>
            <w:vMerge w:val="continue"/>
            <w:vAlign w:val="center"/>
          </w:tcPr>
          <w:p w14:paraId="3135E2A5">
            <w:pPr>
              <w:widowControl/>
              <w:jc w:val="left"/>
              <w:rPr>
                <w:rFonts w:ascii="Times New Roman" w:hAnsi="Times New Roman" w:eastAsia="等线" w:cs="Times New Roman"/>
                <w:color w:val="000000"/>
                <w:kern w:val="0"/>
                <w:szCs w:val="21"/>
              </w:rPr>
            </w:pPr>
          </w:p>
        </w:tc>
      </w:tr>
      <w:tr w14:paraId="613545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106A95C5">
            <w:pPr>
              <w:widowControl/>
              <w:jc w:val="left"/>
              <w:rPr>
                <w:rFonts w:ascii="Times New Roman" w:hAnsi="Times New Roman" w:eastAsia="等线" w:cs="Times New Roman"/>
                <w:color w:val="000000"/>
                <w:kern w:val="0"/>
                <w:szCs w:val="21"/>
              </w:rPr>
            </w:pPr>
          </w:p>
        </w:tc>
        <w:tc>
          <w:tcPr>
            <w:tcW w:w="625" w:type="pct"/>
            <w:noWrap/>
            <w:vAlign w:val="center"/>
          </w:tcPr>
          <w:p w14:paraId="6400558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O61</w:t>
            </w:r>
          </w:p>
        </w:tc>
        <w:tc>
          <w:tcPr>
            <w:tcW w:w="625" w:type="pct"/>
            <w:noWrap/>
            <w:vAlign w:val="center"/>
          </w:tcPr>
          <w:p w14:paraId="7BDEB16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0.618 </w:t>
            </w:r>
          </w:p>
        </w:tc>
        <w:tc>
          <w:tcPr>
            <w:tcW w:w="625" w:type="pct"/>
            <w:noWrap/>
            <w:vAlign w:val="center"/>
          </w:tcPr>
          <w:p w14:paraId="29498D1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0.010 </w:t>
            </w:r>
          </w:p>
        </w:tc>
        <w:tc>
          <w:tcPr>
            <w:tcW w:w="625" w:type="pct"/>
            <w:vMerge w:val="continue"/>
            <w:vAlign w:val="center"/>
          </w:tcPr>
          <w:p w14:paraId="05B5C9BA">
            <w:pPr>
              <w:widowControl/>
              <w:jc w:val="left"/>
              <w:rPr>
                <w:rFonts w:ascii="Times New Roman" w:hAnsi="Times New Roman" w:eastAsia="等线" w:cs="Times New Roman"/>
                <w:color w:val="000000"/>
                <w:kern w:val="0"/>
                <w:szCs w:val="21"/>
              </w:rPr>
            </w:pPr>
          </w:p>
        </w:tc>
        <w:tc>
          <w:tcPr>
            <w:tcW w:w="625" w:type="pct"/>
            <w:vMerge w:val="continue"/>
            <w:vAlign w:val="center"/>
          </w:tcPr>
          <w:p w14:paraId="2A08A469">
            <w:pPr>
              <w:widowControl/>
              <w:jc w:val="left"/>
              <w:rPr>
                <w:rFonts w:ascii="Times New Roman" w:hAnsi="Times New Roman" w:eastAsia="等线" w:cs="Times New Roman"/>
                <w:color w:val="000000"/>
                <w:kern w:val="0"/>
                <w:szCs w:val="21"/>
              </w:rPr>
            </w:pPr>
          </w:p>
        </w:tc>
        <w:tc>
          <w:tcPr>
            <w:tcW w:w="625" w:type="pct"/>
            <w:vMerge w:val="continue"/>
            <w:vAlign w:val="center"/>
          </w:tcPr>
          <w:p w14:paraId="289820B2">
            <w:pPr>
              <w:widowControl/>
              <w:jc w:val="left"/>
              <w:rPr>
                <w:rFonts w:ascii="Times New Roman" w:hAnsi="Times New Roman" w:eastAsia="等线" w:cs="Times New Roman"/>
                <w:color w:val="000000"/>
                <w:kern w:val="0"/>
                <w:szCs w:val="21"/>
              </w:rPr>
            </w:pPr>
          </w:p>
        </w:tc>
        <w:tc>
          <w:tcPr>
            <w:tcW w:w="625" w:type="pct"/>
            <w:vMerge w:val="continue"/>
            <w:vAlign w:val="center"/>
          </w:tcPr>
          <w:p w14:paraId="6F2B0A41">
            <w:pPr>
              <w:widowControl/>
              <w:jc w:val="left"/>
              <w:rPr>
                <w:rFonts w:ascii="Times New Roman" w:hAnsi="Times New Roman" w:eastAsia="等线" w:cs="Times New Roman"/>
                <w:color w:val="000000"/>
                <w:kern w:val="0"/>
                <w:szCs w:val="21"/>
              </w:rPr>
            </w:pPr>
          </w:p>
        </w:tc>
      </w:tr>
      <w:tr w14:paraId="5C3C3B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53B01474">
            <w:pPr>
              <w:widowControl/>
              <w:jc w:val="left"/>
              <w:rPr>
                <w:rFonts w:ascii="Times New Roman" w:hAnsi="Times New Roman" w:eastAsia="等线" w:cs="Times New Roman"/>
                <w:color w:val="000000"/>
                <w:kern w:val="0"/>
                <w:szCs w:val="21"/>
              </w:rPr>
            </w:pPr>
          </w:p>
        </w:tc>
        <w:tc>
          <w:tcPr>
            <w:tcW w:w="625" w:type="pct"/>
            <w:noWrap/>
            <w:vAlign w:val="center"/>
          </w:tcPr>
          <w:p w14:paraId="250D878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F61</w:t>
            </w:r>
          </w:p>
        </w:tc>
        <w:tc>
          <w:tcPr>
            <w:tcW w:w="625" w:type="pct"/>
            <w:noWrap/>
            <w:vAlign w:val="center"/>
          </w:tcPr>
          <w:p w14:paraId="1315E4C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0.418 </w:t>
            </w:r>
          </w:p>
        </w:tc>
        <w:tc>
          <w:tcPr>
            <w:tcW w:w="625" w:type="pct"/>
            <w:noWrap/>
            <w:vAlign w:val="center"/>
          </w:tcPr>
          <w:p w14:paraId="49F71EE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0.008 </w:t>
            </w:r>
          </w:p>
        </w:tc>
        <w:tc>
          <w:tcPr>
            <w:tcW w:w="625" w:type="pct"/>
            <w:vMerge w:val="continue"/>
            <w:vAlign w:val="center"/>
          </w:tcPr>
          <w:p w14:paraId="286977FC">
            <w:pPr>
              <w:widowControl/>
              <w:jc w:val="left"/>
              <w:rPr>
                <w:rFonts w:ascii="Times New Roman" w:hAnsi="Times New Roman" w:eastAsia="等线" w:cs="Times New Roman"/>
                <w:color w:val="000000"/>
                <w:kern w:val="0"/>
                <w:szCs w:val="21"/>
              </w:rPr>
            </w:pPr>
          </w:p>
        </w:tc>
        <w:tc>
          <w:tcPr>
            <w:tcW w:w="625" w:type="pct"/>
            <w:vMerge w:val="continue"/>
            <w:vAlign w:val="center"/>
          </w:tcPr>
          <w:p w14:paraId="712CBFE2">
            <w:pPr>
              <w:widowControl/>
              <w:jc w:val="left"/>
              <w:rPr>
                <w:rFonts w:ascii="Times New Roman" w:hAnsi="Times New Roman" w:eastAsia="等线" w:cs="Times New Roman"/>
                <w:color w:val="000000"/>
                <w:kern w:val="0"/>
                <w:szCs w:val="21"/>
              </w:rPr>
            </w:pPr>
          </w:p>
        </w:tc>
        <w:tc>
          <w:tcPr>
            <w:tcW w:w="625" w:type="pct"/>
            <w:vMerge w:val="continue"/>
            <w:vAlign w:val="center"/>
          </w:tcPr>
          <w:p w14:paraId="5CCA29ED">
            <w:pPr>
              <w:widowControl/>
              <w:jc w:val="left"/>
              <w:rPr>
                <w:rFonts w:ascii="Times New Roman" w:hAnsi="Times New Roman" w:eastAsia="等线" w:cs="Times New Roman"/>
                <w:color w:val="000000"/>
                <w:kern w:val="0"/>
                <w:szCs w:val="21"/>
              </w:rPr>
            </w:pPr>
          </w:p>
        </w:tc>
        <w:tc>
          <w:tcPr>
            <w:tcW w:w="625" w:type="pct"/>
            <w:vMerge w:val="continue"/>
            <w:vAlign w:val="center"/>
          </w:tcPr>
          <w:p w14:paraId="52B7476E">
            <w:pPr>
              <w:widowControl/>
              <w:jc w:val="left"/>
              <w:rPr>
                <w:rFonts w:ascii="Times New Roman" w:hAnsi="Times New Roman" w:eastAsia="等线" w:cs="Times New Roman"/>
                <w:color w:val="000000"/>
                <w:kern w:val="0"/>
                <w:szCs w:val="21"/>
              </w:rPr>
            </w:pPr>
          </w:p>
        </w:tc>
      </w:tr>
      <w:tr w14:paraId="402CBB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restart"/>
            <w:noWrap/>
            <w:vAlign w:val="center"/>
          </w:tcPr>
          <w:p w14:paraId="0DB41CC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TPSF</w:t>
            </w:r>
          </w:p>
        </w:tc>
        <w:tc>
          <w:tcPr>
            <w:tcW w:w="625" w:type="pct"/>
            <w:noWrap/>
            <w:vAlign w:val="center"/>
          </w:tcPr>
          <w:p w14:paraId="51BFD67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C71</w:t>
            </w:r>
          </w:p>
        </w:tc>
        <w:tc>
          <w:tcPr>
            <w:tcW w:w="625" w:type="pct"/>
            <w:noWrap/>
            <w:vAlign w:val="center"/>
          </w:tcPr>
          <w:p w14:paraId="4792FEC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1.492 </w:t>
            </w:r>
          </w:p>
        </w:tc>
        <w:tc>
          <w:tcPr>
            <w:tcW w:w="625" w:type="pct"/>
            <w:noWrap/>
            <w:vAlign w:val="center"/>
          </w:tcPr>
          <w:p w14:paraId="6D44DB9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0.021 </w:t>
            </w:r>
          </w:p>
        </w:tc>
        <w:tc>
          <w:tcPr>
            <w:tcW w:w="625" w:type="pct"/>
            <w:vMerge w:val="restart"/>
            <w:noWrap/>
            <w:vAlign w:val="center"/>
          </w:tcPr>
          <w:p w14:paraId="05A89AF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13.744 </w:t>
            </w:r>
          </w:p>
        </w:tc>
        <w:tc>
          <w:tcPr>
            <w:tcW w:w="625" w:type="pct"/>
            <w:vMerge w:val="restart"/>
            <w:noWrap/>
            <w:vAlign w:val="center"/>
          </w:tcPr>
          <w:p w14:paraId="304D428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0.172 </w:t>
            </w:r>
          </w:p>
        </w:tc>
        <w:tc>
          <w:tcPr>
            <w:tcW w:w="625" w:type="pct"/>
            <w:vMerge w:val="restart"/>
            <w:noWrap/>
            <w:vAlign w:val="center"/>
          </w:tcPr>
          <w:p w14:paraId="1EFF191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5.1917 </w:t>
            </w:r>
          </w:p>
        </w:tc>
        <w:tc>
          <w:tcPr>
            <w:tcW w:w="625" w:type="pct"/>
            <w:vMerge w:val="restart"/>
            <w:noWrap/>
            <w:vAlign w:val="center"/>
          </w:tcPr>
          <w:p w14:paraId="3B72DA4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0.3535 </w:t>
            </w:r>
          </w:p>
        </w:tc>
      </w:tr>
      <w:tr w14:paraId="45E606E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0F2F3672">
            <w:pPr>
              <w:widowControl/>
              <w:jc w:val="left"/>
              <w:rPr>
                <w:rFonts w:ascii="Times New Roman" w:hAnsi="Times New Roman" w:eastAsia="等线" w:cs="Times New Roman"/>
                <w:color w:val="000000"/>
                <w:kern w:val="0"/>
                <w:szCs w:val="21"/>
              </w:rPr>
            </w:pPr>
          </w:p>
        </w:tc>
        <w:tc>
          <w:tcPr>
            <w:tcW w:w="625" w:type="pct"/>
            <w:noWrap/>
            <w:vAlign w:val="center"/>
          </w:tcPr>
          <w:p w14:paraId="2148794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C72</w:t>
            </w:r>
          </w:p>
        </w:tc>
        <w:tc>
          <w:tcPr>
            <w:tcW w:w="625" w:type="pct"/>
            <w:noWrap/>
            <w:vAlign w:val="center"/>
          </w:tcPr>
          <w:p w14:paraId="74604AD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1.570 </w:t>
            </w:r>
          </w:p>
        </w:tc>
        <w:tc>
          <w:tcPr>
            <w:tcW w:w="625" w:type="pct"/>
            <w:noWrap/>
            <w:vAlign w:val="center"/>
          </w:tcPr>
          <w:p w14:paraId="2D23011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0.022 </w:t>
            </w:r>
          </w:p>
        </w:tc>
        <w:tc>
          <w:tcPr>
            <w:tcW w:w="625" w:type="pct"/>
            <w:vMerge w:val="continue"/>
            <w:vAlign w:val="center"/>
          </w:tcPr>
          <w:p w14:paraId="32EE1FE2">
            <w:pPr>
              <w:widowControl/>
              <w:jc w:val="left"/>
              <w:rPr>
                <w:rFonts w:ascii="Times New Roman" w:hAnsi="Times New Roman" w:eastAsia="等线" w:cs="Times New Roman"/>
                <w:color w:val="000000"/>
                <w:kern w:val="0"/>
                <w:szCs w:val="21"/>
              </w:rPr>
            </w:pPr>
          </w:p>
        </w:tc>
        <w:tc>
          <w:tcPr>
            <w:tcW w:w="625" w:type="pct"/>
            <w:vMerge w:val="continue"/>
            <w:vAlign w:val="center"/>
          </w:tcPr>
          <w:p w14:paraId="7449E7FB">
            <w:pPr>
              <w:widowControl/>
              <w:jc w:val="left"/>
              <w:rPr>
                <w:rFonts w:ascii="Times New Roman" w:hAnsi="Times New Roman" w:eastAsia="等线" w:cs="Times New Roman"/>
                <w:color w:val="000000"/>
                <w:kern w:val="0"/>
                <w:szCs w:val="21"/>
              </w:rPr>
            </w:pPr>
          </w:p>
        </w:tc>
        <w:tc>
          <w:tcPr>
            <w:tcW w:w="625" w:type="pct"/>
            <w:vMerge w:val="continue"/>
            <w:vAlign w:val="center"/>
          </w:tcPr>
          <w:p w14:paraId="525581F1">
            <w:pPr>
              <w:widowControl/>
              <w:jc w:val="left"/>
              <w:rPr>
                <w:rFonts w:ascii="Times New Roman" w:hAnsi="Times New Roman" w:eastAsia="等线" w:cs="Times New Roman"/>
                <w:color w:val="000000"/>
                <w:kern w:val="0"/>
                <w:szCs w:val="21"/>
              </w:rPr>
            </w:pPr>
          </w:p>
        </w:tc>
        <w:tc>
          <w:tcPr>
            <w:tcW w:w="625" w:type="pct"/>
            <w:vMerge w:val="continue"/>
            <w:vAlign w:val="center"/>
          </w:tcPr>
          <w:p w14:paraId="3566DAD6">
            <w:pPr>
              <w:widowControl/>
              <w:jc w:val="left"/>
              <w:rPr>
                <w:rFonts w:ascii="Times New Roman" w:hAnsi="Times New Roman" w:eastAsia="等线" w:cs="Times New Roman"/>
                <w:color w:val="000000"/>
                <w:kern w:val="0"/>
                <w:szCs w:val="21"/>
              </w:rPr>
            </w:pPr>
          </w:p>
        </w:tc>
      </w:tr>
      <w:tr w14:paraId="220B3A6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24A2B5FD">
            <w:pPr>
              <w:widowControl/>
              <w:jc w:val="left"/>
              <w:rPr>
                <w:rFonts w:ascii="Times New Roman" w:hAnsi="Times New Roman" w:eastAsia="等线" w:cs="Times New Roman"/>
                <w:color w:val="000000"/>
                <w:kern w:val="0"/>
                <w:szCs w:val="21"/>
              </w:rPr>
            </w:pPr>
          </w:p>
        </w:tc>
        <w:tc>
          <w:tcPr>
            <w:tcW w:w="625" w:type="pct"/>
            <w:noWrap/>
            <w:vAlign w:val="center"/>
          </w:tcPr>
          <w:p w14:paraId="112C72F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N71</w:t>
            </w:r>
          </w:p>
        </w:tc>
        <w:tc>
          <w:tcPr>
            <w:tcW w:w="625" w:type="pct"/>
            <w:noWrap/>
            <w:vAlign w:val="center"/>
          </w:tcPr>
          <w:p w14:paraId="71444A1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0.791 </w:t>
            </w:r>
          </w:p>
        </w:tc>
        <w:tc>
          <w:tcPr>
            <w:tcW w:w="625" w:type="pct"/>
            <w:noWrap/>
            <w:vAlign w:val="center"/>
          </w:tcPr>
          <w:p w14:paraId="63DA7F8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0.012 </w:t>
            </w:r>
          </w:p>
        </w:tc>
        <w:tc>
          <w:tcPr>
            <w:tcW w:w="625" w:type="pct"/>
            <w:vMerge w:val="continue"/>
            <w:vAlign w:val="center"/>
          </w:tcPr>
          <w:p w14:paraId="505B934B">
            <w:pPr>
              <w:widowControl/>
              <w:jc w:val="left"/>
              <w:rPr>
                <w:rFonts w:ascii="Times New Roman" w:hAnsi="Times New Roman" w:eastAsia="等线" w:cs="Times New Roman"/>
                <w:color w:val="000000"/>
                <w:kern w:val="0"/>
                <w:szCs w:val="21"/>
              </w:rPr>
            </w:pPr>
          </w:p>
        </w:tc>
        <w:tc>
          <w:tcPr>
            <w:tcW w:w="625" w:type="pct"/>
            <w:vMerge w:val="continue"/>
            <w:vAlign w:val="center"/>
          </w:tcPr>
          <w:p w14:paraId="642E8CFE">
            <w:pPr>
              <w:widowControl/>
              <w:jc w:val="left"/>
              <w:rPr>
                <w:rFonts w:ascii="Times New Roman" w:hAnsi="Times New Roman" w:eastAsia="等线" w:cs="Times New Roman"/>
                <w:color w:val="000000"/>
                <w:kern w:val="0"/>
                <w:szCs w:val="21"/>
              </w:rPr>
            </w:pPr>
          </w:p>
        </w:tc>
        <w:tc>
          <w:tcPr>
            <w:tcW w:w="625" w:type="pct"/>
            <w:vMerge w:val="continue"/>
            <w:vAlign w:val="center"/>
          </w:tcPr>
          <w:p w14:paraId="68E3E9ED">
            <w:pPr>
              <w:widowControl/>
              <w:jc w:val="left"/>
              <w:rPr>
                <w:rFonts w:ascii="Times New Roman" w:hAnsi="Times New Roman" w:eastAsia="等线" w:cs="Times New Roman"/>
                <w:color w:val="000000"/>
                <w:kern w:val="0"/>
                <w:szCs w:val="21"/>
              </w:rPr>
            </w:pPr>
          </w:p>
        </w:tc>
        <w:tc>
          <w:tcPr>
            <w:tcW w:w="625" w:type="pct"/>
            <w:vMerge w:val="continue"/>
            <w:vAlign w:val="center"/>
          </w:tcPr>
          <w:p w14:paraId="0A921A65">
            <w:pPr>
              <w:widowControl/>
              <w:jc w:val="left"/>
              <w:rPr>
                <w:rFonts w:ascii="Times New Roman" w:hAnsi="Times New Roman" w:eastAsia="等线" w:cs="Times New Roman"/>
                <w:color w:val="000000"/>
                <w:kern w:val="0"/>
                <w:szCs w:val="21"/>
              </w:rPr>
            </w:pPr>
          </w:p>
        </w:tc>
      </w:tr>
      <w:tr w14:paraId="0E3BD97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23CB8317">
            <w:pPr>
              <w:widowControl/>
              <w:jc w:val="left"/>
              <w:rPr>
                <w:rFonts w:ascii="Times New Roman" w:hAnsi="Times New Roman" w:eastAsia="等线" w:cs="Times New Roman"/>
                <w:color w:val="000000"/>
                <w:kern w:val="0"/>
                <w:szCs w:val="21"/>
              </w:rPr>
            </w:pPr>
          </w:p>
        </w:tc>
        <w:tc>
          <w:tcPr>
            <w:tcW w:w="625" w:type="pct"/>
            <w:noWrap/>
            <w:vAlign w:val="center"/>
          </w:tcPr>
          <w:p w14:paraId="5170D9C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S71</w:t>
            </w:r>
          </w:p>
        </w:tc>
        <w:tc>
          <w:tcPr>
            <w:tcW w:w="625" w:type="pct"/>
            <w:noWrap/>
            <w:vAlign w:val="center"/>
          </w:tcPr>
          <w:p w14:paraId="715E972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2.102 </w:t>
            </w:r>
          </w:p>
        </w:tc>
        <w:tc>
          <w:tcPr>
            <w:tcW w:w="625" w:type="pct"/>
            <w:noWrap/>
            <w:vAlign w:val="center"/>
          </w:tcPr>
          <w:p w14:paraId="54D8BAE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0.031 </w:t>
            </w:r>
          </w:p>
        </w:tc>
        <w:tc>
          <w:tcPr>
            <w:tcW w:w="625" w:type="pct"/>
            <w:vMerge w:val="continue"/>
            <w:vAlign w:val="center"/>
          </w:tcPr>
          <w:p w14:paraId="1987421B">
            <w:pPr>
              <w:widowControl/>
              <w:jc w:val="left"/>
              <w:rPr>
                <w:rFonts w:ascii="Times New Roman" w:hAnsi="Times New Roman" w:eastAsia="等线" w:cs="Times New Roman"/>
                <w:color w:val="000000"/>
                <w:kern w:val="0"/>
                <w:szCs w:val="21"/>
              </w:rPr>
            </w:pPr>
          </w:p>
        </w:tc>
        <w:tc>
          <w:tcPr>
            <w:tcW w:w="625" w:type="pct"/>
            <w:vMerge w:val="continue"/>
            <w:vAlign w:val="center"/>
          </w:tcPr>
          <w:p w14:paraId="74FFC7E4">
            <w:pPr>
              <w:widowControl/>
              <w:jc w:val="left"/>
              <w:rPr>
                <w:rFonts w:ascii="Times New Roman" w:hAnsi="Times New Roman" w:eastAsia="等线" w:cs="Times New Roman"/>
                <w:color w:val="000000"/>
                <w:kern w:val="0"/>
                <w:szCs w:val="21"/>
              </w:rPr>
            </w:pPr>
          </w:p>
        </w:tc>
        <w:tc>
          <w:tcPr>
            <w:tcW w:w="625" w:type="pct"/>
            <w:vMerge w:val="continue"/>
            <w:vAlign w:val="center"/>
          </w:tcPr>
          <w:p w14:paraId="13A47DFA">
            <w:pPr>
              <w:widowControl/>
              <w:jc w:val="left"/>
              <w:rPr>
                <w:rFonts w:ascii="Times New Roman" w:hAnsi="Times New Roman" w:eastAsia="等线" w:cs="Times New Roman"/>
                <w:color w:val="000000"/>
                <w:kern w:val="0"/>
                <w:szCs w:val="21"/>
              </w:rPr>
            </w:pPr>
          </w:p>
        </w:tc>
        <w:tc>
          <w:tcPr>
            <w:tcW w:w="625" w:type="pct"/>
            <w:vMerge w:val="continue"/>
            <w:vAlign w:val="center"/>
          </w:tcPr>
          <w:p w14:paraId="288194F2">
            <w:pPr>
              <w:widowControl/>
              <w:jc w:val="left"/>
              <w:rPr>
                <w:rFonts w:ascii="Times New Roman" w:hAnsi="Times New Roman" w:eastAsia="等线" w:cs="Times New Roman"/>
                <w:color w:val="000000"/>
                <w:kern w:val="0"/>
                <w:szCs w:val="21"/>
              </w:rPr>
            </w:pPr>
          </w:p>
        </w:tc>
      </w:tr>
      <w:tr w14:paraId="20265F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29116924">
            <w:pPr>
              <w:widowControl/>
              <w:jc w:val="left"/>
              <w:rPr>
                <w:rFonts w:ascii="Times New Roman" w:hAnsi="Times New Roman" w:eastAsia="等线" w:cs="Times New Roman"/>
                <w:color w:val="000000"/>
                <w:kern w:val="0"/>
                <w:szCs w:val="21"/>
              </w:rPr>
            </w:pPr>
          </w:p>
        </w:tc>
        <w:tc>
          <w:tcPr>
            <w:tcW w:w="625" w:type="pct"/>
            <w:noWrap/>
            <w:vAlign w:val="center"/>
          </w:tcPr>
          <w:p w14:paraId="1BFB608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O71</w:t>
            </w:r>
          </w:p>
        </w:tc>
        <w:tc>
          <w:tcPr>
            <w:tcW w:w="625" w:type="pct"/>
            <w:noWrap/>
            <w:vAlign w:val="center"/>
          </w:tcPr>
          <w:p w14:paraId="15B3A5D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0.617 </w:t>
            </w:r>
          </w:p>
        </w:tc>
        <w:tc>
          <w:tcPr>
            <w:tcW w:w="625" w:type="pct"/>
            <w:noWrap/>
            <w:vAlign w:val="center"/>
          </w:tcPr>
          <w:p w14:paraId="27EEE24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0.009 </w:t>
            </w:r>
          </w:p>
        </w:tc>
        <w:tc>
          <w:tcPr>
            <w:tcW w:w="625" w:type="pct"/>
            <w:vMerge w:val="continue"/>
            <w:vAlign w:val="center"/>
          </w:tcPr>
          <w:p w14:paraId="126CAE12">
            <w:pPr>
              <w:widowControl/>
              <w:jc w:val="left"/>
              <w:rPr>
                <w:rFonts w:ascii="Times New Roman" w:hAnsi="Times New Roman" w:eastAsia="等线" w:cs="Times New Roman"/>
                <w:color w:val="000000"/>
                <w:kern w:val="0"/>
                <w:szCs w:val="21"/>
              </w:rPr>
            </w:pPr>
          </w:p>
        </w:tc>
        <w:tc>
          <w:tcPr>
            <w:tcW w:w="625" w:type="pct"/>
            <w:vMerge w:val="continue"/>
            <w:vAlign w:val="center"/>
          </w:tcPr>
          <w:p w14:paraId="6E5E92F2">
            <w:pPr>
              <w:widowControl/>
              <w:jc w:val="left"/>
              <w:rPr>
                <w:rFonts w:ascii="Times New Roman" w:hAnsi="Times New Roman" w:eastAsia="等线" w:cs="Times New Roman"/>
                <w:color w:val="000000"/>
                <w:kern w:val="0"/>
                <w:szCs w:val="21"/>
              </w:rPr>
            </w:pPr>
          </w:p>
        </w:tc>
        <w:tc>
          <w:tcPr>
            <w:tcW w:w="625" w:type="pct"/>
            <w:vMerge w:val="continue"/>
            <w:vAlign w:val="center"/>
          </w:tcPr>
          <w:p w14:paraId="3D3846C6">
            <w:pPr>
              <w:widowControl/>
              <w:jc w:val="left"/>
              <w:rPr>
                <w:rFonts w:ascii="Times New Roman" w:hAnsi="Times New Roman" w:eastAsia="等线" w:cs="Times New Roman"/>
                <w:color w:val="000000"/>
                <w:kern w:val="0"/>
                <w:szCs w:val="21"/>
              </w:rPr>
            </w:pPr>
          </w:p>
        </w:tc>
        <w:tc>
          <w:tcPr>
            <w:tcW w:w="625" w:type="pct"/>
            <w:vMerge w:val="continue"/>
            <w:vAlign w:val="center"/>
          </w:tcPr>
          <w:p w14:paraId="32FFF352">
            <w:pPr>
              <w:widowControl/>
              <w:jc w:val="left"/>
              <w:rPr>
                <w:rFonts w:ascii="Times New Roman" w:hAnsi="Times New Roman" w:eastAsia="等线" w:cs="Times New Roman"/>
                <w:color w:val="000000"/>
                <w:kern w:val="0"/>
                <w:szCs w:val="21"/>
              </w:rPr>
            </w:pPr>
          </w:p>
        </w:tc>
      </w:tr>
      <w:tr w14:paraId="56EFAF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7B17E834">
            <w:pPr>
              <w:widowControl/>
              <w:jc w:val="left"/>
              <w:rPr>
                <w:rFonts w:ascii="Times New Roman" w:hAnsi="Times New Roman" w:eastAsia="等线" w:cs="Times New Roman"/>
                <w:color w:val="000000"/>
                <w:kern w:val="0"/>
                <w:szCs w:val="21"/>
              </w:rPr>
            </w:pPr>
          </w:p>
        </w:tc>
        <w:tc>
          <w:tcPr>
            <w:tcW w:w="625" w:type="pct"/>
            <w:noWrap/>
            <w:vAlign w:val="center"/>
          </w:tcPr>
          <w:p w14:paraId="5F34053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C73</w:t>
            </w:r>
          </w:p>
        </w:tc>
        <w:tc>
          <w:tcPr>
            <w:tcW w:w="625" w:type="pct"/>
            <w:noWrap/>
            <w:vAlign w:val="center"/>
          </w:tcPr>
          <w:p w14:paraId="69B9897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1.190 </w:t>
            </w:r>
          </w:p>
        </w:tc>
        <w:tc>
          <w:tcPr>
            <w:tcW w:w="625" w:type="pct"/>
            <w:noWrap/>
            <w:vAlign w:val="center"/>
          </w:tcPr>
          <w:p w14:paraId="0DDB7CB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0.017 </w:t>
            </w:r>
          </w:p>
        </w:tc>
        <w:tc>
          <w:tcPr>
            <w:tcW w:w="625" w:type="pct"/>
            <w:vMerge w:val="continue"/>
            <w:vAlign w:val="center"/>
          </w:tcPr>
          <w:p w14:paraId="384B3957">
            <w:pPr>
              <w:widowControl/>
              <w:jc w:val="left"/>
              <w:rPr>
                <w:rFonts w:ascii="Times New Roman" w:hAnsi="Times New Roman" w:eastAsia="等线" w:cs="Times New Roman"/>
                <w:color w:val="000000"/>
                <w:kern w:val="0"/>
                <w:szCs w:val="21"/>
              </w:rPr>
            </w:pPr>
          </w:p>
        </w:tc>
        <w:tc>
          <w:tcPr>
            <w:tcW w:w="625" w:type="pct"/>
            <w:vMerge w:val="continue"/>
            <w:vAlign w:val="center"/>
          </w:tcPr>
          <w:p w14:paraId="38E38A6F">
            <w:pPr>
              <w:widowControl/>
              <w:jc w:val="left"/>
              <w:rPr>
                <w:rFonts w:ascii="Times New Roman" w:hAnsi="Times New Roman" w:eastAsia="等线" w:cs="Times New Roman"/>
                <w:color w:val="000000"/>
                <w:kern w:val="0"/>
                <w:szCs w:val="21"/>
              </w:rPr>
            </w:pPr>
          </w:p>
        </w:tc>
        <w:tc>
          <w:tcPr>
            <w:tcW w:w="625" w:type="pct"/>
            <w:vMerge w:val="continue"/>
            <w:vAlign w:val="center"/>
          </w:tcPr>
          <w:p w14:paraId="0C429746">
            <w:pPr>
              <w:widowControl/>
              <w:jc w:val="left"/>
              <w:rPr>
                <w:rFonts w:ascii="Times New Roman" w:hAnsi="Times New Roman" w:eastAsia="等线" w:cs="Times New Roman"/>
                <w:color w:val="000000"/>
                <w:kern w:val="0"/>
                <w:szCs w:val="21"/>
              </w:rPr>
            </w:pPr>
          </w:p>
        </w:tc>
        <w:tc>
          <w:tcPr>
            <w:tcW w:w="625" w:type="pct"/>
            <w:vMerge w:val="continue"/>
            <w:vAlign w:val="center"/>
          </w:tcPr>
          <w:p w14:paraId="71B20ED3">
            <w:pPr>
              <w:widowControl/>
              <w:jc w:val="left"/>
              <w:rPr>
                <w:rFonts w:ascii="Times New Roman" w:hAnsi="Times New Roman" w:eastAsia="等线" w:cs="Times New Roman"/>
                <w:color w:val="000000"/>
                <w:kern w:val="0"/>
                <w:szCs w:val="21"/>
              </w:rPr>
            </w:pPr>
          </w:p>
        </w:tc>
      </w:tr>
      <w:tr w14:paraId="7AE9B9E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443C4FD7">
            <w:pPr>
              <w:widowControl/>
              <w:jc w:val="left"/>
              <w:rPr>
                <w:rFonts w:ascii="Times New Roman" w:hAnsi="Times New Roman" w:eastAsia="等线" w:cs="Times New Roman"/>
                <w:color w:val="000000"/>
                <w:kern w:val="0"/>
                <w:szCs w:val="21"/>
              </w:rPr>
            </w:pPr>
          </w:p>
        </w:tc>
        <w:tc>
          <w:tcPr>
            <w:tcW w:w="625" w:type="pct"/>
            <w:noWrap/>
            <w:vAlign w:val="center"/>
          </w:tcPr>
          <w:p w14:paraId="58CFCEE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F71</w:t>
            </w:r>
          </w:p>
        </w:tc>
        <w:tc>
          <w:tcPr>
            <w:tcW w:w="625" w:type="pct"/>
            <w:noWrap/>
            <w:vAlign w:val="center"/>
          </w:tcPr>
          <w:p w14:paraId="3741986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0.410 </w:t>
            </w:r>
          </w:p>
        </w:tc>
        <w:tc>
          <w:tcPr>
            <w:tcW w:w="625" w:type="pct"/>
            <w:noWrap/>
            <w:vAlign w:val="center"/>
          </w:tcPr>
          <w:p w14:paraId="6A7FDC5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0.006 </w:t>
            </w:r>
          </w:p>
        </w:tc>
        <w:tc>
          <w:tcPr>
            <w:tcW w:w="625" w:type="pct"/>
            <w:vMerge w:val="continue"/>
            <w:vAlign w:val="center"/>
          </w:tcPr>
          <w:p w14:paraId="4634CF4B">
            <w:pPr>
              <w:widowControl/>
              <w:jc w:val="left"/>
              <w:rPr>
                <w:rFonts w:ascii="Times New Roman" w:hAnsi="Times New Roman" w:eastAsia="等线" w:cs="Times New Roman"/>
                <w:color w:val="000000"/>
                <w:kern w:val="0"/>
                <w:szCs w:val="21"/>
              </w:rPr>
            </w:pPr>
          </w:p>
        </w:tc>
        <w:tc>
          <w:tcPr>
            <w:tcW w:w="625" w:type="pct"/>
            <w:vMerge w:val="continue"/>
            <w:vAlign w:val="center"/>
          </w:tcPr>
          <w:p w14:paraId="73015A57">
            <w:pPr>
              <w:widowControl/>
              <w:jc w:val="left"/>
              <w:rPr>
                <w:rFonts w:ascii="Times New Roman" w:hAnsi="Times New Roman" w:eastAsia="等线" w:cs="Times New Roman"/>
                <w:color w:val="000000"/>
                <w:kern w:val="0"/>
                <w:szCs w:val="21"/>
              </w:rPr>
            </w:pPr>
          </w:p>
        </w:tc>
        <w:tc>
          <w:tcPr>
            <w:tcW w:w="625" w:type="pct"/>
            <w:vMerge w:val="continue"/>
            <w:vAlign w:val="center"/>
          </w:tcPr>
          <w:p w14:paraId="15F3C39A">
            <w:pPr>
              <w:widowControl/>
              <w:jc w:val="left"/>
              <w:rPr>
                <w:rFonts w:ascii="Times New Roman" w:hAnsi="Times New Roman" w:eastAsia="等线" w:cs="Times New Roman"/>
                <w:color w:val="000000"/>
                <w:kern w:val="0"/>
                <w:szCs w:val="21"/>
              </w:rPr>
            </w:pPr>
          </w:p>
        </w:tc>
        <w:tc>
          <w:tcPr>
            <w:tcW w:w="625" w:type="pct"/>
            <w:vMerge w:val="continue"/>
            <w:vAlign w:val="center"/>
          </w:tcPr>
          <w:p w14:paraId="43A3B87F">
            <w:pPr>
              <w:widowControl/>
              <w:jc w:val="left"/>
              <w:rPr>
                <w:rFonts w:ascii="Times New Roman" w:hAnsi="Times New Roman" w:eastAsia="等线" w:cs="Times New Roman"/>
                <w:color w:val="000000"/>
                <w:kern w:val="0"/>
                <w:szCs w:val="21"/>
              </w:rPr>
            </w:pPr>
          </w:p>
        </w:tc>
      </w:tr>
      <w:tr w14:paraId="3E34143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738D9D9E">
            <w:pPr>
              <w:widowControl/>
              <w:jc w:val="left"/>
              <w:rPr>
                <w:rFonts w:ascii="Times New Roman" w:hAnsi="Times New Roman" w:eastAsia="等线" w:cs="Times New Roman"/>
                <w:color w:val="000000"/>
                <w:kern w:val="0"/>
                <w:szCs w:val="21"/>
              </w:rPr>
            </w:pPr>
          </w:p>
        </w:tc>
        <w:tc>
          <w:tcPr>
            <w:tcW w:w="625" w:type="pct"/>
            <w:noWrap/>
            <w:vAlign w:val="center"/>
          </w:tcPr>
          <w:p w14:paraId="1AE4BA5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H72</w:t>
            </w:r>
          </w:p>
        </w:tc>
        <w:tc>
          <w:tcPr>
            <w:tcW w:w="625" w:type="pct"/>
            <w:noWrap/>
            <w:vAlign w:val="center"/>
          </w:tcPr>
          <w:p w14:paraId="53CDBD3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16E12C3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576930A3">
            <w:pPr>
              <w:widowControl/>
              <w:jc w:val="left"/>
              <w:rPr>
                <w:rFonts w:ascii="Times New Roman" w:hAnsi="Times New Roman" w:eastAsia="等线" w:cs="Times New Roman"/>
                <w:color w:val="000000"/>
                <w:kern w:val="0"/>
                <w:szCs w:val="21"/>
              </w:rPr>
            </w:pPr>
          </w:p>
        </w:tc>
        <w:tc>
          <w:tcPr>
            <w:tcW w:w="625" w:type="pct"/>
            <w:vMerge w:val="continue"/>
            <w:vAlign w:val="center"/>
          </w:tcPr>
          <w:p w14:paraId="797BB913">
            <w:pPr>
              <w:widowControl/>
              <w:jc w:val="left"/>
              <w:rPr>
                <w:rFonts w:ascii="Times New Roman" w:hAnsi="Times New Roman" w:eastAsia="等线" w:cs="Times New Roman"/>
                <w:color w:val="000000"/>
                <w:kern w:val="0"/>
                <w:szCs w:val="21"/>
              </w:rPr>
            </w:pPr>
          </w:p>
        </w:tc>
        <w:tc>
          <w:tcPr>
            <w:tcW w:w="625" w:type="pct"/>
            <w:vMerge w:val="continue"/>
            <w:vAlign w:val="center"/>
          </w:tcPr>
          <w:p w14:paraId="1A780245">
            <w:pPr>
              <w:widowControl/>
              <w:jc w:val="left"/>
              <w:rPr>
                <w:rFonts w:ascii="Times New Roman" w:hAnsi="Times New Roman" w:eastAsia="等线" w:cs="Times New Roman"/>
                <w:color w:val="000000"/>
                <w:kern w:val="0"/>
                <w:szCs w:val="21"/>
              </w:rPr>
            </w:pPr>
          </w:p>
        </w:tc>
        <w:tc>
          <w:tcPr>
            <w:tcW w:w="625" w:type="pct"/>
            <w:vMerge w:val="continue"/>
            <w:vAlign w:val="center"/>
          </w:tcPr>
          <w:p w14:paraId="08FBC7FE">
            <w:pPr>
              <w:widowControl/>
              <w:jc w:val="left"/>
              <w:rPr>
                <w:rFonts w:ascii="Times New Roman" w:hAnsi="Times New Roman" w:eastAsia="等线" w:cs="Times New Roman"/>
                <w:color w:val="000000"/>
                <w:kern w:val="0"/>
                <w:szCs w:val="21"/>
              </w:rPr>
            </w:pPr>
          </w:p>
        </w:tc>
      </w:tr>
      <w:tr w14:paraId="09F5118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6EF883FA">
            <w:pPr>
              <w:widowControl/>
              <w:jc w:val="left"/>
              <w:rPr>
                <w:rFonts w:ascii="Times New Roman" w:hAnsi="Times New Roman" w:eastAsia="等线" w:cs="Times New Roman"/>
                <w:color w:val="000000"/>
                <w:kern w:val="0"/>
                <w:szCs w:val="21"/>
              </w:rPr>
            </w:pPr>
          </w:p>
        </w:tc>
        <w:tc>
          <w:tcPr>
            <w:tcW w:w="625" w:type="pct"/>
            <w:noWrap/>
            <w:vAlign w:val="center"/>
          </w:tcPr>
          <w:p w14:paraId="4EEC13A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H71</w:t>
            </w:r>
          </w:p>
        </w:tc>
        <w:tc>
          <w:tcPr>
            <w:tcW w:w="625" w:type="pct"/>
            <w:noWrap/>
            <w:vAlign w:val="center"/>
          </w:tcPr>
          <w:p w14:paraId="51BA644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76A6C31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769884B4">
            <w:pPr>
              <w:widowControl/>
              <w:jc w:val="left"/>
              <w:rPr>
                <w:rFonts w:ascii="Times New Roman" w:hAnsi="Times New Roman" w:eastAsia="等线" w:cs="Times New Roman"/>
                <w:color w:val="000000"/>
                <w:kern w:val="0"/>
                <w:szCs w:val="21"/>
              </w:rPr>
            </w:pPr>
          </w:p>
        </w:tc>
        <w:tc>
          <w:tcPr>
            <w:tcW w:w="625" w:type="pct"/>
            <w:vMerge w:val="continue"/>
            <w:vAlign w:val="center"/>
          </w:tcPr>
          <w:p w14:paraId="5427E4C0">
            <w:pPr>
              <w:widowControl/>
              <w:jc w:val="left"/>
              <w:rPr>
                <w:rFonts w:ascii="Times New Roman" w:hAnsi="Times New Roman" w:eastAsia="等线" w:cs="Times New Roman"/>
                <w:color w:val="000000"/>
                <w:kern w:val="0"/>
                <w:szCs w:val="21"/>
              </w:rPr>
            </w:pPr>
          </w:p>
        </w:tc>
        <w:tc>
          <w:tcPr>
            <w:tcW w:w="625" w:type="pct"/>
            <w:vMerge w:val="continue"/>
            <w:vAlign w:val="center"/>
          </w:tcPr>
          <w:p w14:paraId="197F813B">
            <w:pPr>
              <w:widowControl/>
              <w:jc w:val="left"/>
              <w:rPr>
                <w:rFonts w:ascii="Times New Roman" w:hAnsi="Times New Roman" w:eastAsia="等线" w:cs="Times New Roman"/>
                <w:color w:val="000000"/>
                <w:kern w:val="0"/>
                <w:szCs w:val="21"/>
              </w:rPr>
            </w:pPr>
          </w:p>
        </w:tc>
        <w:tc>
          <w:tcPr>
            <w:tcW w:w="625" w:type="pct"/>
            <w:vMerge w:val="continue"/>
            <w:vAlign w:val="center"/>
          </w:tcPr>
          <w:p w14:paraId="4B8D61FD">
            <w:pPr>
              <w:widowControl/>
              <w:jc w:val="left"/>
              <w:rPr>
                <w:rFonts w:ascii="Times New Roman" w:hAnsi="Times New Roman" w:eastAsia="等线" w:cs="Times New Roman"/>
                <w:color w:val="000000"/>
                <w:kern w:val="0"/>
                <w:szCs w:val="21"/>
              </w:rPr>
            </w:pPr>
          </w:p>
        </w:tc>
      </w:tr>
      <w:tr w14:paraId="426574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restart"/>
            <w:noWrap/>
            <w:vAlign w:val="center"/>
          </w:tcPr>
          <w:p w14:paraId="19AE7A7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DOL</w:t>
            </w:r>
          </w:p>
        </w:tc>
        <w:tc>
          <w:tcPr>
            <w:tcW w:w="625" w:type="pct"/>
            <w:noWrap/>
            <w:vAlign w:val="center"/>
          </w:tcPr>
          <w:p w14:paraId="559C8B2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C81</w:t>
            </w:r>
          </w:p>
        </w:tc>
        <w:tc>
          <w:tcPr>
            <w:tcW w:w="625" w:type="pct"/>
            <w:noWrap/>
            <w:vAlign w:val="center"/>
          </w:tcPr>
          <w:p w14:paraId="71926CC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1.498 </w:t>
            </w:r>
          </w:p>
        </w:tc>
        <w:tc>
          <w:tcPr>
            <w:tcW w:w="625" w:type="pct"/>
            <w:noWrap/>
            <w:vAlign w:val="center"/>
          </w:tcPr>
          <w:p w14:paraId="19639E1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0.022 </w:t>
            </w:r>
          </w:p>
        </w:tc>
        <w:tc>
          <w:tcPr>
            <w:tcW w:w="625" w:type="pct"/>
            <w:vMerge w:val="restart"/>
            <w:noWrap/>
            <w:vAlign w:val="center"/>
          </w:tcPr>
          <w:p w14:paraId="1DB531E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6.364 </w:t>
            </w:r>
          </w:p>
        </w:tc>
        <w:tc>
          <w:tcPr>
            <w:tcW w:w="625" w:type="pct"/>
            <w:vMerge w:val="restart"/>
            <w:noWrap/>
            <w:vAlign w:val="center"/>
          </w:tcPr>
          <w:p w14:paraId="4B471D7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0.081 </w:t>
            </w:r>
          </w:p>
        </w:tc>
        <w:tc>
          <w:tcPr>
            <w:tcW w:w="625" w:type="pct"/>
            <w:vMerge w:val="restart"/>
            <w:noWrap/>
            <w:vAlign w:val="center"/>
          </w:tcPr>
          <w:p w14:paraId="024235D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1.5159 </w:t>
            </w:r>
          </w:p>
        </w:tc>
        <w:tc>
          <w:tcPr>
            <w:tcW w:w="625" w:type="pct"/>
            <w:vMerge w:val="restart"/>
            <w:noWrap/>
            <w:vAlign w:val="center"/>
          </w:tcPr>
          <w:p w14:paraId="4117A01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0.1653 </w:t>
            </w:r>
          </w:p>
        </w:tc>
      </w:tr>
      <w:tr w14:paraId="17A9B0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492B14DF">
            <w:pPr>
              <w:widowControl/>
              <w:jc w:val="left"/>
              <w:rPr>
                <w:rFonts w:ascii="Times New Roman" w:hAnsi="Times New Roman" w:eastAsia="等线" w:cs="Times New Roman"/>
                <w:color w:val="000000"/>
                <w:kern w:val="0"/>
                <w:szCs w:val="21"/>
              </w:rPr>
            </w:pPr>
          </w:p>
        </w:tc>
        <w:tc>
          <w:tcPr>
            <w:tcW w:w="625" w:type="pct"/>
            <w:noWrap/>
            <w:vAlign w:val="center"/>
          </w:tcPr>
          <w:p w14:paraId="14CC8EA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H81</w:t>
            </w:r>
          </w:p>
        </w:tc>
        <w:tc>
          <w:tcPr>
            <w:tcW w:w="625" w:type="pct"/>
            <w:noWrap/>
            <w:vAlign w:val="center"/>
          </w:tcPr>
          <w:p w14:paraId="06883AE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3348CB9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0AB85779">
            <w:pPr>
              <w:widowControl/>
              <w:jc w:val="left"/>
              <w:rPr>
                <w:rFonts w:ascii="Times New Roman" w:hAnsi="Times New Roman" w:eastAsia="等线" w:cs="Times New Roman"/>
                <w:color w:val="000000"/>
                <w:kern w:val="0"/>
                <w:szCs w:val="21"/>
              </w:rPr>
            </w:pPr>
          </w:p>
        </w:tc>
        <w:tc>
          <w:tcPr>
            <w:tcW w:w="625" w:type="pct"/>
            <w:vMerge w:val="continue"/>
            <w:vAlign w:val="center"/>
          </w:tcPr>
          <w:p w14:paraId="5D008616">
            <w:pPr>
              <w:widowControl/>
              <w:jc w:val="left"/>
              <w:rPr>
                <w:rFonts w:ascii="Times New Roman" w:hAnsi="Times New Roman" w:eastAsia="等线" w:cs="Times New Roman"/>
                <w:color w:val="000000"/>
                <w:kern w:val="0"/>
                <w:szCs w:val="21"/>
              </w:rPr>
            </w:pPr>
          </w:p>
        </w:tc>
        <w:tc>
          <w:tcPr>
            <w:tcW w:w="625" w:type="pct"/>
            <w:vMerge w:val="continue"/>
            <w:vAlign w:val="center"/>
          </w:tcPr>
          <w:p w14:paraId="7824DE9E">
            <w:pPr>
              <w:widowControl/>
              <w:jc w:val="left"/>
              <w:rPr>
                <w:rFonts w:ascii="Times New Roman" w:hAnsi="Times New Roman" w:eastAsia="等线" w:cs="Times New Roman"/>
                <w:color w:val="000000"/>
                <w:kern w:val="0"/>
                <w:szCs w:val="21"/>
              </w:rPr>
            </w:pPr>
          </w:p>
        </w:tc>
        <w:tc>
          <w:tcPr>
            <w:tcW w:w="625" w:type="pct"/>
            <w:vMerge w:val="continue"/>
            <w:vAlign w:val="center"/>
          </w:tcPr>
          <w:p w14:paraId="397D516E">
            <w:pPr>
              <w:widowControl/>
              <w:jc w:val="left"/>
              <w:rPr>
                <w:rFonts w:ascii="Times New Roman" w:hAnsi="Times New Roman" w:eastAsia="等线" w:cs="Times New Roman"/>
                <w:color w:val="000000"/>
                <w:kern w:val="0"/>
                <w:szCs w:val="21"/>
              </w:rPr>
            </w:pPr>
          </w:p>
        </w:tc>
      </w:tr>
      <w:tr w14:paraId="7E5D1E2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63E5A3B3">
            <w:pPr>
              <w:widowControl/>
              <w:jc w:val="left"/>
              <w:rPr>
                <w:rFonts w:ascii="Times New Roman" w:hAnsi="Times New Roman" w:eastAsia="等线" w:cs="Times New Roman"/>
                <w:color w:val="000000"/>
                <w:kern w:val="0"/>
                <w:szCs w:val="21"/>
              </w:rPr>
            </w:pPr>
          </w:p>
        </w:tc>
        <w:tc>
          <w:tcPr>
            <w:tcW w:w="625" w:type="pct"/>
            <w:noWrap/>
            <w:vAlign w:val="center"/>
          </w:tcPr>
          <w:p w14:paraId="7BC5EB8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O81</w:t>
            </w:r>
          </w:p>
        </w:tc>
        <w:tc>
          <w:tcPr>
            <w:tcW w:w="625" w:type="pct"/>
            <w:noWrap/>
            <w:vAlign w:val="center"/>
          </w:tcPr>
          <w:p w14:paraId="72E8C02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0.567 </w:t>
            </w:r>
          </w:p>
        </w:tc>
        <w:tc>
          <w:tcPr>
            <w:tcW w:w="625" w:type="pct"/>
            <w:noWrap/>
            <w:vAlign w:val="center"/>
          </w:tcPr>
          <w:p w14:paraId="661F8D0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0.010 </w:t>
            </w:r>
          </w:p>
        </w:tc>
        <w:tc>
          <w:tcPr>
            <w:tcW w:w="625" w:type="pct"/>
            <w:vMerge w:val="continue"/>
            <w:vAlign w:val="center"/>
          </w:tcPr>
          <w:p w14:paraId="637213B1">
            <w:pPr>
              <w:widowControl/>
              <w:jc w:val="left"/>
              <w:rPr>
                <w:rFonts w:ascii="Times New Roman" w:hAnsi="Times New Roman" w:eastAsia="等线" w:cs="Times New Roman"/>
                <w:color w:val="000000"/>
                <w:kern w:val="0"/>
                <w:szCs w:val="21"/>
              </w:rPr>
            </w:pPr>
          </w:p>
        </w:tc>
        <w:tc>
          <w:tcPr>
            <w:tcW w:w="625" w:type="pct"/>
            <w:vMerge w:val="continue"/>
            <w:vAlign w:val="center"/>
          </w:tcPr>
          <w:p w14:paraId="2A6A5873">
            <w:pPr>
              <w:widowControl/>
              <w:jc w:val="left"/>
              <w:rPr>
                <w:rFonts w:ascii="Times New Roman" w:hAnsi="Times New Roman" w:eastAsia="等线" w:cs="Times New Roman"/>
                <w:color w:val="000000"/>
                <w:kern w:val="0"/>
                <w:szCs w:val="21"/>
              </w:rPr>
            </w:pPr>
          </w:p>
        </w:tc>
        <w:tc>
          <w:tcPr>
            <w:tcW w:w="625" w:type="pct"/>
            <w:vMerge w:val="continue"/>
            <w:vAlign w:val="center"/>
          </w:tcPr>
          <w:p w14:paraId="4CD003E0">
            <w:pPr>
              <w:widowControl/>
              <w:jc w:val="left"/>
              <w:rPr>
                <w:rFonts w:ascii="Times New Roman" w:hAnsi="Times New Roman" w:eastAsia="等线" w:cs="Times New Roman"/>
                <w:color w:val="000000"/>
                <w:kern w:val="0"/>
                <w:szCs w:val="21"/>
              </w:rPr>
            </w:pPr>
          </w:p>
        </w:tc>
        <w:tc>
          <w:tcPr>
            <w:tcW w:w="625" w:type="pct"/>
            <w:vMerge w:val="continue"/>
            <w:vAlign w:val="center"/>
          </w:tcPr>
          <w:p w14:paraId="633188E1">
            <w:pPr>
              <w:widowControl/>
              <w:jc w:val="left"/>
              <w:rPr>
                <w:rFonts w:ascii="Times New Roman" w:hAnsi="Times New Roman" w:eastAsia="等线" w:cs="Times New Roman"/>
                <w:color w:val="000000"/>
                <w:kern w:val="0"/>
                <w:szCs w:val="21"/>
              </w:rPr>
            </w:pPr>
          </w:p>
        </w:tc>
      </w:tr>
      <w:tr w14:paraId="594DEB6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555A3553">
            <w:pPr>
              <w:widowControl/>
              <w:jc w:val="left"/>
              <w:rPr>
                <w:rFonts w:ascii="Times New Roman" w:hAnsi="Times New Roman" w:eastAsia="等线" w:cs="Times New Roman"/>
                <w:color w:val="000000"/>
                <w:kern w:val="0"/>
                <w:szCs w:val="21"/>
              </w:rPr>
            </w:pPr>
          </w:p>
        </w:tc>
        <w:tc>
          <w:tcPr>
            <w:tcW w:w="625" w:type="pct"/>
            <w:noWrap/>
            <w:vAlign w:val="center"/>
          </w:tcPr>
          <w:p w14:paraId="00BCA0E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C82</w:t>
            </w:r>
          </w:p>
        </w:tc>
        <w:tc>
          <w:tcPr>
            <w:tcW w:w="625" w:type="pct"/>
            <w:noWrap/>
            <w:vAlign w:val="center"/>
          </w:tcPr>
          <w:p w14:paraId="5F745E2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1.463 </w:t>
            </w:r>
          </w:p>
        </w:tc>
        <w:tc>
          <w:tcPr>
            <w:tcW w:w="625" w:type="pct"/>
            <w:noWrap/>
            <w:vAlign w:val="center"/>
          </w:tcPr>
          <w:p w14:paraId="0E4DFC6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0.021 </w:t>
            </w:r>
          </w:p>
        </w:tc>
        <w:tc>
          <w:tcPr>
            <w:tcW w:w="625" w:type="pct"/>
            <w:vMerge w:val="continue"/>
            <w:vAlign w:val="center"/>
          </w:tcPr>
          <w:p w14:paraId="60D7E93B">
            <w:pPr>
              <w:widowControl/>
              <w:jc w:val="left"/>
              <w:rPr>
                <w:rFonts w:ascii="Times New Roman" w:hAnsi="Times New Roman" w:eastAsia="等线" w:cs="Times New Roman"/>
                <w:color w:val="000000"/>
                <w:kern w:val="0"/>
                <w:szCs w:val="21"/>
              </w:rPr>
            </w:pPr>
          </w:p>
        </w:tc>
        <w:tc>
          <w:tcPr>
            <w:tcW w:w="625" w:type="pct"/>
            <w:vMerge w:val="continue"/>
            <w:vAlign w:val="center"/>
          </w:tcPr>
          <w:p w14:paraId="561B6E06">
            <w:pPr>
              <w:widowControl/>
              <w:jc w:val="left"/>
              <w:rPr>
                <w:rFonts w:ascii="Times New Roman" w:hAnsi="Times New Roman" w:eastAsia="等线" w:cs="Times New Roman"/>
                <w:color w:val="000000"/>
                <w:kern w:val="0"/>
                <w:szCs w:val="21"/>
              </w:rPr>
            </w:pPr>
          </w:p>
        </w:tc>
        <w:tc>
          <w:tcPr>
            <w:tcW w:w="625" w:type="pct"/>
            <w:vMerge w:val="continue"/>
            <w:vAlign w:val="center"/>
          </w:tcPr>
          <w:p w14:paraId="7558C41A">
            <w:pPr>
              <w:widowControl/>
              <w:jc w:val="left"/>
              <w:rPr>
                <w:rFonts w:ascii="Times New Roman" w:hAnsi="Times New Roman" w:eastAsia="等线" w:cs="Times New Roman"/>
                <w:color w:val="000000"/>
                <w:kern w:val="0"/>
                <w:szCs w:val="21"/>
              </w:rPr>
            </w:pPr>
          </w:p>
        </w:tc>
        <w:tc>
          <w:tcPr>
            <w:tcW w:w="625" w:type="pct"/>
            <w:vMerge w:val="continue"/>
            <w:vAlign w:val="center"/>
          </w:tcPr>
          <w:p w14:paraId="6968172C">
            <w:pPr>
              <w:widowControl/>
              <w:jc w:val="left"/>
              <w:rPr>
                <w:rFonts w:ascii="Times New Roman" w:hAnsi="Times New Roman" w:eastAsia="等线" w:cs="Times New Roman"/>
                <w:color w:val="000000"/>
                <w:kern w:val="0"/>
                <w:szCs w:val="21"/>
              </w:rPr>
            </w:pPr>
          </w:p>
        </w:tc>
      </w:tr>
      <w:tr w14:paraId="075781A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1D4C5790">
            <w:pPr>
              <w:widowControl/>
              <w:jc w:val="left"/>
              <w:rPr>
                <w:rFonts w:ascii="Times New Roman" w:hAnsi="Times New Roman" w:eastAsia="等线" w:cs="Times New Roman"/>
                <w:color w:val="000000"/>
                <w:kern w:val="0"/>
                <w:szCs w:val="21"/>
              </w:rPr>
            </w:pPr>
          </w:p>
        </w:tc>
        <w:tc>
          <w:tcPr>
            <w:tcW w:w="625" w:type="pct"/>
            <w:noWrap/>
            <w:vAlign w:val="center"/>
          </w:tcPr>
          <w:p w14:paraId="14C7E8E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H82</w:t>
            </w:r>
          </w:p>
        </w:tc>
        <w:tc>
          <w:tcPr>
            <w:tcW w:w="625" w:type="pct"/>
            <w:noWrap/>
            <w:vAlign w:val="center"/>
          </w:tcPr>
          <w:p w14:paraId="543FE67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3278AA8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5A322A2C">
            <w:pPr>
              <w:widowControl/>
              <w:jc w:val="left"/>
              <w:rPr>
                <w:rFonts w:ascii="Times New Roman" w:hAnsi="Times New Roman" w:eastAsia="等线" w:cs="Times New Roman"/>
                <w:color w:val="000000"/>
                <w:kern w:val="0"/>
                <w:szCs w:val="21"/>
              </w:rPr>
            </w:pPr>
          </w:p>
        </w:tc>
        <w:tc>
          <w:tcPr>
            <w:tcW w:w="625" w:type="pct"/>
            <w:vMerge w:val="continue"/>
            <w:vAlign w:val="center"/>
          </w:tcPr>
          <w:p w14:paraId="5188B7DE">
            <w:pPr>
              <w:widowControl/>
              <w:jc w:val="left"/>
              <w:rPr>
                <w:rFonts w:ascii="Times New Roman" w:hAnsi="Times New Roman" w:eastAsia="等线" w:cs="Times New Roman"/>
                <w:color w:val="000000"/>
                <w:kern w:val="0"/>
                <w:szCs w:val="21"/>
              </w:rPr>
            </w:pPr>
          </w:p>
        </w:tc>
        <w:tc>
          <w:tcPr>
            <w:tcW w:w="625" w:type="pct"/>
            <w:vMerge w:val="continue"/>
            <w:vAlign w:val="center"/>
          </w:tcPr>
          <w:p w14:paraId="0502B058">
            <w:pPr>
              <w:widowControl/>
              <w:jc w:val="left"/>
              <w:rPr>
                <w:rFonts w:ascii="Times New Roman" w:hAnsi="Times New Roman" w:eastAsia="等线" w:cs="Times New Roman"/>
                <w:color w:val="000000"/>
                <w:kern w:val="0"/>
                <w:szCs w:val="21"/>
              </w:rPr>
            </w:pPr>
          </w:p>
        </w:tc>
        <w:tc>
          <w:tcPr>
            <w:tcW w:w="625" w:type="pct"/>
            <w:vMerge w:val="continue"/>
            <w:vAlign w:val="center"/>
          </w:tcPr>
          <w:p w14:paraId="5333DAA3">
            <w:pPr>
              <w:widowControl/>
              <w:jc w:val="left"/>
              <w:rPr>
                <w:rFonts w:ascii="Times New Roman" w:hAnsi="Times New Roman" w:eastAsia="等线" w:cs="Times New Roman"/>
                <w:color w:val="000000"/>
                <w:kern w:val="0"/>
                <w:szCs w:val="21"/>
              </w:rPr>
            </w:pPr>
          </w:p>
        </w:tc>
      </w:tr>
      <w:tr w14:paraId="6B8B9B5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restart"/>
            <w:noWrap/>
            <w:vAlign w:val="center"/>
          </w:tcPr>
          <w:p w14:paraId="431670E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TFEO</w:t>
            </w:r>
          </w:p>
        </w:tc>
        <w:tc>
          <w:tcPr>
            <w:tcW w:w="625" w:type="pct"/>
            <w:noWrap/>
            <w:vAlign w:val="center"/>
          </w:tcPr>
          <w:p w14:paraId="4EF5804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H91</w:t>
            </w:r>
          </w:p>
        </w:tc>
        <w:tc>
          <w:tcPr>
            <w:tcW w:w="625" w:type="pct"/>
            <w:noWrap/>
            <w:vAlign w:val="center"/>
          </w:tcPr>
          <w:p w14:paraId="3B47903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4373849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restart"/>
            <w:noWrap/>
            <w:vAlign w:val="center"/>
          </w:tcPr>
          <w:p w14:paraId="41B15D3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15.868 </w:t>
            </w:r>
          </w:p>
        </w:tc>
        <w:tc>
          <w:tcPr>
            <w:tcW w:w="625" w:type="pct"/>
            <w:vMerge w:val="restart"/>
            <w:noWrap/>
            <w:vAlign w:val="center"/>
          </w:tcPr>
          <w:p w14:paraId="4C518C6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0.193 </w:t>
            </w:r>
          </w:p>
        </w:tc>
        <w:tc>
          <w:tcPr>
            <w:tcW w:w="625" w:type="pct"/>
            <w:vMerge w:val="restart"/>
            <w:noWrap/>
            <w:vAlign w:val="center"/>
          </w:tcPr>
          <w:p w14:paraId="6F831BB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3.0725 </w:t>
            </w:r>
          </w:p>
        </w:tc>
        <w:tc>
          <w:tcPr>
            <w:tcW w:w="625" w:type="pct"/>
            <w:vMerge w:val="restart"/>
            <w:noWrap/>
            <w:vAlign w:val="center"/>
          </w:tcPr>
          <w:p w14:paraId="13CAF0F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0.6854 </w:t>
            </w:r>
          </w:p>
        </w:tc>
      </w:tr>
      <w:tr w14:paraId="270C09C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65D2F706">
            <w:pPr>
              <w:widowControl/>
              <w:jc w:val="left"/>
              <w:rPr>
                <w:rFonts w:ascii="Times New Roman" w:hAnsi="Times New Roman" w:eastAsia="等线" w:cs="Times New Roman"/>
                <w:color w:val="000000"/>
                <w:kern w:val="0"/>
                <w:szCs w:val="21"/>
              </w:rPr>
            </w:pPr>
          </w:p>
        </w:tc>
        <w:tc>
          <w:tcPr>
            <w:tcW w:w="625" w:type="pct"/>
            <w:noWrap/>
            <w:vAlign w:val="center"/>
          </w:tcPr>
          <w:p w14:paraId="695B97C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C91</w:t>
            </w:r>
          </w:p>
        </w:tc>
        <w:tc>
          <w:tcPr>
            <w:tcW w:w="625" w:type="pct"/>
            <w:noWrap/>
            <w:vAlign w:val="center"/>
          </w:tcPr>
          <w:p w14:paraId="79DB0ED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1.555 </w:t>
            </w:r>
          </w:p>
        </w:tc>
        <w:tc>
          <w:tcPr>
            <w:tcW w:w="625" w:type="pct"/>
            <w:noWrap/>
            <w:vAlign w:val="center"/>
          </w:tcPr>
          <w:p w14:paraId="63D4AAD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0.023 </w:t>
            </w:r>
          </w:p>
        </w:tc>
        <w:tc>
          <w:tcPr>
            <w:tcW w:w="625" w:type="pct"/>
            <w:vMerge w:val="continue"/>
            <w:vAlign w:val="center"/>
          </w:tcPr>
          <w:p w14:paraId="70A9D8A2">
            <w:pPr>
              <w:widowControl/>
              <w:jc w:val="left"/>
              <w:rPr>
                <w:rFonts w:ascii="Times New Roman" w:hAnsi="Times New Roman" w:eastAsia="等线" w:cs="Times New Roman"/>
                <w:color w:val="000000"/>
                <w:kern w:val="0"/>
                <w:szCs w:val="21"/>
              </w:rPr>
            </w:pPr>
          </w:p>
        </w:tc>
        <w:tc>
          <w:tcPr>
            <w:tcW w:w="625" w:type="pct"/>
            <w:vMerge w:val="continue"/>
            <w:vAlign w:val="center"/>
          </w:tcPr>
          <w:p w14:paraId="3EE8AE58">
            <w:pPr>
              <w:widowControl/>
              <w:jc w:val="left"/>
              <w:rPr>
                <w:rFonts w:ascii="Times New Roman" w:hAnsi="Times New Roman" w:eastAsia="等线" w:cs="Times New Roman"/>
                <w:color w:val="000000"/>
                <w:kern w:val="0"/>
                <w:szCs w:val="21"/>
              </w:rPr>
            </w:pPr>
          </w:p>
        </w:tc>
        <w:tc>
          <w:tcPr>
            <w:tcW w:w="625" w:type="pct"/>
            <w:vMerge w:val="continue"/>
            <w:vAlign w:val="center"/>
          </w:tcPr>
          <w:p w14:paraId="7F754A98">
            <w:pPr>
              <w:widowControl/>
              <w:jc w:val="left"/>
              <w:rPr>
                <w:rFonts w:ascii="Times New Roman" w:hAnsi="Times New Roman" w:eastAsia="等线" w:cs="Times New Roman"/>
                <w:color w:val="000000"/>
                <w:kern w:val="0"/>
                <w:szCs w:val="21"/>
              </w:rPr>
            </w:pPr>
          </w:p>
        </w:tc>
        <w:tc>
          <w:tcPr>
            <w:tcW w:w="625" w:type="pct"/>
            <w:vMerge w:val="continue"/>
            <w:vAlign w:val="center"/>
          </w:tcPr>
          <w:p w14:paraId="51BBA73F">
            <w:pPr>
              <w:widowControl/>
              <w:jc w:val="left"/>
              <w:rPr>
                <w:rFonts w:ascii="Times New Roman" w:hAnsi="Times New Roman" w:eastAsia="等线" w:cs="Times New Roman"/>
                <w:color w:val="000000"/>
                <w:kern w:val="0"/>
                <w:szCs w:val="21"/>
              </w:rPr>
            </w:pPr>
          </w:p>
        </w:tc>
      </w:tr>
      <w:tr w14:paraId="2773CF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13E10F96">
            <w:pPr>
              <w:widowControl/>
              <w:jc w:val="left"/>
              <w:rPr>
                <w:rFonts w:ascii="Times New Roman" w:hAnsi="Times New Roman" w:eastAsia="等线" w:cs="Times New Roman"/>
                <w:color w:val="000000"/>
                <w:kern w:val="0"/>
                <w:szCs w:val="21"/>
              </w:rPr>
            </w:pPr>
          </w:p>
        </w:tc>
        <w:tc>
          <w:tcPr>
            <w:tcW w:w="625" w:type="pct"/>
            <w:noWrap/>
            <w:vAlign w:val="center"/>
          </w:tcPr>
          <w:p w14:paraId="3C1FA89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C92</w:t>
            </w:r>
          </w:p>
        </w:tc>
        <w:tc>
          <w:tcPr>
            <w:tcW w:w="625" w:type="pct"/>
            <w:noWrap/>
            <w:vAlign w:val="center"/>
          </w:tcPr>
          <w:p w14:paraId="25944E9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1.172 </w:t>
            </w:r>
          </w:p>
        </w:tc>
        <w:tc>
          <w:tcPr>
            <w:tcW w:w="625" w:type="pct"/>
            <w:noWrap/>
            <w:vAlign w:val="center"/>
          </w:tcPr>
          <w:p w14:paraId="4597387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0.014 </w:t>
            </w:r>
          </w:p>
        </w:tc>
        <w:tc>
          <w:tcPr>
            <w:tcW w:w="625" w:type="pct"/>
            <w:vMerge w:val="continue"/>
            <w:vAlign w:val="center"/>
          </w:tcPr>
          <w:p w14:paraId="555D1520">
            <w:pPr>
              <w:widowControl/>
              <w:jc w:val="left"/>
              <w:rPr>
                <w:rFonts w:ascii="Times New Roman" w:hAnsi="Times New Roman" w:eastAsia="等线" w:cs="Times New Roman"/>
                <w:color w:val="000000"/>
                <w:kern w:val="0"/>
                <w:szCs w:val="21"/>
              </w:rPr>
            </w:pPr>
          </w:p>
        </w:tc>
        <w:tc>
          <w:tcPr>
            <w:tcW w:w="625" w:type="pct"/>
            <w:vMerge w:val="continue"/>
            <w:vAlign w:val="center"/>
          </w:tcPr>
          <w:p w14:paraId="6F0050CD">
            <w:pPr>
              <w:widowControl/>
              <w:jc w:val="left"/>
              <w:rPr>
                <w:rFonts w:ascii="Times New Roman" w:hAnsi="Times New Roman" w:eastAsia="等线" w:cs="Times New Roman"/>
                <w:color w:val="000000"/>
                <w:kern w:val="0"/>
                <w:szCs w:val="21"/>
              </w:rPr>
            </w:pPr>
          </w:p>
        </w:tc>
        <w:tc>
          <w:tcPr>
            <w:tcW w:w="625" w:type="pct"/>
            <w:vMerge w:val="continue"/>
            <w:vAlign w:val="center"/>
          </w:tcPr>
          <w:p w14:paraId="7A28C30D">
            <w:pPr>
              <w:widowControl/>
              <w:jc w:val="left"/>
              <w:rPr>
                <w:rFonts w:ascii="Times New Roman" w:hAnsi="Times New Roman" w:eastAsia="等线" w:cs="Times New Roman"/>
                <w:color w:val="000000"/>
                <w:kern w:val="0"/>
                <w:szCs w:val="21"/>
              </w:rPr>
            </w:pPr>
          </w:p>
        </w:tc>
        <w:tc>
          <w:tcPr>
            <w:tcW w:w="625" w:type="pct"/>
            <w:vMerge w:val="continue"/>
            <w:vAlign w:val="center"/>
          </w:tcPr>
          <w:p w14:paraId="08CFD039">
            <w:pPr>
              <w:widowControl/>
              <w:jc w:val="left"/>
              <w:rPr>
                <w:rFonts w:ascii="Times New Roman" w:hAnsi="Times New Roman" w:eastAsia="等线" w:cs="Times New Roman"/>
                <w:color w:val="000000"/>
                <w:kern w:val="0"/>
                <w:szCs w:val="21"/>
              </w:rPr>
            </w:pPr>
          </w:p>
        </w:tc>
      </w:tr>
      <w:tr w14:paraId="06F615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20FEAFA5">
            <w:pPr>
              <w:widowControl/>
              <w:jc w:val="left"/>
              <w:rPr>
                <w:rFonts w:ascii="Times New Roman" w:hAnsi="Times New Roman" w:eastAsia="等线" w:cs="Times New Roman"/>
                <w:color w:val="000000"/>
                <w:kern w:val="0"/>
                <w:szCs w:val="21"/>
              </w:rPr>
            </w:pPr>
          </w:p>
        </w:tc>
        <w:tc>
          <w:tcPr>
            <w:tcW w:w="625" w:type="pct"/>
            <w:noWrap/>
            <w:vAlign w:val="center"/>
          </w:tcPr>
          <w:p w14:paraId="65A5102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O91</w:t>
            </w:r>
          </w:p>
        </w:tc>
        <w:tc>
          <w:tcPr>
            <w:tcW w:w="625" w:type="pct"/>
            <w:noWrap/>
            <w:vAlign w:val="center"/>
          </w:tcPr>
          <w:p w14:paraId="08697F6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0.568 </w:t>
            </w:r>
          </w:p>
        </w:tc>
        <w:tc>
          <w:tcPr>
            <w:tcW w:w="625" w:type="pct"/>
            <w:noWrap/>
            <w:vAlign w:val="center"/>
          </w:tcPr>
          <w:p w14:paraId="5248BCE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0.008 </w:t>
            </w:r>
          </w:p>
        </w:tc>
        <w:tc>
          <w:tcPr>
            <w:tcW w:w="625" w:type="pct"/>
            <w:vMerge w:val="continue"/>
            <w:vAlign w:val="center"/>
          </w:tcPr>
          <w:p w14:paraId="4B84A045">
            <w:pPr>
              <w:widowControl/>
              <w:jc w:val="left"/>
              <w:rPr>
                <w:rFonts w:ascii="Times New Roman" w:hAnsi="Times New Roman" w:eastAsia="等线" w:cs="Times New Roman"/>
                <w:color w:val="000000"/>
                <w:kern w:val="0"/>
                <w:szCs w:val="21"/>
              </w:rPr>
            </w:pPr>
          </w:p>
        </w:tc>
        <w:tc>
          <w:tcPr>
            <w:tcW w:w="625" w:type="pct"/>
            <w:vMerge w:val="continue"/>
            <w:vAlign w:val="center"/>
          </w:tcPr>
          <w:p w14:paraId="3A055E8B">
            <w:pPr>
              <w:widowControl/>
              <w:jc w:val="left"/>
              <w:rPr>
                <w:rFonts w:ascii="Times New Roman" w:hAnsi="Times New Roman" w:eastAsia="等线" w:cs="Times New Roman"/>
                <w:color w:val="000000"/>
                <w:kern w:val="0"/>
                <w:szCs w:val="21"/>
              </w:rPr>
            </w:pPr>
          </w:p>
        </w:tc>
        <w:tc>
          <w:tcPr>
            <w:tcW w:w="625" w:type="pct"/>
            <w:vMerge w:val="continue"/>
            <w:vAlign w:val="center"/>
          </w:tcPr>
          <w:p w14:paraId="7B08CE6A">
            <w:pPr>
              <w:widowControl/>
              <w:jc w:val="left"/>
              <w:rPr>
                <w:rFonts w:ascii="Times New Roman" w:hAnsi="Times New Roman" w:eastAsia="等线" w:cs="Times New Roman"/>
                <w:color w:val="000000"/>
                <w:kern w:val="0"/>
                <w:szCs w:val="21"/>
              </w:rPr>
            </w:pPr>
          </w:p>
        </w:tc>
        <w:tc>
          <w:tcPr>
            <w:tcW w:w="625" w:type="pct"/>
            <w:vMerge w:val="continue"/>
            <w:vAlign w:val="center"/>
          </w:tcPr>
          <w:p w14:paraId="1BE3A322">
            <w:pPr>
              <w:widowControl/>
              <w:jc w:val="left"/>
              <w:rPr>
                <w:rFonts w:ascii="Times New Roman" w:hAnsi="Times New Roman" w:eastAsia="等线" w:cs="Times New Roman"/>
                <w:color w:val="000000"/>
                <w:kern w:val="0"/>
                <w:szCs w:val="21"/>
              </w:rPr>
            </w:pPr>
          </w:p>
        </w:tc>
      </w:tr>
      <w:tr w14:paraId="45867A3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2994B122">
            <w:pPr>
              <w:widowControl/>
              <w:jc w:val="left"/>
              <w:rPr>
                <w:rFonts w:ascii="Times New Roman" w:hAnsi="Times New Roman" w:eastAsia="等线" w:cs="Times New Roman"/>
                <w:color w:val="000000"/>
                <w:kern w:val="0"/>
                <w:szCs w:val="21"/>
              </w:rPr>
            </w:pPr>
          </w:p>
        </w:tc>
        <w:tc>
          <w:tcPr>
            <w:tcW w:w="625" w:type="pct"/>
            <w:noWrap/>
            <w:vAlign w:val="center"/>
          </w:tcPr>
          <w:p w14:paraId="485C36A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F91</w:t>
            </w:r>
          </w:p>
        </w:tc>
        <w:tc>
          <w:tcPr>
            <w:tcW w:w="625" w:type="pct"/>
            <w:noWrap/>
            <w:vAlign w:val="center"/>
          </w:tcPr>
          <w:p w14:paraId="14A95B3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0.410 </w:t>
            </w:r>
          </w:p>
        </w:tc>
        <w:tc>
          <w:tcPr>
            <w:tcW w:w="625" w:type="pct"/>
            <w:noWrap/>
            <w:vAlign w:val="center"/>
          </w:tcPr>
          <w:p w14:paraId="401D2FD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0.005 </w:t>
            </w:r>
          </w:p>
        </w:tc>
        <w:tc>
          <w:tcPr>
            <w:tcW w:w="625" w:type="pct"/>
            <w:vMerge w:val="continue"/>
            <w:vAlign w:val="center"/>
          </w:tcPr>
          <w:p w14:paraId="3AC00871">
            <w:pPr>
              <w:widowControl/>
              <w:jc w:val="left"/>
              <w:rPr>
                <w:rFonts w:ascii="Times New Roman" w:hAnsi="Times New Roman" w:eastAsia="等线" w:cs="Times New Roman"/>
                <w:color w:val="000000"/>
                <w:kern w:val="0"/>
                <w:szCs w:val="21"/>
              </w:rPr>
            </w:pPr>
          </w:p>
        </w:tc>
        <w:tc>
          <w:tcPr>
            <w:tcW w:w="625" w:type="pct"/>
            <w:vMerge w:val="continue"/>
            <w:vAlign w:val="center"/>
          </w:tcPr>
          <w:p w14:paraId="7410B4A2">
            <w:pPr>
              <w:widowControl/>
              <w:jc w:val="left"/>
              <w:rPr>
                <w:rFonts w:ascii="Times New Roman" w:hAnsi="Times New Roman" w:eastAsia="等线" w:cs="Times New Roman"/>
                <w:color w:val="000000"/>
                <w:kern w:val="0"/>
                <w:szCs w:val="21"/>
              </w:rPr>
            </w:pPr>
          </w:p>
        </w:tc>
        <w:tc>
          <w:tcPr>
            <w:tcW w:w="625" w:type="pct"/>
            <w:vMerge w:val="continue"/>
            <w:vAlign w:val="center"/>
          </w:tcPr>
          <w:p w14:paraId="3FEEA609">
            <w:pPr>
              <w:widowControl/>
              <w:jc w:val="left"/>
              <w:rPr>
                <w:rFonts w:ascii="Times New Roman" w:hAnsi="Times New Roman" w:eastAsia="等线" w:cs="Times New Roman"/>
                <w:color w:val="000000"/>
                <w:kern w:val="0"/>
                <w:szCs w:val="21"/>
              </w:rPr>
            </w:pPr>
          </w:p>
        </w:tc>
        <w:tc>
          <w:tcPr>
            <w:tcW w:w="625" w:type="pct"/>
            <w:vMerge w:val="continue"/>
            <w:vAlign w:val="center"/>
          </w:tcPr>
          <w:p w14:paraId="4164726C">
            <w:pPr>
              <w:widowControl/>
              <w:jc w:val="left"/>
              <w:rPr>
                <w:rFonts w:ascii="Times New Roman" w:hAnsi="Times New Roman" w:eastAsia="等线" w:cs="Times New Roman"/>
                <w:color w:val="000000"/>
                <w:kern w:val="0"/>
                <w:szCs w:val="21"/>
              </w:rPr>
            </w:pPr>
          </w:p>
        </w:tc>
      </w:tr>
      <w:tr w14:paraId="3EB9AE4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530A854A">
            <w:pPr>
              <w:widowControl/>
              <w:jc w:val="left"/>
              <w:rPr>
                <w:rFonts w:ascii="Times New Roman" w:hAnsi="Times New Roman" w:eastAsia="等线" w:cs="Times New Roman"/>
                <w:color w:val="000000"/>
                <w:kern w:val="0"/>
                <w:szCs w:val="21"/>
              </w:rPr>
            </w:pPr>
          </w:p>
        </w:tc>
        <w:tc>
          <w:tcPr>
            <w:tcW w:w="625" w:type="pct"/>
            <w:noWrap/>
            <w:vAlign w:val="center"/>
          </w:tcPr>
          <w:p w14:paraId="55A8396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C93</w:t>
            </w:r>
          </w:p>
        </w:tc>
        <w:tc>
          <w:tcPr>
            <w:tcW w:w="625" w:type="pct"/>
            <w:noWrap/>
            <w:vAlign w:val="center"/>
          </w:tcPr>
          <w:p w14:paraId="31AF163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1.359 </w:t>
            </w:r>
          </w:p>
        </w:tc>
        <w:tc>
          <w:tcPr>
            <w:tcW w:w="625" w:type="pct"/>
            <w:noWrap/>
            <w:vAlign w:val="center"/>
          </w:tcPr>
          <w:p w14:paraId="24F4D24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0.014 </w:t>
            </w:r>
          </w:p>
        </w:tc>
        <w:tc>
          <w:tcPr>
            <w:tcW w:w="625" w:type="pct"/>
            <w:vMerge w:val="continue"/>
            <w:vAlign w:val="center"/>
          </w:tcPr>
          <w:p w14:paraId="5F3345B4">
            <w:pPr>
              <w:widowControl/>
              <w:jc w:val="left"/>
              <w:rPr>
                <w:rFonts w:ascii="Times New Roman" w:hAnsi="Times New Roman" w:eastAsia="等线" w:cs="Times New Roman"/>
                <w:color w:val="000000"/>
                <w:kern w:val="0"/>
                <w:szCs w:val="21"/>
              </w:rPr>
            </w:pPr>
          </w:p>
        </w:tc>
        <w:tc>
          <w:tcPr>
            <w:tcW w:w="625" w:type="pct"/>
            <w:vMerge w:val="continue"/>
            <w:vAlign w:val="center"/>
          </w:tcPr>
          <w:p w14:paraId="4D0603C6">
            <w:pPr>
              <w:widowControl/>
              <w:jc w:val="left"/>
              <w:rPr>
                <w:rFonts w:ascii="Times New Roman" w:hAnsi="Times New Roman" w:eastAsia="等线" w:cs="Times New Roman"/>
                <w:color w:val="000000"/>
                <w:kern w:val="0"/>
                <w:szCs w:val="21"/>
              </w:rPr>
            </w:pPr>
          </w:p>
        </w:tc>
        <w:tc>
          <w:tcPr>
            <w:tcW w:w="625" w:type="pct"/>
            <w:vMerge w:val="continue"/>
            <w:vAlign w:val="center"/>
          </w:tcPr>
          <w:p w14:paraId="7ACBA6A8">
            <w:pPr>
              <w:widowControl/>
              <w:jc w:val="left"/>
              <w:rPr>
                <w:rFonts w:ascii="Times New Roman" w:hAnsi="Times New Roman" w:eastAsia="等线" w:cs="Times New Roman"/>
                <w:color w:val="000000"/>
                <w:kern w:val="0"/>
                <w:szCs w:val="21"/>
              </w:rPr>
            </w:pPr>
          </w:p>
        </w:tc>
        <w:tc>
          <w:tcPr>
            <w:tcW w:w="625" w:type="pct"/>
            <w:vMerge w:val="continue"/>
            <w:vAlign w:val="center"/>
          </w:tcPr>
          <w:p w14:paraId="71C5722A">
            <w:pPr>
              <w:widowControl/>
              <w:jc w:val="left"/>
              <w:rPr>
                <w:rFonts w:ascii="Times New Roman" w:hAnsi="Times New Roman" w:eastAsia="等线" w:cs="Times New Roman"/>
                <w:color w:val="000000"/>
                <w:kern w:val="0"/>
                <w:szCs w:val="21"/>
              </w:rPr>
            </w:pPr>
          </w:p>
        </w:tc>
      </w:tr>
      <w:tr w14:paraId="6677667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25" w:type="pct"/>
            <w:vMerge w:val="continue"/>
            <w:vAlign w:val="center"/>
          </w:tcPr>
          <w:p w14:paraId="745F4E07">
            <w:pPr>
              <w:widowControl/>
              <w:jc w:val="left"/>
              <w:rPr>
                <w:rFonts w:ascii="Times New Roman" w:hAnsi="Times New Roman" w:eastAsia="等线" w:cs="Times New Roman"/>
                <w:color w:val="000000"/>
                <w:kern w:val="0"/>
                <w:szCs w:val="21"/>
              </w:rPr>
            </w:pPr>
          </w:p>
        </w:tc>
        <w:tc>
          <w:tcPr>
            <w:tcW w:w="625" w:type="pct"/>
            <w:noWrap/>
            <w:vAlign w:val="center"/>
          </w:tcPr>
          <w:p w14:paraId="07414EE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H92</w:t>
            </w:r>
          </w:p>
        </w:tc>
        <w:tc>
          <w:tcPr>
            <w:tcW w:w="625" w:type="pct"/>
            <w:noWrap/>
            <w:vAlign w:val="center"/>
          </w:tcPr>
          <w:p w14:paraId="6F7C4D7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0.134 </w:t>
            </w:r>
          </w:p>
        </w:tc>
        <w:tc>
          <w:tcPr>
            <w:tcW w:w="625" w:type="pct"/>
            <w:noWrap/>
            <w:vAlign w:val="center"/>
          </w:tcPr>
          <w:p w14:paraId="0EB53A8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 </w:t>
            </w:r>
          </w:p>
        </w:tc>
        <w:tc>
          <w:tcPr>
            <w:tcW w:w="625" w:type="pct"/>
            <w:vMerge w:val="continue"/>
            <w:vAlign w:val="center"/>
          </w:tcPr>
          <w:p w14:paraId="59942F87">
            <w:pPr>
              <w:widowControl/>
              <w:jc w:val="left"/>
              <w:rPr>
                <w:rFonts w:ascii="Times New Roman" w:hAnsi="Times New Roman" w:eastAsia="等线" w:cs="Times New Roman"/>
                <w:color w:val="000000"/>
                <w:kern w:val="0"/>
                <w:szCs w:val="21"/>
              </w:rPr>
            </w:pPr>
          </w:p>
        </w:tc>
        <w:tc>
          <w:tcPr>
            <w:tcW w:w="625" w:type="pct"/>
            <w:vMerge w:val="continue"/>
            <w:vAlign w:val="center"/>
          </w:tcPr>
          <w:p w14:paraId="24F034FF">
            <w:pPr>
              <w:widowControl/>
              <w:jc w:val="left"/>
              <w:rPr>
                <w:rFonts w:ascii="Times New Roman" w:hAnsi="Times New Roman" w:eastAsia="等线" w:cs="Times New Roman"/>
                <w:color w:val="000000"/>
                <w:kern w:val="0"/>
                <w:szCs w:val="21"/>
              </w:rPr>
            </w:pPr>
          </w:p>
        </w:tc>
        <w:tc>
          <w:tcPr>
            <w:tcW w:w="625" w:type="pct"/>
            <w:vMerge w:val="continue"/>
            <w:vAlign w:val="center"/>
          </w:tcPr>
          <w:p w14:paraId="2E2DE425">
            <w:pPr>
              <w:widowControl/>
              <w:jc w:val="left"/>
              <w:rPr>
                <w:rFonts w:ascii="Times New Roman" w:hAnsi="Times New Roman" w:eastAsia="等线" w:cs="Times New Roman"/>
                <w:color w:val="000000"/>
                <w:kern w:val="0"/>
                <w:szCs w:val="21"/>
              </w:rPr>
            </w:pPr>
          </w:p>
        </w:tc>
        <w:tc>
          <w:tcPr>
            <w:tcW w:w="625" w:type="pct"/>
            <w:vMerge w:val="continue"/>
            <w:vAlign w:val="center"/>
          </w:tcPr>
          <w:p w14:paraId="31961A30">
            <w:pPr>
              <w:widowControl/>
              <w:jc w:val="left"/>
              <w:rPr>
                <w:rFonts w:ascii="Times New Roman" w:hAnsi="Times New Roman" w:eastAsia="等线" w:cs="Times New Roman"/>
                <w:color w:val="000000"/>
                <w:kern w:val="0"/>
                <w:szCs w:val="21"/>
              </w:rPr>
            </w:pPr>
          </w:p>
        </w:tc>
      </w:tr>
    </w:tbl>
    <w:p w14:paraId="58E14FC3">
      <w:pPr>
        <w:widowControl/>
        <w:jc w:val="left"/>
        <w:rPr>
          <w:rFonts w:ascii="Times New Roman" w:hAnsi="Times New Roman" w:cs="Times New Roman"/>
          <w:b/>
          <w:bCs/>
          <w:sz w:val="24"/>
          <w:szCs w:val="21"/>
        </w:rPr>
      </w:pPr>
    </w:p>
    <w:p w14:paraId="0DA405C9">
      <w:pPr>
        <w:widowControl/>
        <w:jc w:val="left"/>
        <w:rPr>
          <w:rFonts w:ascii="Times New Roman" w:hAnsi="Times New Roman" w:cs="Times New Roman"/>
          <w:b/>
          <w:bCs/>
          <w:sz w:val="24"/>
          <w:szCs w:val="21"/>
        </w:rPr>
      </w:pPr>
      <w:r>
        <w:rPr>
          <w:rFonts w:ascii="Times New Roman" w:hAnsi="Times New Roman" w:cs="Times New Roman"/>
          <w:b/>
          <w:bCs/>
          <w:sz w:val="24"/>
          <w:szCs w:val="21"/>
        </w:rPr>
        <w:br w:type="page"/>
      </w:r>
    </w:p>
    <w:p w14:paraId="687E95DB">
      <w:pPr>
        <w:widowControl/>
        <w:adjustRightInd w:val="0"/>
        <w:snapToGrid w:val="0"/>
        <w:spacing w:after="156" w:afterLines="50" w:line="360" w:lineRule="auto"/>
        <w:rPr>
          <w:rFonts w:ascii="Times New Roman" w:hAnsi="Times New Roman" w:cs="Times New Roman"/>
          <w:sz w:val="24"/>
          <w:szCs w:val="24"/>
        </w:rPr>
      </w:pPr>
      <w:bookmarkStart w:id="22" w:name="_Toc221108144"/>
      <w:r>
        <w:rPr>
          <w:rStyle w:val="27"/>
          <w:rFonts w:cs="Times New Roman"/>
        </w:rPr>
        <w:t>Supplementary Table 10 | OPLS&amp;Pol parameters: equilibrium distances and LJ scaling factors.</w:t>
      </w:r>
      <w:bookmarkEnd w:id="22"/>
      <w:r>
        <w:rPr>
          <w:rStyle w:val="27"/>
          <w:rFonts w:cs="Times New Roman"/>
        </w:rPr>
        <w:t xml:space="preserve"> </w:t>
      </w:r>
      <w:r>
        <w:rPr>
          <w:rFonts w:ascii="Times New Roman" w:hAnsi="Times New Roman" w:cs="Times New Roman"/>
          <w:sz w:val="24"/>
          <w:szCs w:val="24"/>
        </w:rPr>
        <w:t>The listed parameters include equilibrium center-of-mass distances (</w:t>
      </w:r>
      <w:r>
        <w:rPr>
          <w:rFonts w:ascii="Times New Roman" w:hAnsi="Times New Roman" w:cs="Times New Roman"/>
          <w:i/>
          <w:iCs/>
          <w:sz w:val="24"/>
          <w:szCs w:val="24"/>
        </w:rPr>
        <w:t>r</w:t>
      </w:r>
      <w:r>
        <w:rPr>
          <w:rFonts w:ascii="Times New Roman" w:hAnsi="Times New Roman" w:cs="Times New Roman"/>
          <w:sz w:val="24"/>
          <w:szCs w:val="24"/>
          <w:vertAlign w:val="subscript"/>
        </w:rPr>
        <w:t>CoM</w:t>
      </w:r>
      <w:r>
        <w:rPr>
          <w:rFonts w:ascii="Times New Roman" w:hAnsi="Times New Roman" w:cs="Times New Roman"/>
          <w:sz w:val="24"/>
          <w:szCs w:val="24"/>
        </w:rPr>
        <w:t>), and LJ scaling coefficients (</w:t>
      </w:r>
      <w:r>
        <w:rPr>
          <w:rFonts w:ascii="Times New Roman" w:hAnsi="Times New Roman" w:cs="Times New Roman"/>
          <w:i/>
          <w:iCs/>
          <w:sz w:val="24"/>
          <w:szCs w:val="24"/>
        </w:rPr>
        <w:t>K</w:t>
      </w:r>
      <w:r>
        <w:rPr>
          <w:rFonts w:ascii="Times New Roman" w:hAnsi="Times New Roman" w:cs="Times New Roman"/>
          <w:sz w:val="24"/>
          <w:szCs w:val="24"/>
          <w:vertAlign w:val="subscript"/>
        </w:rPr>
        <w:t>LJ</w:t>
      </w:r>
      <w:r>
        <w:rPr>
          <w:rFonts w:ascii="Times New Roman" w:hAnsi="Times New Roman" w:cs="Times New Roman"/>
          <w:sz w:val="24"/>
          <w:szCs w:val="24"/>
        </w:rPr>
        <w:t>) for the electrolyte components established in this work. SD denotes the standard deviation.</w:t>
      </w: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083"/>
        <w:gridCol w:w="2347"/>
        <w:gridCol w:w="1108"/>
        <w:gridCol w:w="1110"/>
        <w:gridCol w:w="1108"/>
        <w:gridCol w:w="1108"/>
      </w:tblGrid>
      <w:tr w14:paraId="4486C56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2498" w:type="pct"/>
            <w:gridSpan w:val="2"/>
            <w:noWrap/>
            <w:vAlign w:val="center"/>
          </w:tcPr>
          <w:p w14:paraId="5B47E858">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Species Pair</w:t>
            </w:r>
          </w:p>
        </w:tc>
        <w:tc>
          <w:tcPr>
            <w:tcW w:w="1251" w:type="pct"/>
            <w:gridSpan w:val="2"/>
            <w:vAlign w:val="center"/>
          </w:tcPr>
          <w:p w14:paraId="70A9667C">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r</w:t>
            </w:r>
            <w:r>
              <w:rPr>
                <w:rFonts w:ascii="Times New Roman" w:hAnsi="Times New Roman" w:eastAsia="等线" w:cs="Times New Roman"/>
                <w:b/>
                <w:bCs/>
                <w:color w:val="000000"/>
                <w:kern w:val="0"/>
                <w:szCs w:val="21"/>
                <w:vertAlign w:val="subscript"/>
              </w:rPr>
              <w:t>CoM</w:t>
            </w:r>
            <w:r>
              <w:rPr>
                <w:rFonts w:ascii="Times New Roman" w:hAnsi="Times New Roman" w:eastAsia="等线" w:cs="Times New Roman"/>
                <w:b/>
                <w:bCs/>
                <w:color w:val="000000"/>
                <w:kern w:val="0"/>
                <w:szCs w:val="21"/>
              </w:rPr>
              <w:t xml:space="preserve"> (Å)</w:t>
            </w:r>
          </w:p>
        </w:tc>
        <w:tc>
          <w:tcPr>
            <w:tcW w:w="1251" w:type="pct"/>
            <w:gridSpan w:val="2"/>
            <w:vAlign w:val="center"/>
          </w:tcPr>
          <w:p w14:paraId="2DCDA02E">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K</w:t>
            </w:r>
            <w:r>
              <w:rPr>
                <w:rFonts w:ascii="Times New Roman" w:hAnsi="Times New Roman" w:eastAsia="等线" w:cs="Times New Roman"/>
                <w:b/>
                <w:bCs/>
                <w:color w:val="000000"/>
                <w:kern w:val="0"/>
                <w:szCs w:val="21"/>
                <w:vertAlign w:val="subscript"/>
              </w:rPr>
              <w:t>LJ</w:t>
            </w:r>
          </w:p>
        </w:tc>
      </w:tr>
      <w:tr w14:paraId="6739CAB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014EC45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Species 1</w:t>
            </w:r>
          </w:p>
        </w:tc>
        <w:tc>
          <w:tcPr>
            <w:tcW w:w="1324" w:type="pct"/>
            <w:noWrap/>
            <w:vAlign w:val="center"/>
          </w:tcPr>
          <w:p w14:paraId="45CF675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Species 2</w:t>
            </w:r>
          </w:p>
        </w:tc>
        <w:tc>
          <w:tcPr>
            <w:tcW w:w="625" w:type="pct"/>
            <w:vAlign w:val="center"/>
          </w:tcPr>
          <w:p w14:paraId="40BB783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26" w:type="pct"/>
            <w:vAlign w:val="center"/>
          </w:tcPr>
          <w:p w14:paraId="73001A4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c>
          <w:tcPr>
            <w:tcW w:w="625" w:type="pct"/>
            <w:vAlign w:val="center"/>
          </w:tcPr>
          <w:p w14:paraId="65FD853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25" w:type="pct"/>
            <w:vAlign w:val="center"/>
          </w:tcPr>
          <w:p w14:paraId="49EB697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r>
      <w:tr w14:paraId="6E78B17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2F22386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4ED9A4A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FSI</w:t>
            </w:r>
            <w:r>
              <w:rPr>
                <w:rFonts w:ascii="Times New Roman" w:hAnsi="Times New Roman" w:eastAsia="等线" w:cs="Times New Roman"/>
                <w:color w:val="000000"/>
                <w:kern w:val="0"/>
                <w:szCs w:val="21"/>
                <w:vertAlign w:val="superscript"/>
              </w:rPr>
              <w:t>-</w:t>
            </w:r>
          </w:p>
        </w:tc>
        <w:tc>
          <w:tcPr>
            <w:tcW w:w="625" w:type="pct"/>
            <w:noWrap/>
            <w:vAlign w:val="center"/>
          </w:tcPr>
          <w:p w14:paraId="0E8F469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2.8245 </w:t>
            </w:r>
          </w:p>
        </w:tc>
        <w:tc>
          <w:tcPr>
            <w:tcW w:w="626" w:type="pct"/>
            <w:noWrap/>
            <w:vAlign w:val="center"/>
          </w:tcPr>
          <w:p w14:paraId="2994864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0.0177 </w:t>
            </w:r>
          </w:p>
        </w:tc>
        <w:tc>
          <w:tcPr>
            <w:tcW w:w="625" w:type="pct"/>
            <w:vMerge w:val="restart"/>
            <w:noWrap/>
            <w:vAlign w:val="center"/>
          </w:tcPr>
          <w:p w14:paraId="41EFD65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 </w:t>
            </w:r>
          </w:p>
        </w:tc>
        <w:tc>
          <w:tcPr>
            <w:tcW w:w="625" w:type="pct"/>
            <w:vMerge w:val="restart"/>
            <w:noWrap/>
            <w:vAlign w:val="center"/>
          </w:tcPr>
          <w:p w14:paraId="28FF8AB3">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w:t>
            </w:r>
          </w:p>
        </w:tc>
      </w:tr>
      <w:tr w14:paraId="4F7B63A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273E1F0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1538BA3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TFSI</w:t>
            </w:r>
            <w:r>
              <w:rPr>
                <w:rFonts w:ascii="Times New Roman" w:hAnsi="Times New Roman" w:eastAsia="等线" w:cs="Times New Roman"/>
                <w:color w:val="000000"/>
                <w:kern w:val="0"/>
                <w:szCs w:val="21"/>
                <w:vertAlign w:val="superscript"/>
              </w:rPr>
              <w:t>-</w:t>
            </w:r>
          </w:p>
        </w:tc>
        <w:tc>
          <w:tcPr>
            <w:tcW w:w="625" w:type="pct"/>
            <w:noWrap/>
            <w:vAlign w:val="center"/>
          </w:tcPr>
          <w:p w14:paraId="3C4BA63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3.2630 </w:t>
            </w:r>
          </w:p>
        </w:tc>
        <w:tc>
          <w:tcPr>
            <w:tcW w:w="626" w:type="pct"/>
            <w:noWrap/>
            <w:vAlign w:val="center"/>
          </w:tcPr>
          <w:p w14:paraId="3D338F1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0.0148 </w:t>
            </w:r>
          </w:p>
        </w:tc>
        <w:tc>
          <w:tcPr>
            <w:tcW w:w="625" w:type="pct"/>
            <w:vMerge w:val="continue"/>
            <w:vAlign w:val="center"/>
          </w:tcPr>
          <w:p w14:paraId="7E04AD9B">
            <w:pPr>
              <w:widowControl/>
              <w:jc w:val="left"/>
              <w:rPr>
                <w:rFonts w:ascii="Times New Roman" w:hAnsi="Times New Roman" w:eastAsia="等线" w:cs="Times New Roman"/>
                <w:color w:val="000000"/>
                <w:kern w:val="0"/>
                <w:szCs w:val="21"/>
              </w:rPr>
            </w:pPr>
          </w:p>
        </w:tc>
        <w:tc>
          <w:tcPr>
            <w:tcW w:w="625" w:type="pct"/>
            <w:vMerge w:val="continue"/>
            <w:vAlign w:val="center"/>
          </w:tcPr>
          <w:p w14:paraId="14850E1E">
            <w:pPr>
              <w:widowControl/>
              <w:jc w:val="left"/>
              <w:rPr>
                <w:rFonts w:ascii="Times New Roman" w:hAnsi="Times New Roman" w:eastAsia="宋体" w:cs="Times New Roman"/>
                <w:color w:val="000000"/>
                <w:kern w:val="0"/>
                <w:szCs w:val="21"/>
              </w:rPr>
            </w:pPr>
          </w:p>
        </w:tc>
      </w:tr>
      <w:tr w14:paraId="34AC9D5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4BAAAD7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6DCDD07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PF</w:t>
            </w:r>
            <w:r>
              <w:rPr>
                <w:rFonts w:ascii="Times New Roman" w:hAnsi="Times New Roman" w:eastAsia="等线" w:cs="Times New Roman"/>
                <w:color w:val="000000"/>
                <w:kern w:val="0"/>
                <w:szCs w:val="21"/>
                <w:vertAlign w:val="subscript"/>
              </w:rPr>
              <w:t>6</w:t>
            </w:r>
            <w:r>
              <w:rPr>
                <w:rFonts w:ascii="Times New Roman" w:hAnsi="Times New Roman" w:eastAsia="等线" w:cs="Times New Roman"/>
                <w:color w:val="000000"/>
                <w:kern w:val="0"/>
                <w:szCs w:val="21"/>
                <w:vertAlign w:val="superscript"/>
              </w:rPr>
              <w:t>-</w:t>
            </w:r>
          </w:p>
        </w:tc>
        <w:tc>
          <w:tcPr>
            <w:tcW w:w="625" w:type="pct"/>
            <w:noWrap/>
            <w:vAlign w:val="center"/>
          </w:tcPr>
          <w:p w14:paraId="0BC2AF4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3.2630 </w:t>
            </w:r>
          </w:p>
        </w:tc>
        <w:tc>
          <w:tcPr>
            <w:tcW w:w="626" w:type="pct"/>
            <w:noWrap/>
            <w:vAlign w:val="center"/>
          </w:tcPr>
          <w:p w14:paraId="46CB3F6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0.0158 </w:t>
            </w:r>
          </w:p>
        </w:tc>
        <w:tc>
          <w:tcPr>
            <w:tcW w:w="625" w:type="pct"/>
            <w:vMerge w:val="continue"/>
            <w:vAlign w:val="center"/>
          </w:tcPr>
          <w:p w14:paraId="7E4B97D2">
            <w:pPr>
              <w:widowControl/>
              <w:jc w:val="left"/>
              <w:rPr>
                <w:rFonts w:ascii="Times New Roman" w:hAnsi="Times New Roman" w:eastAsia="等线" w:cs="Times New Roman"/>
                <w:color w:val="000000"/>
                <w:kern w:val="0"/>
                <w:szCs w:val="21"/>
              </w:rPr>
            </w:pPr>
          </w:p>
        </w:tc>
        <w:tc>
          <w:tcPr>
            <w:tcW w:w="625" w:type="pct"/>
            <w:vMerge w:val="continue"/>
            <w:vAlign w:val="center"/>
          </w:tcPr>
          <w:p w14:paraId="350C51D8">
            <w:pPr>
              <w:widowControl/>
              <w:jc w:val="left"/>
              <w:rPr>
                <w:rFonts w:ascii="Times New Roman" w:hAnsi="Times New Roman" w:eastAsia="宋体" w:cs="Times New Roman"/>
                <w:color w:val="000000"/>
                <w:kern w:val="0"/>
                <w:szCs w:val="21"/>
              </w:rPr>
            </w:pPr>
          </w:p>
        </w:tc>
      </w:tr>
      <w:tr w14:paraId="2D1F840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5D1DE71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5F36D27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625" w:type="pct"/>
            <w:noWrap/>
            <w:vAlign w:val="center"/>
          </w:tcPr>
          <w:p w14:paraId="5535F8A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1.8870 </w:t>
            </w:r>
          </w:p>
        </w:tc>
        <w:tc>
          <w:tcPr>
            <w:tcW w:w="626" w:type="pct"/>
            <w:noWrap/>
            <w:vAlign w:val="center"/>
          </w:tcPr>
          <w:p w14:paraId="1290E01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0.0000 </w:t>
            </w:r>
          </w:p>
        </w:tc>
        <w:tc>
          <w:tcPr>
            <w:tcW w:w="625" w:type="pct"/>
            <w:vMerge w:val="continue"/>
            <w:vAlign w:val="center"/>
          </w:tcPr>
          <w:p w14:paraId="5AF14F0F">
            <w:pPr>
              <w:widowControl/>
              <w:jc w:val="left"/>
              <w:rPr>
                <w:rFonts w:ascii="Times New Roman" w:hAnsi="Times New Roman" w:eastAsia="等线" w:cs="Times New Roman"/>
                <w:color w:val="000000"/>
                <w:kern w:val="0"/>
                <w:szCs w:val="21"/>
              </w:rPr>
            </w:pPr>
          </w:p>
        </w:tc>
        <w:tc>
          <w:tcPr>
            <w:tcW w:w="625" w:type="pct"/>
            <w:vMerge w:val="continue"/>
            <w:vAlign w:val="center"/>
          </w:tcPr>
          <w:p w14:paraId="7672CC96">
            <w:pPr>
              <w:widowControl/>
              <w:jc w:val="left"/>
              <w:rPr>
                <w:rFonts w:ascii="Times New Roman" w:hAnsi="Times New Roman" w:eastAsia="宋体" w:cs="Times New Roman"/>
                <w:color w:val="000000"/>
                <w:kern w:val="0"/>
                <w:szCs w:val="21"/>
              </w:rPr>
            </w:pPr>
          </w:p>
        </w:tc>
      </w:tr>
      <w:tr w14:paraId="1BF2C6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2D193CB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3C3A099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625" w:type="pct"/>
            <w:noWrap/>
            <w:vAlign w:val="center"/>
          </w:tcPr>
          <w:p w14:paraId="198F0E5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3.6063 </w:t>
            </w:r>
          </w:p>
        </w:tc>
        <w:tc>
          <w:tcPr>
            <w:tcW w:w="626" w:type="pct"/>
            <w:noWrap/>
            <w:vAlign w:val="center"/>
          </w:tcPr>
          <w:p w14:paraId="2027198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0.2300 </w:t>
            </w:r>
          </w:p>
        </w:tc>
        <w:tc>
          <w:tcPr>
            <w:tcW w:w="625" w:type="pct"/>
            <w:vMerge w:val="continue"/>
            <w:vAlign w:val="center"/>
          </w:tcPr>
          <w:p w14:paraId="170BCAD5">
            <w:pPr>
              <w:widowControl/>
              <w:jc w:val="left"/>
              <w:rPr>
                <w:rFonts w:ascii="Times New Roman" w:hAnsi="Times New Roman" w:eastAsia="等线" w:cs="Times New Roman"/>
                <w:color w:val="000000"/>
                <w:kern w:val="0"/>
                <w:szCs w:val="21"/>
              </w:rPr>
            </w:pPr>
          </w:p>
        </w:tc>
        <w:tc>
          <w:tcPr>
            <w:tcW w:w="625" w:type="pct"/>
            <w:vMerge w:val="continue"/>
            <w:vAlign w:val="center"/>
          </w:tcPr>
          <w:p w14:paraId="3A70FEFB">
            <w:pPr>
              <w:widowControl/>
              <w:jc w:val="left"/>
              <w:rPr>
                <w:rFonts w:ascii="Times New Roman" w:hAnsi="Times New Roman" w:eastAsia="宋体" w:cs="Times New Roman"/>
                <w:color w:val="000000"/>
                <w:kern w:val="0"/>
                <w:szCs w:val="21"/>
              </w:rPr>
            </w:pPr>
          </w:p>
        </w:tc>
      </w:tr>
      <w:tr w14:paraId="77E5A53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4BB4908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691A82C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625" w:type="pct"/>
            <w:noWrap/>
            <w:vAlign w:val="center"/>
          </w:tcPr>
          <w:p w14:paraId="3919164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4.0880 </w:t>
            </w:r>
          </w:p>
        </w:tc>
        <w:tc>
          <w:tcPr>
            <w:tcW w:w="626" w:type="pct"/>
            <w:noWrap/>
            <w:vAlign w:val="center"/>
          </w:tcPr>
          <w:p w14:paraId="12780B1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0.2154 </w:t>
            </w:r>
          </w:p>
        </w:tc>
        <w:tc>
          <w:tcPr>
            <w:tcW w:w="625" w:type="pct"/>
            <w:vMerge w:val="continue"/>
            <w:vAlign w:val="center"/>
          </w:tcPr>
          <w:p w14:paraId="224E49C6">
            <w:pPr>
              <w:widowControl/>
              <w:jc w:val="left"/>
              <w:rPr>
                <w:rFonts w:ascii="Times New Roman" w:hAnsi="Times New Roman" w:eastAsia="等线" w:cs="Times New Roman"/>
                <w:color w:val="000000"/>
                <w:kern w:val="0"/>
                <w:szCs w:val="21"/>
              </w:rPr>
            </w:pPr>
          </w:p>
        </w:tc>
        <w:tc>
          <w:tcPr>
            <w:tcW w:w="625" w:type="pct"/>
            <w:vMerge w:val="continue"/>
            <w:vAlign w:val="center"/>
          </w:tcPr>
          <w:p w14:paraId="3070F14B">
            <w:pPr>
              <w:widowControl/>
              <w:jc w:val="left"/>
              <w:rPr>
                <w:rFonts w:ascii="Times New Roman" w:hAnsi="Times New Roman" w:eastAsia="宋体" w:cs="Times New Roman"/>
                <w:color w:val="000000"/>
                <w:kern w:val="0"/>
                <w:szCs w:val="21"/>
              </w:rPr>
            </w:pPr>
          </w:p>
        </w:tc>
      </w:tr>
      <w:tr w14:paraId="4CBAD1F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3FFFCFB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53D0D49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EMC</w:t>
            </w:r>
          </w:p>
        </w:tc>
        <w:tc>
          <w:tcPr>
            <w:tcW w:w="625" w:type="pct"/>
            <w:noWrap/>
            <w:vAlign w:val="center"/>
          </w:tcPr>
          <w:p w14:paraId="0D7832F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3.2755 </w:t>
            </w:r>
          </w:p>
        </w:tc>
        <w:tc>
          <w:tcPr>
            <w:tcW w:w="626" w:type="pct"/>
            <w:noWrap/>
            <w:vAlign w:val="center"/>
          </w:tcPr>
          <w:p w14:paraId="5747271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0.0144 </w:t>
            </w:r>
          </w:p>
        </w:tc>
        <w:tc>
          <w:tcPr>
            <w:tcW w:w="625" w:type="pct"/>
            <w:vMerge w:val="continue"/>
            <w:vAlign w:val="center"/>
          </w:tcPr>
          <w:p w14:paraId="5FB3412B">
            <w:pPr>
              <w:widowControl/>
              <w:jc w:val="left"/>
              <w:rPr>
                <w:rFonts w:ascii="Times New Roman" w:hAnsi="Times New Roman" w:eastAsia="等线" w:cs="Times New Roman"/>
                <w:color w:val="000000"/>
                <w:kern w:val="0"/>
                <w:szCs w:val="21"/>
              </w:rPr>
            </w:pPr>
          </w:p>
        </w:tc>
        <w:tc>
          <w:tcPr>
            <w:tcW w:w="625" w:type="pct"/>
            <w:vMerge w:val="continue"/>
            <w:vAlign w:val="center"/>
          </w:tcPr>
          <w:p w14:paraId="7AD80814">
            <w:pPr>
              <w:widowControl/>
              <w:jc w:val="left"/>
              <w:rPr>
                <w:rFonts w:ascii="Times New Roman" w:hAnsi="Times New Roman" w:eastAsia="宋体" w:cs="Times New Roman"/>
                <w:color w:val="000000"/>
                <w:kern w:val="0"/>
                <w:szCs w:val="21"/>
              </w:rPr>
            </w:pPr>
          </w:p>
        </w:tc>
      </w:tr>
      <w:tr w14:paraId="236CA58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3615BD6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7B0F2B7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DMC</w:t>
            </w:r>
          </w:p>
        </w:tc>
        <w:tc>
          <w:tcPr>
            <w:tcW w:w="625" w:type="pct"/>
            <w:noWrap/>
            <w:vAlign w:val="center"/>
          </w:tcPr>
          <w:p w14:paraId="100396C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3.0620 </w:t>
            </w:r>
          </w:p>
        </w:tc>
        <w:tc>
          <w:tcPr>
            <w:tcW w:w="626" w:type="pct"/>
            <w:noWrap/>
            <w:vAlign w:val="center"/>
          </w:tcPr>
          <w:p w14:paraId="74BB1CD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0.0142 </w:t>
            </w:r>
          </w:p>
        </w:tc>
        <w:tc>
          <w:tcPr>
            <w:tcW w:w="625" w:type="pct"/>
            <w:vMerge w:val="continue"/>
            <w:vAlign w:val="center"/>
          </w:tcPr>
          <w:p w14:paraId="494E3CD2">
            <w:pPr>
              <w:widowControl/>
              <w:jc w:val="left"/>
              <w:rPr>
                <w:rFonts w:ascii="Times New Roman" w:hAnsi="Times New Roman" w:eastAsia="等线" w:cs="Times New Roman"/>
                <w:color w:val="000000"/>
                <w:kern w:val="0"/>
                <w:szCs w:val="21"/>
              </w:rPr>
            </w:pPr>
          </w:p>
        </w:tc>
        <w:tc>
          <w:tcPr>
            <w:tcW w:w="625" w:type="pct"/>
            <w:vMerge w:val="continue"/>
            <w:vAlign w:val="center"/>
          </w:tcPr>
          <w:p w14:paraId="59802086">
            <w:pPr>
              <w:widowControl/>
              <w:jc w:val="left"/>
              <w:rPr>
                <w:rFonts w:ascii="Times New Roman" w:hAnsi="Times New Roman" w:eastAsia="宋体" w:cs="Times New Roman"/>
                <w:color w:val="000000"/>
                <w:kern w:val="0"/>
                <w:szCs w:val="21"/>
              </w:rPr>
            </w:pPr>
          </w:p>
        </w:tc>
      </w:tr>
      <w:tr w14:paraId="46B202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1A16CE4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77F4A0B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PSF</w:t>
            </w:r>
          </w:p>
        </w:tc>
        <w:tc>
          <w:tcPr>
            <w:tcW w:w="625" w:type="pct"/>
            <w:noWrap/>
            <w:vAlign w:val="center"/>
          </w:tcPr>
          <w:p w14:paraId="7EC71A7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3.9870 </w:t>
            </w:r>
          </w:p>
        </w:tc>
        <w:tc>
          <w:tcPr>
            <w:tcW w:w="626" w:type="pct"/>
            <w:noWrap/>
            <w:vAlign w:val="center"/>
          </w:tcPr>
          <w:p w14:paraId="374E72A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0.0000 </w:t>
            </w:r>
          </w:p>
        </w:tc>
        <w:tc>
          <w:tcPr>
            <w:tcW w:w="625" w:type="pct"/>
            <w:vMerge w:val="continue"/>
            <w:vAlign w:val="center"/>
          </w:tcPr>
          <w:p w14:paraId="5790AE5B">
            <w:pPr>
              <w:widowControl/>
              <w:jc w:val="left"/>
              <w:rPr>
                <w:rFonts w:ascii="Times New Roman" w:hAnsi="Times New Roman" w:eastAsia="等线" w:cs="Times New Roman"/>
                <w:color w:val="000000"/>
                <w:kern w:val="0"/>
                <w:szCs w:val="21"/>
              </w:rPr>
            </w:pPr>
          </w:p>
        </w:tc>
        <w:tc>
          <w:tcPr>
            <w:tcW w:w="625" w:type="pct"/>
            <w:vMerge w:val="continue"/>
            <w:vAlign w:val="center"/>
          </w:tcPr>
          <w:p w14:paraId="647DBC69">
            <w:pPr>
              <w:widowControl/>
              <w:jc w:val="left"/>
              <w:rPr>
                <w:rFonts w:ascii="Times New Roman" w:hAnsi="Times New Roman" w:eastAsia="宋体" w:cs="Times New Roman"/>
                <w:color w:val="000000"/>
                <w:kern w:val="0"/>
                <w:szCs w:val="21"/>
              </w:rPr>
            </w:pPr>
          </w:p>
        </w:tc>
      </w:tr>
      <w:tr w14:paraId="5216576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3622599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5ED333D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TPSF</w:t>
            </w:r>
          </w:p>
        </w:tc>
        <w:tc>
          <w:tcPr>
            <w:tcW w:w="625" w:type="pct"/>
            <w:noWrap/>
            <w:vAlign w:val="center"/>
          </w:tcPr>
          <w:p w14:paraId="6778BE5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3.9875 </w:t>
            </w:r>
          </w:p>
        </w:tc>
        <w:tc>
          <w:tcPr>
            <w:tcW w:w="626" w:type="pct"/>
            <w:noWrap/>
            <w:vAlign w:val="center"/>
          </w:tcPr>
          <w:p w14:paraId="1E2AAD0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0.0361 </w:t>
            </w:r>
          </w:p>
        </w:tc>
        <w:tc>
          <w:tcPr>
            <w:tcW w:w="625" w:type="pct"/>
            <w:vMerge w:val="continue"/>
            <w:vAlign w:val="center"/>
          </w:tcPr>
          <w:p w14:paraId="663DB452">
            <w:pPr>
              <w:widowControl/>
              <w:jc w:val="left"/>
              <w:rPr>
                <w:rFonts w:ascii="Times New Roman" w:hAnsi="Times New Roman" w:eastAsia="等线" w:cs="Times New Roman"/>
                <w:color w:val="000000"/>
                <w:kern w:val="0"/>
                <w:szCs w:val="21"/>
              </w:rPr>
            </w:pPr>
          </w:p>
        </w:tc>
        <w:tc>
          <w:tcPr>
            <w:tcW w:w="625" w:type="pct"/>
            <w:vMerge w:val="continue"/>
            <w:vAlign w:val="center"/>
          </w:tcPr>
          <w:p w14:paraId="683B9D81">
            <w:pPr>
              <w:widowControl/>
              <w:jc w:val="left"/>
              <w:rPr>
                <w:rFonts w:ascii="Times New Roman" w:hAnsi="Times New Roman" w:eastAsia="宋体" w:cs="Times New Roman"/>
                <w:color w:val="000000"/>
                <w:kern w:val="0"/>
                <w:szCs w:val="21"/>
              </w:rPr>
            </w:pPr>
          </w:p>
        </w:tc>
      </w:tr>
      <w:tr w14:paraId="292655D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3E23AF5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7A0B24F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DOL</w:t>
            </w:r>
          </w:p>
        </w:tc>
        <w:tc>
          <w:tcPr>
            <w:tcW w:w="625" w:type="pct"/>
            <w:noWrap/>
            <w:vAlign w:val="center"/>
          </w:tcPr>
          <w:p w14:paraId="189577E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3.0380 </w:t>
            </w:r>
          </w:p>
        </w:tc>
        <w:tc>
          <w:tcPr>
            <w:tcW w:w="626" w:type="pct"/>
            <w:noWrap/>
            <w:vAlign w:val="center"/>
          </w:tcPr>
          <w:p w14:paraId="392511D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0.0125 </w:t>
            </w:r>
          </w:p>
        </w:tc>
        <w:tc>
          <w:tcPr>
            <w:tcW w:w="625" w:type="pct"/>
            <w:vMerge w:val="continue"/>
            <w:vAlign w:val="center"/>
          </w:tcPr>
          <w:p w14:paraId="5E2923F0">
            <w:pPr>
              <w:widowControl/>
              <w:jc w:val="left"/>
              <w:rPr>
                <w:rFonts w:ascii="Times New Roman" w:hAnsi="Times New Roman" w:eastAsia="等线" w:cs="Times New Roman"/>
                <w:color w:val="000000"/>
                <w:kern w:val="0"/>
                <w:szCs w:val="21"/>
              </w:rPr>
            </w:pPr>
          </w:p>
        </w:tc>
        <w:tc>
          <w:tcPr>
            <w:tcW w:w="625" w:type="pct"/>
            <w:vMerge w:val="continue"/>
            <w:vAlign w:val="center"/>
          </w:tcPr>
          <w:p w14:paraId="6B54A40C">
            <w:pPr>
              <w:widowControl/>
              <w:jc w:val="left"/>
              <w:rPr>
                <w:rFonts w:ascii="Times New Roman" w:hAnsi="Times New Roman" w:eastAsia="宋体" w:cs="Times New Roman"/>
                <w:color w:val="000000"/>
                <w:kern w:val="0"/>
                <w:szCs w:val="21"/>
              </w:rPr>
            </w:pPr>
          </w:p>
        </w:tc>
      </w:tr>
      <w:tr w14:paraId="7C20F13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3EB8387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Li</w:t>
            </w:r>
            <w:r>
              <w:rPr>
                <w:rFonts w:ascii="Times New Roman" w:hAnsi="Times New Roman" w:eastAsia="等线" w:cs="Times New Roman"/>
                <w:color w:val="000000"/>
                <w:kern w:val="0"/>
                <w:szCs w:val="21"/>
                <w:vertAlign w:val="superscript"/>
              </w:rPr>
              <w:t>+</w:t>
            </w:r>
          </w:p>
        </w:tc>
        <w:tc>
          <w:tcPr>
            <w:tcW w:w="1324" w:type="pct"/>
            <w:noWrap/>
            <w:vAlign w:val="center"/>
          </w:tcPr>
          <w:p w14:paraId="3C5B879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TFEO</w:t>
            </w:r>
          </w:p>
        </w:tc>
        <w:tc>
          <w:tcPr>
            <w:tcW w:w="625" w:type="pct"/>
            <w:noWrap/>
            <w:vAlign w:val="center"/>
          </w:tcPr>
          <w:p w14:paraId="1E6CD16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2.2755 </w:t>
            </w:r>
          </w:p>
        </w:tc>
        <w:tc>
          <w:tcPr>
            <w:tcW w:w="626" w:type="pct"/>
            <w:noWrap/>
            <w:vAlign w:val="center"/>
          </w:tcPr>
          <w:p w14:paraId="4FAAC67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0.0177 </w:t>
            </w:r>
          </w:p>
        </w:tc>
        <w:tc>
          <w:tcPr>
            <w:tcW w:w="625" w:type="pct"/>
            <w:vMerge w:val="continue"/>
            <w:vAlign w:val="center"/>
          </w:tcPr>
          <w:p w14:paraId="658DBAB2">
            <w:pPr>
              <w:widowControl/>
              <w:jc w:val="left"/>
              <w:rPr>
                <w:rFonts w:ascii="Times New Roman" w:hAnsi="Times New Roman" w:eastAsia="等线" w:cs="Times New Roman"/>
                <w:color w:val="000000"/>
                <w:kern w:val="0"/>
                <w:szCs w:val="21"/>
              </w:rPr>
            </w:pPr>
          </w:p>
        </w:tc>
        <w:tc>
          <w:tcPr>
            <w:tcW w:w="625" w:type="pct"/>
            <w:vMerge w:val="continue"/>
            <w:vAlign w:val="center"/>
          </w:tcPr>
          <w:p w14:paraId="09402039">
            <w:pPr>
              <w:widowControl/>
              <w:jc w:val="left"/>
              <w:rPr>
                <w:rFonts w:ascii="Times New Roman" w:hAnsi="Times New Roman" w:eastAsia="宋体" w:cs="Times New Roman"/>
                <w:color w:val="000000"/>
                <w:kern w:val="0"/>
                <w:szCs w:val="21"/>
              </w:rPr>
            </w:pPr>
          </w:p>
        </w:tc>
      </w:tr>
      <w:tr w14:paraId="45407AB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16D2A1E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1324" w:type="pct"/>
            <w:noWrap/>
            <w:vAlign w:val="center"/>
          </w:tcPr>
          <w:p w14:paraId="2999C30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FSI</w:t>
            </w:r>
            <w:r>
              <w:rPr>
                <w:rFonts w:ascii="Times New Roman" w:hAnsi="Times New Roman" w:eastAsia="等线" w:cs="Times New Roman"/>
                <w:color w:val="000000"/>
                <w:kern w:val="0"/>
                <w:szCs w:val="21"/>
                <w:vertAlign w:val="superscript"/>
              </w:rPr>
              <w:t>-</w:t>
            </w:r>
          </w:p>
        </w:tc>
        <w:tc>
          <w:tcPr>
            <w:tcW w:w="625" w:type="pct"/>
            <w:noWrap/>
            <w:vAlign w:val="center"/>
          </w:tcPr>
          <w:p w14:paraId="0ADADE0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4.2500 </w:t>
            </w:r>
          </w:p>
        </w:tc>
        <w:tc>
          <w:tcPr>
            <w:tcW w:w="626" w:type="pct"/>
            <w:noWrap/>
            <w:vAlign w:val="center"/>
          </w:tcPr>
          <w:p w14:paraId="09844BC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0.0184 </w:t>
            </w:r>
          </w:p>
        </w:tc>
        <w:tc>
          <w:tcPr>
            <w:tcW w:w="625" w:type="pct"/>
            <w:noWrap/>
            <w:vAlign w:val="center"/>
          </w:tcPr>
          <w:p w14:paraId="335C8CC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0.6419 </w:t>
            </w:r>
          </w:p>
        </w:tc>
        <w:tc>
          <w:tcPr>
            <w:tcW w:w="625" w:type="pct"/>
            <w:noWrap/>
            <w:vAlign w:val="center"/>
          </w:tcPr>
          <w:p w14:paraId="0090921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0.0220 </w:t>
            </w:r>
          </w:p>
        </w:tc>
      </w:tr>
      <w:tr w14:paraId="43AA2E6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55B128A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1324" w:type="pct"/>
            <w:noWrap/>
            <w:vAlign w:val="center"/>
          </w:tcPr>
          <w:p w14:paraId="0870A5D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TFSI</w:t>
            </w:r>
            <w:r>
              <w:rPr>
                <w:rFonts w:ascii="Times New Roman" w:hAnsi="Times New Roman" w:eastAsia="等线" w:cs="Times New Roman"/>
                <w:color w:val="000000"/>
                <w:kern w:val="0"/>
                <w:szCs w:val="21"/>
                <w:vertAlign w:val="superscript"/>
              </w:rPr>
              <w:t>-</w:t>
            </w:r>
          </w:p>
        </w:tc>
        <w:tc>
          <w:tcPr>
            <w:tcW w:w="625" w:type="pct"/>
            <w:noWrap/>
            <w:vAlign w:val="center"/>
          </w:tcPr>
          <w:p w14:paraId="649724E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4.4380 </w:t>
            </w:r>
          </w:p>
        </w:tc>
        <w:tc>
          <w:tcPr>
            <w:tcW w:w="626" w:type="pct"/>
            <w:noWrap/>
            <w:vAlign w:val="center"/>
          </w:tcPr>
          <w:p w14:paraId="156EF50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0.0187 </w:t>
            </w:r>
          </w:p>
        </w:tc>
        <w:tc>
          <w:tcPr>
            <w:tcW w:w="625" w:type="pct"/>
            <w:noWrap/>
            <w:vAlign w:val="center"/>
          </w:tcPr>
          <w:p w14:paraId="5CB9E75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0.6565 </w:t>
            </w:r>
          </w:p>
        </w:tc>
        <w:tc>
          <w:tcPr>
            <w:tcW w:w="625" w:type="pct"/>
            <w:noWrap/>
            <w:vAlign w:val="center"/>
          </w:tcPr>
          <w:p w14:paraId="62ED462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0.0411 </w:t>
            </w:r>
          </w:p>
        </w:tc>
      </w:tr>
      <w:tr w14:paraId="27EEE9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72C3CBA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1324" w:type="pct"/>
            <w:noWrap/>
            <w:vAlign w:val="center"/>
          </w:tcPr>
          <w:p w14:paraId="5C68F7D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625" w:type="pct"/>
            <w:noWrap/>
            <w:vAlign w:val="center"/>
          </w:tcPr>
          <w:p w14:paraId="41F9179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3.3750 </w:t>
            </w:r>
          </w:p>
        </w:tc>
        <w:tc>
          <w:tcPr>
            <w:tcW w:w="626" w:type="pct"/>
            <w:noWrap/>
            <w:vAlign w:val="center"/>
          </w:tcPr>
          <w:p w14:paraId="0C0A30C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0.0184 </w:t>
            </w:r>
          </w:p>
        </w:tc>
        <w:tc>
          <w:tcPr>
            <w:tcW w:w="625" w:type="pct"/>
            <w:noWrap/>
            <w:vAlign w:val="center"/>
          </w:tcPr>
          <w:p w14:paraId="7DFE1BF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0.9137 </w:t>
            </w:r>
          </w:p>
        </w:tc>
        <w:tc>
          <w:tcPr>
            <w:tcW w:w="625" w:type="pct"/>
            <w:noWrap/>
            <w:vAlign w:val="center"/>
          </w:tcPr>
          <w:p w14:paraId="1884564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0.0386 </w:t>
            </w:r>
          </w:p>
        </w:tc>
      </w:tr>
      <w:tr w14:paraId="2D24A85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138BB7D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1324" w:type="pct"/>
            <w:noWrap/>
            <w:vAlign w:val="center"/>
          </w:tcPr>
          <w:p w14:paraId="721945B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625" w:type="pct"/>
            <w:noWrap/>
            <w:vAlign w:val="center"/>
          </w:tcPr>
          <w:p w14:paraId="4E9472A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4.5620 </w:t>
            </w:r>
          </w:p>
        </w:tc>
        <w:tc>
          <w:tcPr>
            <w:tcW w:w="626" w:type="pct"/>
            <w:noWrap/>
            <w:vAlign w:val="center"/>
          </w:tcPr>
          <w:p w14:paraId="2FFFE74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0.1543 </w:t>
            </w:r>
          </w:p>
        </w:tc>
        <w:tc>
          <w:tcPr>
            <w:tcW w:w="625" w:type="pct"/>
            <w:noWrap/>
            <w:vAlign w:val="center"/>
          </w:tcPr>
          <w:p w14:paraId="0757A05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0.6663 </w:t>
            </w:r>
          </w:p>
        </w:tc>
        <w:tc>
          <w:tcPr>
            <w:tcW w:w="625" w:type="pct"/>
            <w:noWrap/>
            <w:vAlign w:val="center"/>
          </w:tcPr>
          <w:p w14:paraId="47AF5A3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0.0382 </w:t>
            </w:r>
          </w:p>
        </w:tc>
      </w:tr>
      <w:tr w14:paraId="701F47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725A68C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1324" w:type="pct"/>
            <w:noWrap/>
            <w:vAlign w:val="center"/>
          </w:tcPr>
          <w:p w14:paraId="117227A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DOL</w:t>
            </w:r>
          </w:p>
        </w:tc>
        <w:tc>
          <w:tcPr>
            <w:tcW w:w="625" w:type="pct"/>
            <w:noWrap/>
            <w:vAlign w:val="center"/>
          </w:tcPr>
          <w:p w14:paraId="6367323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5.3380 </w:t>
            </w:r>
          </w:p>
        </w:tc>
        <w:tc>
          <w:tcPr>
            <w:tcW w:w="626" w:type="pct"/>
            <w:noWrap/>
            <w:vAlign w:val="center"/>
          </w:tcPr>
          <w:p w14:paraId="08FE42F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0.1434 </w:t>
            </w:r>
          </w:p>
        </w:tc>
        <w:tc>
          <w:tcPr>
            <w:tcW w:w="625" w:type="pct"/>
            <w:noWrap/>
            <w:vAlign w:val="center"/>
          </w:tcPr>
          <w:p w14:paraId="1D5B050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0.9192 </w:t>
            </w:r>
          </w:p>
        </w:tc>
        <w:tc>
          <w:tcPr>
            <w:tcW w:w="625" w:type="pct"/>
            <w:noWrap/>
            <w:vAlign w:val="center"/>
          </w:tcPr>
          <w:p w14:paraId="47DC791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0.0170 </w:t>
            </w:r>
          </w:p>
        </w:tc>
      </w:tr>
      <w:tr w14:paraId="7B86343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7B1027A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1324" w:type="pct"/>
            <w:noWrap/>
            <w:vAlign w:val="center"/>
          </w:tcPr>
          <w:p w14:paraId="35CF082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TFEO</w:t>
            </w:r>
          </w:p>
        </w:tc>
        <w:tc>
          <w:tcPr>
            <w:tcW w:w="625" w:type="pct"/>
            <w:noWrap/>
            <w:vAlign w:val="center"/>
          </w:tcPr>
          <w:p w14:paraId="627917E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8.2000 </w:t>
            </w:r>
          </w:p>
        </w:tc>
        <w:tc>
          <w:tcPr>
            <w:tcW w:w="626" w:type="pct"/>
            <w:noWrap/>
            <w:vAlign w:val="center"/>
          </w:tcPr>
          <w:p w14:paraId="5A96372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0.2305 </w:t>
            </w:r>
          </w:p>
        </w:tc>
        <w:tc>
          <w:tcPr>
            <w:tcW w:w="625" w:type="pct"/>
            <w:noWrap/>
            <w:vAlign w:val="center"/>
          </w:tcPr>
          <w:p w14:paraId="4FCDDAC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0.8962 </w:t>
            </w:r>
          </w:p>
        </w:tc>
        <w:tc>
          <w:tcPr>
            <w:tcW w:w="625" w:type="pct"/>
            <w:noWrap/>
            <w:vAlign w:val="center"/>
          </w:tcPr>
          <w:p w14:paraId="274E224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0.0241 </w:t>
            </w:r>
          </w:p>
        </w:tc>
      </w:tr>
      <w:tr w14:paraId="04F1467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668F13A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1324" w:type="pct"/>
            <w:noWrap/>
            <w:vAlign w:val="center"/>
          </w:tcPr>
          <w:p w14:paraId="19F2B61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PF</w:t>
            </w:r>
            <w:r>
              <w:rPr>
                <w:rFonts w:ascii="Times New Roman" w:hAnsi="Times New Roman" w:eastAsia="等线" w:cs="Times New Roman"/>
                <w:color w:val="000000"/>
                <w:kern w:val="0"/>
                <w:szCs w:val="21"/>
                <w:vertAlign w:val="subscript"/>
              </w:rPr>
              <w:t>6</w:t>
            </w:r>
            <w:r>
              <w:rPr>
                <w:rFonts w:ascii="Times New Roman" w:hAnsi="Times New Roman" w:eastAsia="等线" w:cs="Times New Roman"/>
                <w:color w:val="000000"/>
                <w:kern w:val="0"/>
                <w:szCs w:val="21"/>
                <w:vertAlign w:val="superscript"/>
              </w:rPr>
              <w:t>-</w:t>
            </w:r>
          </w:p>
        </w:tc>
        <w:tc>
          <w:tcPr>
            <w:tcW w:w="625" w:type="pct"/>
            <w:noWrap/>
            <w:vAlign w:val="center"/>
          </w:tcPr>
          <w:p w14:paraId="0F3FFC2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4.5563 </w:t>
            </w:r>
          </w:p>
        </w:tc>
        <w:tc>
          <w:tcPr>
            <w:tcW w:w="626" w:type="pct"/>
            <w:noWrap/>
            <w:vAlign w:val="center"/>
          </w:tcPr>
          <w:p w14:paraId="24B82FD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0.1144 </w:t>
            </w:r>
          </w:p>
        </w:tc>
        <w:tc>
          <w:tcPr>
            <w:tcW w:w="625" w:type="pct"/>
            <w:noWrap/>
            <w:vAlign w:val="center"/>
          </w:tcPr>
          <w:p w14:paraId="490F36B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0.3669 </w:t>
            </w:r>
          </w:p>
        </w:tc>
        <w:tc>
          <w:tcPr>
            <w:tcW w:w="625" w:type="pct"/>
            <w:noWrap/>
            <w:vAlign w:val="center"/>
          </w:tcPr>
          <w:p w14:paraId="67B424B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0.0039 </w:t>
            </w:r>
          </w:p>
        </w:tc>
      </w:tr>
      <w:tr w14:paraId="5461E3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37290FB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1324" w:type="pct"/>
            <w:noWrap/>
            <w:vAlign w:val="center"/>
          </w:tcPr>
          <w:p w14:paraId="3D4D643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625" w:type="pct"/>
            <w:noWrap/>
            <w:vAlign w:val="center"/>
          </w:tcPr>
          <w:p w14:paraId="5D0B097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4.3190 </w:t>
            </w:r>
          </w:p>
        </w:tc>
        <w:tc>
          <w:tcPr>
            <w:tcW w:w="626" w:type="pct"/>
            <w:noWrap/>
            <w:vAlign w:val="center"/>
          </w:tcPr>
          <w:p w14:paraId="0B7718D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0.0902 </w:t>
            </w:r>
          </w:p>
        </w:tc>
        <w:tc>
          <w:tcPr>
            <w:tcW w:w="625" w:type="pct"/>
            <w:noWrap/>
            <w:vAlign w:val="center"/>
          </w:tcPr>
          <w:p w14:paraId="730188B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0.4518 </w:t>
            </w:r>
          </w:p>
        </w:tc>
        <w:tc>
          <w:tcPr>
            <w:tcW w:w="625" w:type="pct"/>
            <w:noWrap/>
            <w:vAlign w:val="center"/>
          </w:tcPr>
          <w:p w14:paraId="1CE6915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0.0138 </w:t>
            </w:r>
          </w:p>
        </w:tc>
      </w:tr>
      <w:tr w14:paraId="7246323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4A61E19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1324" w:type="pct"/>
            <w:noWrap/>
            <w:vAlign w:val="center"/>
          </w:tcPr>
          <w:p w14:paraId="281774B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625" w:type="pct"/>
            <w:noWrap/>
            <w:vAlign w:val="center"/>
          </w:tcPr>
          <w:p w14:paraId="26E609D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5.3245 </w:t>
            </w:r>
          </w:p>
        </w:tc>
        <w:tc>
          <w:tcPr>
            <w:tcW w:w="626" w:type="pct"/>
            <w:noWrap/>
            <w:vAlign w:val="center"/>
          </w:tcPr>
          <w:p w14:paraId="62146A2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0.0530 </w:t>
            </w:r>
          </w:p>
        </w:tc>
        <w:tc>
          <w:tcPr>
            <w:tcW w:w="625" w:type="pct"/>
            <w:noWrap/>
            <w:vAlign w:val="center"/>
          </w:tcPr>
          <w:p w14:paraId="4438327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0.4850 </w:t>
            </w:r>
          </w:p>
        </w:tc>
        <w:tc>
          <w:tcPr>
            <w:tcW w:w="625" w:type="pct"/>
            <w:noWrap/>
            <w:vAlign w:val="center"/>
          </w:tcPr>
          <w:p w14:paraId="3AF55EE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0.0191 </w:t>
            </w:r>
          </w:p>
        </w:tc>
      </w:tr>
      <w:tr w14:paraId="7EF1EE9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0A0206B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1324" w:type="pct"/>
            <w:noWrap/>
            <w:vAlign w:val="center"/>
          </w:tcPr>
          <w:p w14:paraId="0AC9132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EMC</w:t>
            </w:r>
          </w:p>
        </w:tc>
        <w:tc>
          <w:tcPr>
            <w:tcW w:w="625" w:type="pct"/>
            <w:noWrap/>
            <w:vAlign w:val="center"/>
          </w:tcPr>
          <w:p w14:paraId="5EF12D4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4.3308 </w:t>
            </w:r>
          </w:p>
        </w:tc>
        <w:tc>
          <w:tcPr>
            <w:tcW w:w="626" w:type="pct"/>
            <w:noWrap/>
            <w:vAlign w:val="center"/>
          </w:tcPr>
          <w:p w14:paraId="6563537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0.0554 </w:t>
            </w:r>
          </w:p>
        </w:tc>
        <w:tc>
          <w:tcPr>
            <w:tcW w:w="625" w:type="pct"/>
            <w:noWrap/>
            <w:vAlign w:val="center"/>
          </w:tcPr>
          <w:p w14:paraId="2E85BF1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0.6176 </w:t>
            </w:r>
          </w:p>
        </w:tc>
        <w:tc>
          <w:tcPr>
            <w:tcW w:w="625" w:type="pct"/>
            <w:noWrap/>
            <w:vAlign w:val="center"/>
          </w:tcPr>
          <w:p w14:paraId="5BFFC9E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0.0127 </w:t>
            </w:r>
          </w:p>
        </w:tc>
      </w:tr>
      <w:tr w14:paraId="54EF024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75" w:type="pct"/>
            <w:noWrap/>
            <w:vAlign w:val="center"/>
          </w:tcPr>
          <w:p w14:paraId="225A4BB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1324" w:type="pct"/>
            <w:noWrap/>
            <w:vAlign w:val="center"/>
          </w:tcPr>
          <w:p w14:paraId="7D170B2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DMC</w:t>
            </w:r>
          </w:p>
        </w:tc>
        <w:tc>
          <w:tcPr>
            <w:tcW w:w="625" w:type="pct"/>
            <w:noWrap/>
            <w:vAlign w:val="center"/>
          </w:tcPr>
          <w:p w14:paraId="7814FF4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4.2130 </w:t>
            </w:r>
          </w:p>
        </w:tc>
        <w:tc>
          <w:tcPr>
            <w:tcW w:w="626" w:type="pct"/>
            <w:noWrap/>
            <w:vAlign w:val="center"/>
          </w:tcPr>
          <w:p w14:paraId="58918A7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0.0432 </w:t>
            </w:r>
          </w:p>
        </w:tc>
        <w:tc>
          <w:tcPr>
            <w:tcW w:w="625" w:type="pct"/>
            <w:noWrap/>
            <w:vAlign w:val="center"/>
          </w:tcPr>
          <w:p w14:paraId="627A3BC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0.6151 </w:t>
            </w:r>
          </w:p>
        </w:tc>
        <w:tc>
          <w:tcPr>
            <w:tcW w:w="625" w:type="pct"/>
            <w:noWrap/>
            <w:vAlign w:val="center"/>
          </w:tcPr>
          <w:p w14:paraId="0653B90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0.0144 </w:t>
            </w:r>
          </w:p>
        </w:tc>
      </w:tr>
    </w:tbl>
    <w:p w14:paraId="703881B0">
      <w:pPr>
        <w:rPr>
          <w:rFonts w:ascii="Times New Roman" w:hAnsi="Times New Roman" w:cs="Times New Roman"/>
        </w:rPr>
      </w:pP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083"/>
        <w:gridCol w:w="2347"/>
        <w:gridCol w:w="1108"/>
        <w:gridCol w:w="1110"/>
        <w:gridCol w:w="1108"/>
        <w:gridCol w:w="1108"/>
      </w:tblGrid>
      <w:tr w14:paraId="65EB2E4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2498" w:type="pct"/>
            <w:gridSpan w:val="2"/>
            <w:noWrap/>
            <w:vAlign w:val="center"/>
          </w:tcPr>
          <w:p w14:paraId="42D439D8">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Species Pair</w:t>
            </w:r>
          </w:p>
        </w:tc>
        <w:tc>
          <w:tcPr>
            <w:tcW w:w="1251" w:type="pct"/>
            <w:gridSpan w:val="2"/>
            <w:vAlign w:val="center"/>
          </w:tcPr>
          <w:p w14:paraId="62BBE583">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r</w:t>
            </w:r>
            <w:r>
              <w:rPr>
                <w:rFonts w:ascii="Times New Roman" w:hAnsi="Times New Roman" w:eastAsia="等线" w:cs="Times New Roman"/>
                <w:b/>
                <w:bCs/>
                <w:color w:val="000000"/>
                <w:kern w:val="0"/>
                <w:szCs w:val="21"/>
                <w:vertAlign w:val="subscript"/>
              </w:rPr>
              <w:t>CoM</w:t>
            </w:r>
            <w:r>
              <w:rPr>
                <w:rFonts w:ascii="Times New Roman" w:hAnsi="Times New Roman" w:eastAsia="等线" w:cs="Times New Roman"/>
                <w:b/>
                <w:bCs/>
                <w:color w:val="000000"/>
                <w:kern w:val="0"/>
                <w:szCs w:val="21"/>
              </w:rPr>
              <w:t xml:space="preserve"> (Å)</w:t>
            </w:r>
          </w:p>
        </w:tc>
        <w:tc>
          <w:tcPr>
            <w:tcW w:w="1251" w:type="pct"/>
            <w:gridSpan w:val="2"/>
            <w:vAlign w:val="center"/>
          </w:tcPr>
          <w:p w14:paraId="5D60CED2">
            <w:pPr>
              <w:widowControl/>
              <w:jc w:val="center"/>
              <w:rPr>
                <w:rFonts w:ascii="Times New Roman" w:hAnsi="Times New Roman" w:eastAsia="等线" w:cs="Times New Roman"/>
                <w:b/>
                <w:bCs/>
                <w:i/>
                <w:iCs/>
                <w:color w:val="000000"/>
                <w:kern w:val="0"/>
                <w:szCs w:val="21"/>
              </w:rPr>
            </w:pPr>
            <w:r>
              <w:rPr>
                <w:rFonts w:ascii="Times New Roman" w:hAnsi="Times New Roman" w:eastAsia="等线" w:cs="Times New Roman"/>
                <w:b/>
                <w:bCs/>
                <w:i/>
                <w:iCs/>
                <w:color w:val="000000"/>
                <w:kern w:val="0"/>
                <w:szCs w:val="21"/>
              </w:rPr>
              <w:t>K</w:t>
            </w:r>
            <w:r>
              <w:rPr>
                <w:rFonts w:ascii="Times New Roman" w:hAnsi="Times New Roman" w:eastAsia="等线" w:cs="Times New Roman"/>
                <w:b/>
                <w:bCs/>
                <w:color w:val="000000"/>
                <w:kern w:val="0"/>
                <w:szCs w:val="21"/>
                <w:vertAlign w:val="subscript"/>
              </w:rPr>
              <w:t>LJ</w:t>
            </w:r>
          </w:p>
        </w:tc>
      </w:tr>
      <w:tr w14:paraId="2C220AC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0A5B010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Species 1</w:t>
            </w:r>
          </w:p>
        </w:tc>
        <w:tc>
          <w:tcPr>
            <w:tcW w:w="1324" w:type="pct"/>
            <w:noWrap/>
            <w:vAlign w:val="center"/>
          </w:tcPr>
          <w:p w14:paraId="604456D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Species 2</w:t>
            </w:r>
          </w:p>
        </w:tc>
        <w:tc>
          <w:tcPr>
            <w:tcW w:w="625" w:type="pct"/>
            <w:vAlign w:val="center"/>
          </w:tcPr>
          <w:p w14:paraId="38C37CD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26" w:type="pct"/>
            <w:vAlign w:val="center"/>
          </w:tcPr>
          <w:p w14:paraId="3E9A54E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c>
          <w:tcPr>
            <w:tcW w:w="625" w:type="pct"/>
            <w:vAlign w:val="center"/>
          </w:tcPr>
          <w:p w14:paraId="41B7C5E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Mean</w:t>
            </w:r>
          </w:p>
        </w:tc>
        <w:tc>
          <w:tcPr>
            <w:tcW w:w="625" w:type="pct"/>
            <w:vAlign w:val="center"/>
          </w:tcPr>
          <w:p w14:paraId="422F502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SD</w:t>
            </w:r>
          </w:p>
        </w:tc>
      </w:tr>
      <w:tr w14:paraId="20F2289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3105749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1324" w:type="pct"/>
            <w:noWrap/>
            <w:vAlign w:val="center"/>
          </w:tcPr>
          <w:p w14:paraId="395703C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TFSI</w:t>
            </w:r>
            <w:r>
              <w:rPr>
                <w:rFonts w:ascii="Times New Roman" w:hAnsi="Times New Roman" w:eastAsia="等线" w:cs="Times New Roman"/>
                <w:color w:val="000000"/>
                <w:kern w:val="0"/>
                <w:szCs w:val="21"/>
                <w:vertAlign w:val="superscript"/>
              </w:rPr>
              <w:t>-</w:t>
            </w:r>
          </w:p>
        </w:tc>
        <w:tc>
          <w:tcPr>
            <w:tcW w:w="625" w:type="pct"/>
            <w:noWrap/>
            <w:vAlign w:val="center"/>
          </w:tcPr>
          <w:p w14:paraId="5A3895E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5.1380 </w:t>
            </w:r>
          </w:p>
        </w:tc>
        <w:tc>
          <w:tcPr>
            <w:tcW w:w="626" w:type="pct"/>
            <w:noWrap/>
            <w:vAlign w:val="center"/>
          </w:tcPr>
          <w:p w14:paraId="47DA8F2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0.0166 </w:t>
            </w:r>
          </w:p>
        </w:tc>
        <w:tc>
          <w:tcPr>
            <w:tcW w:w="625" w:type="pct"/>
            <w:noWrap/>
            <w:vAlign w:val="center"/>
          </w:tcPr>
          <w:p w14:paraId="26B2069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0.4876 </w:t>
            </w:r>
          </w:p>
        </w:tc>
        <w:tc>
          <w:tcPr>
            <w:tcW w:w="625" w:type="pct"/>
            <w:noWrap/>
            <w:vAlign w:val="center"/>
          </w:tcPr>
          <w:p w14:paraId="16B460C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0.0292 </w:t>
            </w:r>
          </w:p>
        </w:tc>
      </w:tr>
      <w:tr w14:paraId="52D991A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050BB7F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1324" w:type="pct"/>
            <w:noWrap/>
            <w:vAlign w:val="center"/>
          </w:tcPr>
          <w:p w14:paraId="2D9E594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PF</w:t>
            </w:r>
            <w:r>
              <w:rPr>
                <w:rFonts w:ascii="Times New Roman" w:hAnsi="Times New Roman" w:eastAsia="等线" w:cs="Times New Roman"/>
                <w:color w:val="000000"/>
                <w:kern w:val="0"/>
                <w:szCs w:val="21"/>
                <w:vertAlign w:val="subscript"/>
              </w:rPr>
              <w:t>6</w:t>
            </w:r>
            <w:r>
              <w:rPr>
                <w:rFonts w:ascii="Times New Roman" w:hAnsi="Times New Roman" w:eastAsia="等线" w:cs="Times New Roman"/>
                <w:color w:val="000000"/>
                <w:kern w:val="0"/>
                <w:szCs w:val="21"/>
                <w:vertAlign w:val="superscript"/>
              </w:rPr>
              <w:t>-</w:t>
            </w:r>
          </w:p>
        </w:tc>
        <w:tc>
          <w:tcPr>
            <w:tcW w:w="625" w:type="pct"/>
            <w:noWrap/>
            <w:vAlign w:val="center"/>
          </w:tcPr>
          <w:p w14:paraId="2ED3AFA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4.5625 </w:t>
            </w:r>
          </w:p>
        </w:tc>
        <w:tc>
          <w:tcPr>
            <w:tcW w:w="626" w:type="pct"/>
            <w:noWrap/>
            <w:vAlign w:val="center"/>
          </w:tcPr>
          <w:p w14:paraId="0A05FEE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0.0361 </w:t>
            </w:r>
          </w:p>
        </w:tc>
        <w:tc>
          <w:tcPr>
            <w:tcW w:w="625" w:type="pct"/>
            <w:noWrap/>
            <w:vAlign w:val="center"/>
          </w:tcPr>
          <w:p w14:paraId="23115D2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0.3883 </w:t>
            </w:r>
          </w:p>
        </w:tc>
        <w:tc>
          <w:tcPr>
            <w:tcW w:w="625" w:type="pct"/>
            <w:noWrap/>
            <w:vAlign w:val="center"/>
          </w:tcPr>
          <w:p w14:paraId="6C2E9A1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0.0123 </w:t>
            </w:r>
          </w:p>
        </w:tc>
      </w:tr>
      <w:tr w14:paraId="6545D95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7FB4DFA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1324" w:type="pct"/>
            <w:noWrap/>
            <w:vAlign w:val="center"/>
          </w:tcPr>
          <w:p w14:paraId="58F5B1E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625" w:type="pct"/>
            <w:noWrap/>
            <w:vAlign w:val="center"/>
          </w:tcPr>
          <w:p w14:paraId="64B7FFC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5.7370 </w:t>
            </w:r>
          </w:p>
        </w:tc>
        <w:tc>
          <w:tcPr>
            <w:tcW w:w="626" w:type="pct"/>
            <w:noWrap/>
            <w:vAlign w:val="center"/>
          </w:tcPr>
          <w:p w14:paraId="01DB787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0.0375 </w:t>
            </w:r>
          </w:p>
        </w:tc>
        <w:tc>
          <w:tcPr>
            <w:tcW w:w="625" w:type="pct"/>
            <w:noWrap/>
            <w:vAlign w:val="center"/>
          </w:tcPr>
          <w:p w14:paraId="5BA92F8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0.5257 </w:t>
            </w:r>
          </w:p>
        </w:tc>
        <w:tc>
          <w:tcPr>
            <w:tcW w:w="625" w:type="pct"/>
            <w:noWrap/>
            <w:vAlign w:val="center"/>
          </w:tcPr>
          <w:p w14:paraId="0491B7D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0.0438 </w:t>
            </w:r>
          </w:p>
        </w:tc>
      </w:tr>
      <w:tr w14:paraId="57724A9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43AFC79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1324" w:type="pct"/>
            <w:noWrap/>
            <w:vAlign w:val="center"/>
          </w:tcPr>
          <w:p w14:paraId="498864F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EMC</w:t>
            </w:r>
          </w:p>
        </w:tc>
        <w:tc>
          <w:tcPr>
            <w:tcW w:w="625" w:type="pct"/>
            <w:noWrap/>
            <w:vAlign w:val="center"/>
          </w:tcPr>
          <w:p w14:paraId="1096164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4.6625 </w:t>
            </w:r>
          </w:p>
        </w:tc>
        <w:tc>
          <w:tcPr>
            <w:tcW w:w="626" w:type="pct"/>
            <w:noWrap/>
            <w:vAlign w:val="center"/>
          </w:tcPr>
          <w:p w14:paraId="68E22EC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0.0714 </w:t>
            </w:r>
          </w:p>
        </w:tc>
        <w:tc>
          <w:tcPr>
            <w:tcW w:w="625" w:type="pct"/>
            <w:noWrap/>
            <w:vAlign w:val="center"/>
          </w:tcPr>
          <w:p w14:paraId="4829B24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0.6824 </w:t>
            </w:r>
          </w:p>
        </w:tc>
        <w:tc>
          <w:tcPr>
            <w:tcW w:w="625" w:type="pct"/>
            <w:noWrap/>
            <w:vAlign w:val="center"/>
          </w:tcPr>
          <w:p w14:paraId="02AA39A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0.0356 </w:t>
            </w:r>
          </w:p>
        </w:tc>
      </w:tr>
      <w:tr w14:paraId="12E0503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56A3EF3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1324" w:type="pct"/>
            <w:noWrap/>
            <w:vAlign w:val="center"/>
          </w:tcPr>
          <w:p w14:paraId="6A1D5E4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DOL</w:t>
            </w:r>
          </w:p>
        </w:tc>
        <w:tc>
          <w:tcPr>
            <w:tcW w:w="625" w:type="pct"/>
            <w:noWrap/>
            <w:vAlign w:val="center"/>
          </w:tcPr>
          <w:p w14:paraId="03B6E4A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5.3880 </w:t>
            </w:r>
          </w:p>
        </w:tc>
        <w:tc>
          <w:tcPr>
            <w:tcW w:w="626" w:type="pct"/>
            <w:noWrap/>
            <w:vAlign w:val="center"/>
          </w:tcPr>
          <w:p w14:paraId="1A6F5F4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0.0545 </w:t>
            </w:r>
          </w:p>
        </w:tc>
        <w:tc>
          <w:tcPr>
            <w:tcW w:w="625" w:type="pct"/>
            <w:noWrap/>
            <w:vAlign w:val="center"/>
          </w:tcPr>
          <w:p w14:paraId="3DA6AA2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0.6697 </w:t>
            </w:r>
          </w:p>
        </w:tc>
        <w:tc>
          <w:tcPr>
            <w:tcW w:w="625" w:type="pct"/>
            <w:noWrap/>
            <w:vAlign w:val="center"/>
          </w:tcPr>
          <w:p w14:paraId="3DDAEDC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0.0363 </w:t>
            </w:r>
          </w:p>
        </w:tc>
      </w:tr>
      <w:tr w14:paraId="5EB5D6E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427344C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EMC</w:t>
            </w:r>
          </w:p>
        </w:tc>
        <w:tc>
          <w:tcPr>
            <w:tcW w:w="1324" w:type="pct"/>
            <w:noWrap/>
            <w:vAlign w:val="center"/>
          </w:tcPr>
          <w:p w14:paraId="5B22292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PF</w:t>
            </w:r>
            <w:r>
              <w:rPr>
                <w:rFonts w:ascii="Times New Roman" w:hAnsi="Times New Roman" w:eastAsia="等线" w:cs="Times New Roman"/>
                <w:color w:val="000000"/>
                <w:kern w:val="0"/>
                <w:szCs w:val="21"/>
                <w:vertAlign w:val="subscript"/>
              </w:rPr>
              <w:t>6</w:t>
            </w:r>
            <w:r>
              <w:rPr>
                <w:rFonts w:ascii="Times New Roman" w:hAnsi="Times New Roman" w:eastAsia="等线" w:cs="Times New Roman"/>
                <w:color w:val="000000"/>
                <w:kern w:val="0"/>
                <w:szCs w:val="21"/>
                <w:vertAlign w:val="superscript"/>
              </w:rPr>
              <w:t>-</w:t>
            </w:r>
          </w:p>
        </w:tc>
        <w:tc>
          <w:tcPr>
            <w:tcW w:w="625" w:type="pct"/>
            <w:noWrap/>
            <w:vAlign w:val="center"/>
          </w:tcPr>
          <w:p w14:paraId="4890E8F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4.6625 </w:t>
            </w:r>
          </w:p>
        </w:tc>
        <w:tc>
          <w:tcPr>
            <w:tcW w:w="626" w:type="pct"/>
            <w:noWrap/>
            <w:vAlign w:val="center"/>
          </w:tcPr>
          <w:p w14:paraId="7A4585D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0.1668 </w:t>
            </w:r>
          </w:p>
        </w:tc>
        <w:tc>
          <w:tcPr>
            <w:tcW w:w="625" w:type="pct"/>
            <w:noWrap/>
            <w:vAlign w:val="center"/>
          </w:tcPr>
          <w:p w14:paraId="582BB76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0.4581 </w:t>
            </w:r>
          </w:p>
        </w:tc>
        <w:tc>
          <w:tcPr>
            <w:tcW w:w="625" w:type="pct"/>
            <w:noWrap/>
            <w:vAlign w:val="center"/>
          </w:tcPr>
          <w:p w14:paraId="2028F7C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0.0026 </w:t>
            </w:r>
          </w:p>
        </w:tc>
      </w:tr>
      <w:tr w14:paraId="65BD2D2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0101EDF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EMC</w:t>
            </w:r>
          </w:p>
        </w:tc>
        <w:tc>
          <w:tcPr>
            <w:tcW w:w="1324" w:type="pct"/>
            <w:noWrap/>
            <w:vAlign w:val="center"/>
          </w:tcPr>
          <w:p w14:paraId="4213610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EMC</w:t>
            </w:r>
          </w:p>
        </w:tc>
        <w:tc>
          <w:tcPr>
            <w:tcW w:w="625" w:type="pct"/>
            <w:noWrap/>
            <w:vAlign w:val="center"/>
          </w:tcPr>
          <w:p w14:paraId="7C7EB8F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4.3880 </w:t>
            </w:r>
          </w:p>
        </w:tc>
        <w:tc>
          <w:tcPr>
            <w:tcW w:w="626" w:type="pct"/>
            <w:noWrap/>
            <w:vAlign w:val="center"/>
          </w:tcPr>
          <w:p w14:paraId="2489C19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0.0408 </w:t>
            </w:r>
          </w:p>
        </w:tc>
        <w:tc>
          <w:tcPr>
            <w:tcW w:w="625" w:type="pct"/>
            <w:noWrap/>
            <w:vAlign w:val="center"/>
          </w:tcPr>
          <w:p w14:paraId="53D518D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0.9764 </w:t>
            </w:r>
          </w:p>
        </w:tc>
        <w:tc>
          <w:tcPr>
            <w:tcW w:w="625" w:type="pct"/>
            <w:noWrap/>
            <w:vAlign w:val="center"/>
          </w:tcPr>
          <w:p w14:paraId="3127FA6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0.0123 </w:t>
            </w:r>
          </w:p>
        </w:tc>
      </w:tr>
      <w:tr w14:paraId="2D9F841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25795FA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DMC</w:t>
            </w:r>
          </w:p>
        </w:tc>
        <w:tc>
          <w:tcPr>
            <w:tcW w:w="1324" w:type="pct"/>
            <w:noWrap/>
            <w:vAlign w:val="center"/>
          </w:tcPr>
          <w:p w14:paraId="3C57252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PF</w:t>
            </w:r>
            <w:r>
              <w:rPr>
                <w:rFonts w:ascii="Times New Roman" w:hAnsi="Times New Roman" w:eastAsia="等线" w:cs="Times New Roman"/>
                <w:color w:val="000000"/>
                <w:kern w:val="0"/>
                <w:szCs w:val="21"/>
                <w:vertAlign w:val="subscript"/>
              </w:rPr>
              <w:t>6</w:t>
            </w:r>
            <w:r>
              <w:rPr>
                <w:rFonts w:ascii="Times New Roman" w:hAnsi="Times New Roman" w:eastAsia="等线" w:cs="Times New Roman"/>
                <w:color w:val="000000"/>
                <w:kern w:val="0"/>
                <w:szCs w:val="21"/>
                <w:vertAlign w:val="superscript"/>
              </w:rPr>
              <w:t>-</w:t>
            </w:r>
          </w:p>
        </w:tc>
        <w:tc>
          <w:tcPr>
            <w:tcW w:w="625" w:type="pct"/>
            <w:noWrap/>
            <w:vAlign w:val="center"/>
          </w:tcPr>
          <w:p w14:paraId="7639AF7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4.4870 </w:t>
            </w:r>
          </w:p>
        </w:tc>
        <w:tc>
          <w:tcPr>
            <w:tcW w:w="626" w:type="pct"/>
            <w:noWrap/>
            <w:vAlign w:val="center"/>
          </w:tcPr>
          <w:p w14:paraId="1E0E82E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0.0154 </w:t>
            </w:r>
          </w:p>
        </w:tc>
        <w:tc>
          <w:tcPr>
            <w:tcW w:w="625" w:type="pct"/>
            <w:noWrap/>
            <w:vAlign w:val="center"/>
          </w:tcPr>
          <w:p w14:paraId="2DC1148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0.4755 </w:t>
            </w:r>
          </w:p>
        </w:tc>
        <w:tc>
          <w:tcPr>
            <w:tcW w:w="625" w:type="pct"/>
            <w:noWrap/>
            <w:vAlign w:val="center"/>
          </w:tcPr>
          <w:p w14:paraId="633CC6B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0.0034 </w:t>
            </w:r>
          </w:p>
        </w:tc>
      </w:tr>
      <w:tr w14:paraId="33350B1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5B9B2FA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DMC</w:t>
            </w:r>
          </w:p>
        </w:tc>
        <w:tc>
          <w:tcPr>
            <w:tcW w:w="1324" w:type="pct"/>
            <w:noWrap/>
            <w:vAlign w:val="center"/>
          </w:tcPr>
          <w:p w14:paraId="6B7F4C6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DMC</w:t>
            </w:r>
          </w:p>
        </w:tc>
        <w:tc>
          <w:tcPr>
            <w:tcW w:w="625" w:type="pct"/>
            <w:noWrap/>
            <w:vAlign w:val="center"/>
          </w:tcPr>
          <w:p w14:paraId="0DA3744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4.0370 </w:t>
            </w:r>
          </w:p>
        </w:tc>
        <w:tc>
          <w:tcPr>
            <w:tcW w:w="626" w:type="pct"/>
            <w:noWrap/>
            <w:vAlign w:val="center"/>
          </w:tcPr>
          <w:p w14:paraId="52B14FC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0.0131 </w:t>
            </w:r>
          </w:p>
        </w:tc>
        <w:tc>
          <w:tcPr>
            <w:tcW w:w="625" w:type="pct"/>
            <w:noWrap/>
            <w:vAlign w:val="center"/>
          </w:tcPr>
          <w:p w14:paraId="774DE8F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0.9642 </w:t>
            </w:r>
          </w:p>
        </w:tc>
        <w:tc>
          <w:tcPr>
            <w:tcW w:w="625" w:type="pct"/>
            <w:noWrap/>
            <w:vAlign w:val="center"/>
          </w:tcPr>
          <w:p w14:paraId="02EF58F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0.0241 </w:t>
            </w:r>
          </w:p>
        </w:tc>
      </w:tr>
      <w:tr w14:paraId="328847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14F6776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PSF</w:t>
            </w:r>
          </w:p>
        </w:tc>
        <w:tc>
          <w:tcPr>
            <w:tcW w:w="1324" w:type="pct"/>
            <w:noWrap/>
            <w:vAlign w:val="center"/>
          </w:tcPr>
          <w:p w14:paraId="4E4E737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FSI</w:t>
            </w:r>
            <w:r>
              <w:rPr>
                <w:rFonts w:ascii="Times New Roman" w:hAnsi="Times New Roman" w:eastAsia="等线" w:cs="Times New Roman"/>
                <w:color w:val="000000"/>
                <w:kern w:val="0"/>
                <w:szCs w:val="21"/>
                <w:vertAlign w:val="superscript"/>
              </w:rPr>
              <w:t>-</w:t>
            </w:r>
          </w:p>
        </w:tc>
        <w:tc>
          <w:tcPr>
            <w:tcW w:w="625" w:type="pct"/>
            <w:noWrap/>
            <w:vAlign w:val="center"/>
          </w:tcPr>
          <w:p w14:paraId="32AFA08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6.1375 </w:t>
            </w:r>
          </w:p>
        </w:tc>
        <w:tc>
          <w:tcPr>
            <w:tcW w:w="626" w:type="pct"/>
            <w:noWrap/>
            <w:vAlign w:val="center"/>
          </w:tcPr>
          <w:p w14:paraId="16AE12C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0.4603 </w:t>
            </w:r>
          </w:p>
        </w:tc>
        <w:tc>
          <w:tcPr>
            <w:tcW w:w="625" w:type="pct"/>
            <w:noWrap/>
            <w:vAlign w:val="center"/>
          </w:tcPr>
          <w:p w14:paraId="2F13AE9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0.4349 </w:t>
            </w:r>
          </w:p>
        </w:tc>
        <w:tc>
          <w:tcPr>
            <w:tcW w:w="625" w:type="pct"/>
            <w:noWrap/>
            <w:vAlign w:val="center"/>
          </w:tcPr>
          <w:p w14:paraId="211EB81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0.0112 </w:t>
            </w:r>
          </w:p>
        </w:tc>
      </w:tr>
      <w:tr w14:paraId="54CEF02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3135A05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PSF</w:t>
            </w:r>
          </w:p>
        </w:tc>
        <w:tc>
          <w:tcPr>
            <w:tcW w:w="1324" w:type="pct"/>
            <w:noWrap/>
            <w:vAlign w:val="center"/>
          </w:tcPr>
          <w:p w14:paraId="7153F7C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PSF</w:t>
            </w:r>
          </w:p>
        </w:tc>
        <w:tc>
          <w:tcPr>
            <w:tcW w:w="625" w:type="pct"/>
            <w:noWrap/>
            <w:vAlign w:val="center"/>
          </w:tcPr>
          <w:p w14:paraId="3D564C0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6.3505 </w:t>
            </w:r>
          </w:p>
        </w:tc>
        <w:tc>
          <w:tcPr>
            <w:tcW w:w="626" w:type="pct"/>
            <w:noWrap/>
            <w:vAlign w:val="center"/>
          </w:tcPr>
          <w:p w14:paraId="32AFEA1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0.1237 </w:t>
            </w:r>
          </w:p>
        </w:tc>
        <w:tc>
          <w:tcPr>
            <w:tcW w:w="625" w:type="pct"/>
            <w:noWrap/>
            <w:vAlign w:val="center"/>
          </w:tcPr>
          <w:p w14:paraId="21B4084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0.6421 </w:t>
            </w:r>
          </w:p>
        </w:tc>
        <w:tc>
          <w:tcPr>
            <w:tcW w:w="625" w:type="pct"/>
            <w:noWrap/>
            <w:vAlign w:val="center"/>
          </w:tcPr>
          <w:p w14:paraId="12AEBE8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0.0203 </w:t>
            </w:r>
          </w:p>
        </w:tc>
      </w:tr>
      <w:tr w14:paraId="252BFB8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21DF856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TPSF</w:t>
            </w:r>
          </w:p>
        </w:tc>
        <w:tc>
          <w:tcPr>
            <w:tcW w:w="1324" w:type="pct"/>
            <w:noWrap/>
            <w:vAlign w:val="center"/>
          </w:tcPr>
          <w:p w14:paraId="170D583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FSI</w:t>
            </w:r>
            <w:r>
              <w:rPr>
                <w:rFonts w:ascii="Times New Roman" w:hAnsi="Times New Roman" w:eastAsia="等线" w:cs="Times New Roman"/>
                <w:color w:val="000000"/>
                <w:kern w:val="0"/>
                <w:szCs w:val="21"/>
                <w:vertAlign w:val="superscript"/>
              </w:rPr>
              <w:t>-</w:t>
            </w:r>
          </w:p>
        </w:tc>
        <w:tc>
          <w:tcPr>
            <w:tcW w:w="625" w:type="pct"/>
            <w:noWrap/>
            <w:vAlign w:val="center"/>
          </w:tcPr>
          <w:p w14:paraId="75FF399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6.1745 </w:t>
            </w:r>
          </w:p>
        </w:tc>
        <w:tc>
          <w:tcPr>
            <w:tcW w:w="626" w:type="pct"/>
            <w:noWrap/>
            <w:vAlign w:val="center"/>
          </w:tcPr>
          <w:p w14:paraId="5B50FB0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0.1591 </w:t>
            </w:r>
          </w:p>
        </w:tc>
        <w:tc>
          <w:tcPr>
            <w:tcW w:w="625" w:type="pct"/>
            <w:noWrap/>
            <w:vAlign w:val="center"/>
          </w:tcPr>
          <w:p w14:paraId="4CBACC4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0.4446 </w:t>
            </w:r>
          </w:p>
        </w:tc>
        <w:tc>
          <w:tcPr>
            <w:tcW w:w="625" w:type="pct"/>
            <w:noWrap/>
            <w:vAlign w:val="center"/>
          </w:tcPr>
          <w:p w14:paraId="353AA07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0.0096 </w:t>
            </w:r>
          </w:p>
        </w:tc>
      </w:tr>
      <w:tr w14:paraId="4AE4658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235D709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TPSF</w:t>
            </w:r>
          </w:p>
        </w:tc>
        <w:tc>
          <w:tcPr>
            <w:tcW w:w="1324" w:type="pct"/>
            <w:noWrap/>
            <w:vAlign w:val="center"/>
          </w:tcPr>
          <w:p w14:paraId="52B6199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TPSF</w:t>
            </w:r>
          </w:p>
        </w:tc>
        <w:tc>
          <w:tcPr>
            <w:tcW w:w="625" w:type="pct"/>
            <w:noWrap/>
            <w:vAlign w:val="center"/>
          </w:tcPr>
          <w:p w14:paraId="2EFFA40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5.7750 </w:t>
            </w:r>
          </w:p>
        </w:tc>
        <w:tc>
          <w:tcPr>
            <w:tcW w:w="626" w:type="pct"/>
            <w:noWrap/>
            <w:vAlign w:val="center"/>
          </w:tcPr>
          <w:p w14:paraId="2045281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0.0170 </w:t>
            </w:r>
          </w:p>
        </w:tc>
        <w:tc>
          <w:tcPr>
            <w:tcW w:w="625" w:type="pct"/>
            <w:noWrap/>
            <w:vAlign w:val="center"/>
          </w:tcPr>
          <w:p w14:paraId="181EE78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0.6987 </w:t>
            </w:r>
          </w:p>
        </w:tc>
        <w:tc>
          <w:tcPr>
            <w:tcW w:w="625" w:type="pct"/>
            <w:noWrap/>
            <w:vAlign w:val="center"/>
          </w:tcPr>
          <w:p w14:paraId="74A3CC6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0.0288 </w:t>
            </w:r>
          </w:p>
        </w:tc>
      </w:tr>
      <w:tr w14:paraId="3A2DEF9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3717C03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DOL</w:t>
            </w:r>
          </w:p>
        </w:tc>
        <w:tc>
          <w:tcPr>
            <w:tcW w:w="1324" w:type="pct"/>
            <w:noWrap/>
            <w:vAlign w:val="center"/>
          </w:tcPr>
          <w:p w14:paraId="2534CA9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TFSI</w:t>
            </w:r>
            <w:r>
              <w:rPr>
                <w:rFonts w:ascii="Times New Roman" w:hAnsi="Times New Roman" w:eastAsia="等线" w:cs="Times New Roman"/>
                <w:color w:val="000000"/>
                <w:kern w:val="0"/>
                <w:szCs w:val="21"/>
                <w:vertAlign w:val="superscript"/>
              </w:rPr>
              <w:t>-</w:t>
            </w:r>
          </w:p>
        </w:tc>
        <w:tc>
          <w:tcPr>
            <w:tcW w:w="625" w:type="pct"/>
            <w:noWrap/>
            <w:vAlign w:val="center"/>
          </w:tcPr>
          <w:p w14:paraId="754D55A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6.1120 </w:t>
            </w:r>
          </w:p>
        </w:tc>
        <w:tc>
          <w:tcPr>
            <w:tcW w:w="626" w:type="pct"/>
            <w:noWrap/>
            <w:vAlign w:val="center"/>
          </w:tcPr>
          <w:p w14:paraId="32DAD99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0.0149 </w:t>
            </w:r>
          </w:p>
        </w:tc>
        <w:tc>
          <w:tcPr>
            <w:tcW w:w="625" w:type="pct"/>
            <w:noWrap/>
            <w:vAlign w:val="center"/>
          </w:tcPr>
          <w:p w14:paraId="10DADA2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0.5455 </w:t>
            </w:r>
          </w:p>
        </w:tc>
        <w:tc>
          <w:tcPr>
            <w:tcW w:w="625" w:type="pct"/>
            <w:noWrap/>
            <w:vAlign w:val="center"/>
          </w:tcPr>
          <w:p w14:paraId="36F0425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0.0279 </w:t>
            </w:r>
          </w:p>
        </w:tc>
      </w:tr>
      <w:tr w14:paraId="36DAFD2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0F4CD0C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DOL</w:t>
            </w:r>
          </w:p>
        </w:tc>
        <w:tc>
          <w:tcPr>
            <w:tcW w:w="1324" w:type="pct"/>
            <w:noWrap/>
            <w:vAlign w:val="center"/>
          </w:tcPr>
          <w:p w14:paraId="10F2AEE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DOL</w:t>
            </w:r>
          </w:p>
        </w:tc>
        <w:tc>
          <w:tcPr>
            <w:tcW w:w="625" w:type="pct"/>
            <w:noWrap/>
            <w:vAlign w:val="center"/>
          </w:tcPr>
          <w:p w14:paraId="492D6FE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5.2630 </w:t>
            </w:r>
          </w:p>
        </w:tc>
        <w:tc>
          <w:tcPr>
            <w:tcW w:w="626" w:type="pct"/>
            <w:noWrap/>
            <w:vAlign w:val="center"/>
          </w:tcPr>
          <w:p w14:paraId="6F2A8E1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0.0154 </w:t>
            </w:r>
          </w:p>
        </w:tc>
        <w:tc>
          <w:tcPr>
            <w:tcW w:w="625" w:type="pct"/>
            <w:noWrap/>
            <w:vAlign w:val="center"/>
          </w:tcPr>
          <w:p w14:paraId="4E98EEE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0.9259 </w:t>
            </w:r>
          </w:p>
        </w:tc>
        <w:tc>
          <w:tcPr>
            <w:tcW w:w="625" w:type="pct"/>
            <w:noWrap/>
            <w:vAlign w:val="center"/>
          </w:tcPr>
          <w:p w14:paraId="5C11EDC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0.0149 </w:t>
            </w:r>
          </w:p>
        </w:tc>
      </w:tr>
      <w:tr w14:paraId="1C5EFB6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0A2E743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TFEO</w:t>
            </w:r>
          </w:p>
        </w:tc>
        <w:tc>
          <w:tcPr>
            <w:tcW w:w="1324" w:type="pct"/>
            <w:noWrap/>
            <w:vAlign w:val="center"/>
          </w:tcPr>
          <w:p w14:paraId="332C706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FSI</w:t>
            </w:r>
            <w:r>
              <w:rPr>
                <w:rFonts w:ascii="Times New Roman" w:hAnsi="Times New Roman" w:eastAsia="等线" w:cs="Times New Roman"/>
                <w:color w:val="000000"/>
                <w:kern w:val="0"/>
                <w:szCs w:val="21"/>
                <w:vertAlign w:val="superscript"/>
              </w:rPr>
              <w:t>-</w:t>
            </w:r>
          </w:p>
        </w:tc>
        <w:tc>
          <w:tcPr>
            <w:tcW w:w="625" w:type="pct"/>
            <w:noWrap/>
            <w:vAlign w:val="center"/>
          </w:tcPr>
          <w:p w14:paraId="4AE0781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5.9130 </w:t>
            </w:r>
          </w:p>
        </w:tc>
        <w:tc>
          <w:tcPr>
            <w:tcW w:w="626" w:type="pct"/>
            <w:noWrap/>
            <w:vAlign w:val="center"/>
          </w:tcPr>
          <w:p w14:paraId="206B899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0.0354 </w:t>
            </w:r>
          </w:p>
        </w:tc>
        <w:tc>
          <w:tcPr>
            <w:tcW w:w="625" w:type="pct"/>
            <w:noWrap/>
            <w:vAlign w:val="center"/>
          </w:tcPr>
          <w:p w14:paraId="588AE03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0.4954 </w:t>
            </w:r>
          </w:p>
        </w:tc>
        <w:tc>
          <w:tcPr>
            <w:tcW w:w="625" w:type="pct"/>
            <w:noWrap/>
            <w:vAlign w:val="center"/>
          </w:tcPr>
          <w:p w14:paraId="62C78C5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0.0111 </w:t>
            </w:r>
          </w:p>
        </w:tc>
      </w:tr>
      <w:tr w14:paraId="24863F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1175" w:type="pct"/>
            <w:noWrap/>
            <w:vAlign w:val="center"/>
          </w:tcPr>
          <w:p w14:paraId="02E09C6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TFEO</w:t>
            </w:r>
          </w:p>
        </w:tc>
        <w:tc>
          <w:tcPr>
            <w:tcW w:w="1324" w:type="pct"/>
            <w:noWrap/>
            <w:vAlign w:val="center"/>
          </w:tcPr>
          <w:p w14:paraId="7DDCF56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TFEO</w:t>
            </w:r>
          </w:p>
        </w:tc>
        <w:tc>
          <w:tcPr>
            <w:tcW w:w="625" w:type="pct"/>
            <w:noWrap/>
            <w:vAlign w:val="center"/>
          </w:tcPr>
          <w:p w14:paraId="20BF766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7.9500 </w:t>
            </w:r>
          </w:p>
        </w:tc>
        <w:tc>
          <w:tcPr>
            <w:tcW w:w="626" w:type="pct"/>
            <w:noWrap/>
            <w:vAlign w:val="center"/>
          </w:tcPr>
          <w:p w14:paraId="6C2DC28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0.1952 </w:t>
            </w:r>
          </w:p>
        </w:tc>
        <w:tc>
          <w:tcPr>
            <w:tcW w:w="625" w:type="pct"/>
            <w:noWrap/>
            <w:vAlign w:val="center"/>
          </w:tcPr>
          <w:p w14:paraId="328D8E7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0.8816 </w:t>
            </w:r>
          </w:p>
        </w:tc>
        <w:tc>
          <w:tcPr>
            <w:tcW w:w="625" w:type="pct"/>
            <w:noWrap/>
            <w:vAlign w:val="center"/>
          </w:tcPr>
          <w:p w14:paraId="7B9F2CC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0.0437 </w:t>
            </w:r>
          </w:p>
        </w:tc>
      </w:tr>
    </w:tbl>
    <w:p w14:paraId="4D300D95">
      <w:pPr>
        <w:widowControl/>
        <w:jc w:val="left"/>
        <w:rPr>
          <w:rFonts w:ascii="Times New Roman" w:hAnsi="Times New Roman" w:cs="Times New Roman"/>
          <w:b/>
          <w:bCs/>
          <w:sz w:val="24"/>
          <w:szCs w:val="21"/>
        </w:rPr>
      </w:pPr>
    </w:p>
    <w:p w14:paraId="4785E2FF">
      <w:pPr>
        <w:widowControl/>
        <w:jc w:val="left"/>
        <w:rPr>
          <w:rFonts w:ascii="Times New Roman" w:hAnsi="Times New Roman" w:cs="Times New Roman"/>
          <w:b/>
          <w:bCs/>
          <w:sz w:val="24"/>
          <w:szCs w:val="21"/>
        </w:rPr>
      </w:pPr>
      <w:r>
        <w:rPr>
          <w:rFonts w:ascii="Times New Roman" w:hAnsi="Times New Roman" w:cs="Times New Roman"/>
          <w:b/>
          <w:bCs/>
          <w:sz w:val="24"/>
          <w:szCs w:val="21"/>
        </w:rPr>
        <w:br w:type="page"/>
      </w:r>
    </w:p>
    <w:p w14:paraId="7662309E">
      <w:pPr>
        <w:widowControl/>
        <w:adjustRightInd w:val="0"/>
        <w:snapToGrid w:val="0"/>
        <w:spacing w:after="156" w:afterLines="50" w:line="360" w:lineRule="auto"/>
        <w:rPr>
          <w:rFonts w:ascii="Times New Roman" w:hAnsi="Times New Roman" w:eastAsia="宋体" w:cs="Times New Roman"/>
          <w:sz w:val="24"/>
          <w:szCs w:val="24"/>
        </w:rPr>
      </w:pPr>
      <w:bookmarkStart w:id="23" w:name="_Toc221108145"/>
      <w:r>
        <w:rPr>
          <w:rStyle w:val="27"/>
          <w:rFonts w:cs="Times New Roman"/>
        </w:rPr>
        <w:t>Supplementary Table 11 | Parameter comparison between OPLS&amp;Pol and CL&amp;Pol.</w:t>
      </w:r>
      <w:bookmarkEnd w:id="23"/>
      <w:r>
        <w:rPr>
          <w:rStyle w:val="27"/>
          <w:rFonts w:cs="Times New Roman"/>
        </w:rPr>
        <w:t xml:space="preserve"> </w:t>
      </w:r>
      <w:r>
        <w:rPr>
          <w:rFonts w:ascii="Times New Roman" w:hAnsi="Times New Roman" w:cs="Times New Roman"/>
          <w:sz w:val="24"/>
          <w:szCs w:val="24"/>
        </w:rPr>
        <w:t>Comparison of key parameters (</w:t>
      </w:r>
      <w:r>
        <w:rPr>
          <w:rFonts w:ascii="Times New Roman" w:hAnsi="Times New Roman" w:cs="Times New Roman"/>
          <w:i/>
          <w:iCs/>
          <w:sz w:val="24"/>
          <w:szCs w:val="24"/>
          <w:lang w:val="el-GR"/>
        </w:rPr>
        <w:t>α</w:t>
      </w:r>
      <w:r>
        <w:rPr>
          <w:rFonts w:ascii="Times New Roman" w:hAnsi="Times New Roman" w:cs="Times New Roman"/>
          <w:sz w:val="24"/>
          <w:szCs w:val="24"/>
          <w:lang w:val="el-GR"/>
        </w:rPr>
        <w:t>,</w:t>
      </w:r>
      <w:r>
        <w:rPr>
          <w:rFonts w:ascii="Times New Roman" w:hAnsi="Times New Roman" w:cs="Times New Roman"/>
          <w:sz w:val="24"/>
          <w:szCs w:val="24"/>
        </w:rPr>
        <w:t xml:space="preserve"> </w:t>
      </w:r>
      <w:r>
        <w:rPr>
          <w:rFonts w:ascii="Times New Roman" w:hAnsi="Times New Roman" w:cs="Times New Roman"/>
          <w:i/>
          <w:iCs/>
          <w:sz w:val="24"/>
          <w:szCs w:val="24"/>
        </w:rPr>
        <w:t>μ</w:t>
      </w:r>
      <w:r>
        <w:rPr>
          <w:rFonts w:ascii="Times New Roman" w:hAnsi="Times New Roman" w:cs="Times New Roman"/>
          <w:sz w:val="24"/>
          <w:szCs w:val="24"/>
        </w:rPr>
        <w:t xml:space="preserve">, </w:t>
      </w:r>
      <w:r>
        <w:rPr>
          <w:rFonts w:ascii="Times New Roman" w:hAnsi="Times New Roman" w:cs="Times New Roman"/>
          <w:i/>
          <w:iCs/>
          <w:sz w:val="24"/>
          <w:szCs w:val="24"/>
        </w:rPr>
        <w:t>r</w:t>
      </w:r>
      <w:r>
        <w:rPr>
          <w:rFonts w:ascii="Times New Roman" w:hAnsi="Times New Roman" w:cs="Times New Roman"/>
          <w:sz w:val="24"/>
          <w:szCs w:val="24"/>
          <w:vertAlign w:val="subscript"/>
        </w:rPr>
        <w:t>CoM</w:t>
      </w:r>
      <w:r>
        <w:rPr>
          <w:rFonts w:ascii="Times New Roman" w:hAnsi="Times New Roman" w:cs="Times New Roman"/>
          <w:sz w:val="24"/>
          <w:szCs w:val="24"/>
        </w:rPr>
        <w:t xml:space="preserve">, </w:t>
      </w:r>
      <w:r>
        <w:rPr>
          <w:rFonts w:ascii="Times New Roman" w:hAnsi="Times New Roman" w:cs="Times New Roman"/>
          <w:i/>
          <w:iCs/>
          <w:sz w:val="24"/>
          <w:szCs w:val="24"/>
        </w:rPr>
        <w:t>K</w:t>
      </w:r>
      <w:r>
        <w:rPr>
          <w:rFonts w:ascii="Times New Roman" w:hAnsi="Times New Roman" w:cs="Times New Roman"/>
          <w:sz w:val="24"/>
          <w:szCs w:val="24"/>
          <w:vertAlign w:val="subscript"/>
        </w:rPr>
        <w:t>LJ</w:t>
      </w:r>
      <w:r>
        <w:rPr>
          <w:rFonts w:ascii="Times New Roman" w:hAnsi="Times New Roman" w:cs="Times New Roman"/>
          <w:sz w:val="24"/>
          <w:szCs w:val="24"/>
        </w:rPr>
        <w:t>) for LiFSI:DME electrolytes derived in this work versus those from the published CL&amp;Pol.</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{"citationID":"lFqS52KK","properties":{"formattedCitation":"\\super 4\\uc0\\u8211{}6,53\\nosupersub{}","plainCitation":"4–6,53","noteIndex":0},"citationItems":[{"id":1315,"uris":["http://zotero.org/users/17156447/items/6KDBJX4M"],"itemData":{"id":1315,"type":"article-journal","abstract":"One important development in interaction potential models, or atomistic force fields, for molecular simulation is the inclusion of explicit polarisation, which represents the induction effects of charged or polar molecules on polarisable electron clouds. Polarisation can be included through fluctuating charges, induced multipoles, or Drude dipoles. This work uses Drude dipoles and is focused on room-temperature ionic liquids, for which fixed-charge models predict too slow dynamics. The aim of this study is to devise a strategy to adapt existing non-polarisable force fields upon addition of polarisation, because induction was already contained to an extent, implicitly, due to parametrisation against empirical data. Therefore, a fraction of the van der Waals interaction energy should be subtracted so that the Lennard-Jones terms only account for dispersion and the Drude dipoles for induction. Symmetry-adapted perturbation theory is used to resolve the dispersion and induction terms in dimers and to calculate scaling factors to reduce the Lennard-Jones terms from the non-polarisable model. Simply adding Drude dipoles to an existing fixed-charge model already improves the prediction of transport properties, increasing diffusion coefficients, and lowering the viscosity. Scaling down the Lennard-Jones terms leads to still faster dynamics and densities that match experiment extremely well. The concept developed here improves the overall prediction of density and transport properties and can be adapted to other models and systems. In terms of microscopic structure of the ionic liquids, the inclusion of polarisation and the down-scaling of Lennard-Jones terms affect only slightly the ordering of the first shell of counterions, leading to small decreases in coordination numbers. Remarkably, the effect of polarisation is major beyond first neighbours, significantly weakening spatial correlations, a structural effect that is certainly related to the faster dynamics of polarisable models.","container-title":"Journal of Chemical Physics","DOI":"10.1063/1.4983687","ISSN":"0021-9606, 1089-7690","issue":"20","journalAbbreviation":"J. Chem. Phys.","language":"en","note":"52 citations (Crossref/DOI) [2025-10-12]\nTLDR: The aim of this study is to devise a strategy to adapt existing non-polarisable force fields upon addition of polarisation, because induction was already contained to an extent, implicitly, due to parametrisation against empirical data.","page":"204501","source":"DOI.org (Crossref)","title":"Resolving dispersion and induction components for polarisable molecular simulations of ionic liquids","volume":"146","author":[{"family":"Pádua","given":"Agílio A. H."}],"issued":{"date-parts":[["2017",5,28]]}}},{"id":1055,"uris":["http://zotero.org/users/17156447/items/87X24NZM"],"itemData":{"id":1055,"type":"article-journal","abstract":"A general, transferable, polarizable force ﬁeld for molecular simulation of ionic liquids (ILs) and their mixtures with molecular compounds is developed. This polarizable model is derived from the widely used CL&amp;P ﬁxed-charge force ﬁeld that describes most families of ILs, in a form compatible with OPLS-AA, one of the major force ﬁelds for organic compounds. Models for ILs with ﬁxed, integer-ionic charges lead to pathologically slow dynamics, a problem that is corrected when polarization eﬀects are included explicitly. In the model proposed here, Drude-induced dipoles are used with parameters determined from atomic polarizabilities. The CL&amp;P force ﬁeld is modiﬁed upon inclusion of the Drude dipoles to avoid double-counting of polarization eﬀects. This modiﬁcation is based on ﬁrst-principles calculations of the dispersion and induction contributions to the van der Waals interactions using symmetry-adapted perturbation theory (SAPT) for a set of dimers composed of positive, negative, and neutral fragments representative of a wide variety of ILs. The fragment approach provides transferability, allowing the representation of a multitude of cation and anion families, including diﬀerent functional groups, without the need to reparametrize. Because SAPT calculations are expensive, an alternative predictive scheme was devised, requiring only molecular properties with a clear physical meaning, namely, dipole moments and atomic polarizabilities. The new polarizable force ﬁeld, CL&amp;Pol, describes a broad set of ILs and their mixtures with molecular compounds and is validated by comparisons with experimental data on density, ion diﬀusion coeﬃcients, and viscosity. The approaches proposed here can also be applied to the conversion of other ﬁxed-charge force ﬁelds into polarizable versions.","container-title":"Journal of Chemical Theory and Computation","DOI":"10.1021/acs.jctc.9b00689","ISSN":"1549-9618, 1549-9626","issue":"11","journalAbbreviation":"J. Chem. Theory Comput.","language":"en","license":"https://doi.org/10.15223/policy-029","note":"149 citations (Crossref/DOI) [2025-06-19]\nJCR分区: Q1\n5年影响因子: 6.4","page":"5858-5871","source":"DOI.org (Crossref)","title":"Transferable, polarizable force field for ionic liquids","volume":"15","author":[{"family":"Goloviznina","given":"Kateryna"},{"family":"Canongia Lopes","given":"José N."},{"family":"Costa Gomes","given":"Margarida"},{"family":"Pádua","given":"Agílio A. H."}],"issued":{"date-parts":[["2019",11,12]]}}},{"id":722,"uris":["http://zotero.org/users/17156447/items/C6V6N67J"],"itemData":{"id":722,"type":"article-journal","abstract":"Molecular dynamics (MD) simulation, and theoretical chemistry in general, have been central tools in the study of ionic liquids (ILs) and eutectic solvents, both of which are fluid phases dominated by ionic interactions and strong hydrogen bonds. These systems are still relatively recent, so the amount of experimental information given their enormous diversity is still scarce. Computational studies have produced several important discoveries, besides helping in the interpretation of experimental findings. Here we review the latest developments in the models describing the interactions and conformations of IL phases with atomic detail, in particular polarizable force fields. In these allatom models, the response of electron clouds to their electrostatic environment is represented by induced dipoles, therefore moving beyond the pair-wise additivity of fixed-charge force fields. Most of the conceptual framework to develop polarizable force fields has been available and implemented in major MD codes, so the main challenge to develop a useful polarizable model for ILs and eutectic solvents is how to handle their diversity in chemical structures and interactions, in order to build a model that can represent solutions, mixtures and interfaces with materials, and that is not too difficult to extend to new systems. As is often the case, force field development is not only science but it is also an art! The ingredients of successful force fields are often the result of pragmatism and heuristics, rather than mathematical complexity and absolutely rigorous physics (although retaining a sound physical basis in the parameters definitely helps). We focus on the CL&amp;Pol polarizable force field for ILs, protic ionic liquids, and eutectic solvents, improving on previousgeneration fixed charge models. The CL&amp;Pol force field is built as a detailed but extendable and transferable model offering more reliable predictions of thermodynamic, structural, and transport properties, which should contribute to the advancement of the field and towards the design of better solvents, electrolytes, lubricants, and so on.","container-title":"WIREs Computational Molecular Science","DOI":"10.1002/wcms.1572","ISSN":"1759-0876, 1759-0884","issue":"3","journalAbbreviation":"WIREs Comput. Mol. Sci.","language":"en","note":"37 citations (Crossref/DOI) [2025-05-22]\nGSCC: 0000369 2025-05-19T01:53:40.568Z 2.31 \n37 citations (Crossref/DOI) [2025-05-16]","page":"e1572","source":"DOI.org (Crossref)","title":"The CL&amp;pol polarizable force field for the simulation of ionic liquids and eutectic solvents","volume":"12","author":[{"family":"Goloviznina","given":"Kateryna"},{"family":"Gong","given":"Zheng"},{"family":"Padua","given":"Agilio A. H."}],"issued":{"date-parts":[["2022",5]]}}},{"id":1053,"uris":["http://zotero.org/users/17156447/items/FCYUD9JI"],"itemData":{"id":1053,"type":"article-journal","abstract":"The polarizable CL&amp;Pol force ﬁeld presented in our previous study, Transferable, Polarizable Force Field for Ionic Liquids (J. Chem. Theory Comput. 2019, 15, 5858, DOI: http://doi.org/10.1021/acs.jctc.9b0068910.1021/ acs.jctc.9b00689), is extended to electrolytes, protic ionic liquids (PIL), deep eutectic solvents (DES), and glycols. These systems are problematic in polarizable simulations because they contain either small, highly charged ions or strong hydrogen bonds, which cause trajectory instabilities due to the pull exerted on the induced dipoles. We use a Tang−Toennies (TT) function to dampen, or smear, the interactions between charges and induced dipole at a short range involving small, highly charged atoms (such as hydrogen or lithium), thus preventing the “polarization catastrophe”. The new force ﬁeld gives stable trajectories and is validated through comparison with experimental data on density, viscosity, and ion diﬀusion coeﬃcients of liquid systems of the above-mentioned classes. The results also shed light on the hydrogen-bonding pattern in ethylammonium nitrate, a PIL, for which the literature contains conﬂicting views. We describe the implementation of the TT damping function, of the temperature-grouped Nosé−Hoover thermostat for polarizable molecular dynamics (MD) and of the periodic perturbation method for viscosity evaluation from nonequilibrium trajectories in the LAMMPS MD code. The main result of this work is the wider applicability of the CL&amp;Pol polarizable force ﬁeld to new, important classes of ﬂuids, achieving robust trajectories and a good description of equilibrium and transport properties in challenging systems. The fragment-based approach of CL&amp;Pol will allow ready extension to a wide variety of PILs, DES, and electrolytes.","container-title":"Journal of Chemical Theory and Computation","DOI":"10.1021/acs.jctc.0c01002","ISSN":"1549-9618, 1549-9626","issue":"3","journalAbbreviation":"J. Chem. Theory Comput.","language":"en","license":"https://doi.org/10.15223/policy-029","note":"75 citations (Crossref/DOI) [2025-06-19]\nJCR分区: Q1\n5年影响因子: 6.4","page":"1606-1617","source":"DOI.org (Crossref)","title":"Extension of the CL&amp;pol polarizable force field to electrolytes, protic ionic liquids, and deep eutectic solvents","volume":"17","author":[{"family":"Goloviznina","given":"Kateryna"},{"family":"Gong","given":"Zheng"},{"family":"Costa Gomes","given":"Margarida F."},{"family":"Pádua","given":"Agílio A. H."}],"issued":{"date-parts":[["2021",3,9]]}}}],"schema":"https://github.com/citation-style-language/schema/raw/master/csl-citation.json"}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4–6,53</w:t>
      </w:r>
      <w:r>
        <w:rPr>
          <w:rFonts w:ascii="Times New Roman" w:hAnsi="Times New Roman" w:cs="Times New Roman"/>
          <w:sz w:val="24"/>
          <w:szCs w:val="24"/>
        </w:rPr>
        <w:fldChar w:fldCharType="end"/>
      </w:r>
      <w:r>
        <w:rPr>
          <w:rFonts w:ascii="Times New Roman" w:hAnsi="Times New Roman" w:cs="Times New Roman"/>
          <w:sz w:val="24"/>
          <w:szCs w:val="24"/>
        </w:rPr>
        <w:t xml:space="preserve"> For CL&amp;Pol benchmark, </w:t>
      </w:r>
      <w:r>
        <w:rPr>
          <w:rFonts w:ascii="Times New Roman" w:hAnsi="Times New Roman" w:eastAsia="宋体" w:cs="Times New Roman"/>
          <w:sz w:val="24"/>
          <w:szCs w:val="24"/>
        </w:rPr>
        <w:t xml:space="preserve">we evaluated different </w:t>
      </w:r>
      <w:r>
        <w:rPr>
          <w:rFonts w:ascii="Times New Roman" w:hAnsi="Times New Roman" w:eastAsia="宋体" w:cs="Times New Roman"/>
          <w:i/>
          <w:iCs/>
          <w:sz w:val="24"/>
          <w:szCs w:val="24"/>
        </w:rPr>
        <w:t>K</w:t>
      </w:r>
      <w:r>
        <w:rPr>
          <w:rFonts w:ascii="Times New Roman" w:hAnsi="Times New Roman" w:eastAsia="宋体" w:cs="Times New Roman"/>
          <w:sz w:val="24"/>
          <w:szCs w:val="24"/>
          <w:vertAlign w:val="subscript"/>
        </w:rPr>
        <w:t>LJ</w:t>
      </w:r>
      <w:r>
        <w:rPr>
          <w:rFonts w:ascii="Times New Roman" w:hAnsi="Times New Roman" w:eastAsia="宋体" w:cs="Times New Roman"/>
          <w:sz w:val="24"/>
          <w:szCs w:val="24"/>
        </w:rP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{"citationID":"FhF24ktb","properties":{"formattedCitation":"\\super 4\\uc0\\u8211{}6,53\\nosupersub{}","plainCitation":"4–6,53","noteIndex":0},"citationItems":[{"id":1315,"uris":["http://zotero.org/users/17156447/items/6KDBJX4M"],"itemData":{"id":1315,"type":"article-journal","abstract":"One important development in interaction potential models, or atomistic force fields, for molecular simulation is the inclusion of explicit polarisation, which represents the induction effects of charged or polar molecules on polarisable electron clouds. Polarisation can be included through fluctuating charges, induced multipoles, or Drude dipoles. This work uses Drude dipoles and is focused on room-temperature ionic liquids, for which fixed-charge models predict too slow dynamics. The aim of this study is to devise a strategy to adapt existing non-polarisable force fields upon addition of polarisation, because induction was already contained to an extent, implicitly, due to parametrisation against empirical data. Therefore, a fraction of the van der Waals interaction energy should be subtracted so that the Lennard-Jones terms only account for dispersion and the Drude dipoles for induction. Symmetry-adapted perturbation theory is used to resolve the dispersion and induction terms in dimers and to calculate scaling factors to reduce the Lennard-Jones terms from the non-polarisable model. Simply adding Drude dipoles to an existing fixed-charge model already improves the prediction of transport properties, increasing diffusion coefficients, and lowering the viscosity. Scaling down the Lennard-Jones terms leads to still faster dynamics and densities that match experiment extremely well. The concept developed here improves the overall prediction of density and transport properties and can be adapted to other models and systems. In terms of microscopic structure of the ionic liquids, the inclusion of polarisation and the down-scaling of Lennard-Jones terms affect only slightly the ordering of the first shell of counterions, leading to small decreases in coordination numbers. Remarkably, the effect of polarisation is major beyond first neighbours, significantly weakening spatial correlations, a structural effect that is certainly related to the faster dynamics of polarisable models.","container-title":"Journal of Chemical Physics","DOI":"10.1063/1.4983687","ISSN":"0021-9606, 1089-7690","issue":"20","journalAbbreviation":"J. Chem. Phys.","language":"en","note":"52 citations (Crossref/DOI) [2025-10-12]\nTLDR: The aim of this study is to devise a strategy to adapt existing non-polarisable force fields upon addition of polarisation, because induction was already contained to an extent, implicitly, due to parametrisation against empirical data.","page":"204501","source":"DOI.org (Crossref)","title":"Resolving dispersion and induction components for polarisable molecular simulations of ionic liquids","volume":"146","author":[{"family":"Pádua","given":"Agílio A. H."}],"issued":{"date-parts":[["2017",5,28]]}}},{"id":1055,"uris":["http://zotero.org/users/17156447/items/87X24NZM"],"itemData":{"id":1055,"type":"article-journal","abstract":"A general, transferable, polarizable force ﬁeld for molecular simulation of ionic liquids (ILs) and their mixtures with molecular compounds is developed. This polarizable model is derived from the widely used CL&amp;P ﬁxed-charge force ﬁeld that describes most families of ILs, in a form compatible with OPLS-AA, one of the major force ﬁelds for organic compounds. Models for ILs with ﬁxed, integer-ionic charges lead to pathologically slow dynamics, a problem that is corrected when polarization eﬀects are included explicitly. In the model proposed here, Drude-induced dipoles are used with parameters determined from atomic polarizabilities. The CL&amp;P force ﬁeld is modiﬁed upon inclusion of the Drude dipoles to avoid double-counting of polarization eﬀects. This modiﬁcation is based on ﬁrst-principles calculations of the dispersion and induction contributions to the van der Waals interactions using symmetry-adapted perturbation theory (SAPT) for a set of dimers composed of positive, negative, and neutral fragments representative of a wide variety of ILs. The fragment approach provides transferability, allowing the representation of a multitude of cation and anion families, including diﬀerent functional groups, without the need to reparametrize. Because SAPT calculations are expensive, an alternative predictive scheme was devised, requiring only molecular properties with a clear physical meaning, namely, dipole moments and atomic polarizabilities. The new polarizable force ﬁeld, CL&amp;Pol, describes a broad set of ILs and their mixtures with molecular compounds and is validated by comparisons with experimental data on density, ion diﬀusion coeﬃcients, and viscosity. The approaches proposed here can also be applied to the conversion of other ﬁxed-charge force ﬁelds into polarizable versions.","container-title":"Journal of Chemical Theory and Computation","DOI":"10.1021/acs.jctc.9b00689","ISSN":"1549-9618, 1549-9626","issue":"11","journalAbbreviation":"J. Chem. Theory Comput.","language":"en","license":"https://doi.org/10.15223/policy-029","note":"149 citations (Crossref/DOI) [2025-06-19]\nJCR分区: Q1\n5年影响因子: 6.4","page":"5858-5871","source":"DOI.org (Crossref)","title":"Transferable, polarizable force field for ionic liquids","volume":"15","author":[{"family":"Goloviznina","given":"Kateryna"},{"family":"Canongia Lopes","given":"José N."},{"family":"Costa Gomes","given":"Margarida"},{"family":"Pádua","given":"Agílio A. H."}],"issued":{"date-parts":[["2019",11,12]]}}},{"id":722,"uris":["http://zotero.org/users/17156447/items/C6V6N67J"],"itemData":{"id":722,"type":"article-journal","abstract":"Molecular dynamics (MD) simulation, and theoretical chemistry in general, have been central tools in the study of ionic liquids (ILs) and eutectic solvents, both of which are fluid phases dominated by ionic interactions and strong hydrogen bonds. These systems are still relatively recent, so the amount of experimental information given their enormous diversity is still scarce. Computational studies have produced several important discoveries, besides helping in the interpretation of experimental findings. Here we review the latest developments in the models describing the interactions and conformations of IL phases with atomic detail, in particular polarizable force fields. In these allatom models, the response of electron clouds to their electrostatic environment is represented by induced dipoles, therefore moving beyond the pair-wise additivity of fixed-charge force fields. Most of the conceptual framework to develop polarizable force fields has been available and implemented in major MD codes, so the main challenge to develop a useful polarizable model for ILs and eutectic solvents is how to handle their diversity in chemical structures and interactions, in order to build a model that can represent solutions, mixtures and interfaces with materials, and that is not too difficult to extend to new systems. As is often the case, force field development is not only science but it is also an art! The ingredients of successful force fields are often the result of pragmatism and heuristics, rather than mathematical complexity and absolutely rigorous physics (although retaining a sound physical basis in the parameters definitely helps). We focus on the CL&amp;Pol polarizable force field for ILs, protic ionic liquids, and eutectic solvents, improving on previousgeneration fixed charge models. The CL&amp;Pol force field is built as a detailed but extendable and transferable model offering more reliable predictions of thermodynamic, structural, and transport properties, which should contribute to the advancement of the field and towards the design of better solvents, electrolytes, lubricants, and so on.","container-title":"WIREs Computational Molecular Science","DOI":"10.1002/wcms.1572","ISSN":"1759-0876, 1759-0884","issue":"3","journalAbbreviation":"WIREs Comput. Mol. Sci.","language":"en","note":"37 citations (Crossref/DOI) [2025-05-22]\nGSCC: 0000369 2025-05-19T01:53:40.568Z 2.31 \n37 citations (Crossref/DOI) [2025-05-16]","page":"e1572","source":"DOI.org (Crossref)","title":"The CL&amp;pol polarizable force field for the simulation of ionic liquids and eutectic solvents","volume":"12","author":[{"family":"Goloviznina","given":"Kateryna"},{"family":"Gong","given":"Zheng"},{"family":"Padua","given":"Agilio A. H."}],"issued":{"date-parts":[["2022",5]]}}},{"id":1053,"uris":["http://zotero.org/users/17156447/items/FCYUD9JI"],"itemData":{"id":1053,"type":"article-journal","abstract":"The polarizable CL&amp;Pol force ﬁeld presented in our previous study, Transferable, Polarizable Force Field for Ionic Liquids (J. Chem. Theory Comput. 2019, 15, 5858, DOI: http://doi.org/10.1021/acs.jctc.9b0068910.1021/ acs.jctc.9b00689), is extended to electrolytes, protic ionic liquids (PIL), deep eutectic solvents (DES), and glycols. These systems are problematic in polarizable simulations because they contain either small, highly charged ions or strong hydrogen bonds, which cause trajectory instabilities due to the pull exerted on the induced dipoles. We use a Tang−Toennies (TT) function to dampen, or smear, the interactions between charges and induced dipole at a short range involving small, highly charged atoms (such as hydrogen or lithium), thus preventing the “polarization catastrophe”. The new force ﬁeld gives stable trajectories and is validated through comparison with experimental data on density, viscosity, and ion diﬀusion coeﬃcients of liquid systems of the above-mentioned classes. The results also shed light on the hydrogen-bonding pattern in ethylammonium nitrate, a PIL, for which the literature contains conﬂicting views. We describe the implementation of the TT damping function, of the temperature-grouped Nosé−Hoover thermostat for polarizable molecular dynamics (MD) and of the periodic perturbation method for viscosity evaluation from nonequilibrium trajectories in the LAMMPS MD code. The main result of this work is the wider applicability of the CL&amp;Pol polarizable force ﬁeld to new, important classes of ﬂuids, achieving robust trajectories and a good description of equilibrium and transport properties in challenging systems. The fragment-based approach of CL&amp;Pol will allow ready extension to a wide variety of PILs, DES, and electrolytes.","container-title":"Journal of Chemical Theory and Computation","DOI":"10.1021/acs.jctc.0c01002","ISSN":"1549-9618, 1549-9626","issue":"3","journalAbbreviation":"J. Chem. Theory Comput.","language":"en","license":"https://doi.org/10.15223/policy-029","note":"75 citations (Crossref/DOI) [2025-06-19]\nJCR分区: Q1\n5年影响因子: 6.4","page":"1606-1617","source":"DOI.org (Crossref)","title":"Extension of the CL&amp;pol polarizable force field to electrolytes, protic ionic liquids, and deep eutectic solvents","volume":"17","author":[{"family":"Goloviznina","given":"Kateryna"},{"family":"Gong","given":"Zheng"},{"family":"Costa Gomes","given":"Margarida F."},{"family":"Pádua","given":"Agílio A. H."}],"issued":{"date-parts":[["2021",3,9]]}}}],"schema":"https://github.com/citation-style-language/schema/raw/master/csl-citation.json"}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4–6,53</w:t>
      </w:r>
      <w:r>
        <w:rPr>
          <w:rFonts w:ascii="Times New Roman" w:hAnsi="Times New Roman" w:cs="Times New Roman"/>
          <w:sz w:val="24"/>
          <w:szCs w:val="24"/>
        </w:rPr>
        <w:fldChar w:fldCharType="end"/>
      </w:r>
      <w:r>
        <w:rPr>
          <w:rFonts w:ascii="Times New Roman" w:hAnsi="Times New Roman" w:eastAsia="宋体" w:cs="Times New Roman"/>
          <w:sz w:val="24"/>
          <w:szCs w:val="24"/>
        </w:rPr>
        <w:t xml:space="preserve"> including values obtained from the general predictive scheme used in this work (</w:t>
      </w:r>
      <w:r>
        <w:rPr>
          <w:rFonts w:ascii="Times New Roman" w:hAnsi="Times New Roman" w:eastAsia="宋体" w:cs="Times New Roman"/>
          <w:i/>
          <w:iCs/>
          <w:sz w:val="24"/>
          <w:szCs w:val="24"/>
        </w:rPr>
        <w:t>K</w:t>
      </w:r>
      <w:r>
        <w:rPr>
          <w:rFonts w:ascii="Times New Roman" w:hAnsi="Times New Roman" w:eastAsia="宋体" w:cs="Times New Roman"/>
          <w:sz w:val="24"/>
          <w:szCs w:val="24"/>
          <w:vertAlign w:val="subscript"/>
        </w:rPr>
        <w:t>pred</w:t>
      </w:r>
      <w:r>
        <w:rPr>
          <w:rFonts w:ascii="Times New Roman" w:hAnsi="Times New Roman" w:eastAsia="宋体" w:cs="Times New Roman"/>
          <w:sz w:val="24"/>
          <w:szCs w:val="24"/>
        </w:rPr>
        <w:t>), and those derived from symmetry-adapted perturbation theory (</w:t>
      </w:r>
      <w:r>
        <w:rPr>
          <w:rFonts w:ascii="Times New Roman" w:hAnsi="Times New Roman" w:eastAsia="宋体" w:cs="Times New Roman"/>
          <w:i/>
          <w:iCs/>
          <w:sz w:val="24"/>
          <w:szCs w:val="24"/>
        </w:rPr>
        <w:t>K</w:t>
      </w:r>
      <w:r>
        <w:rPr>
          <w:rFonts w:ascii="Times New Roman" w:hAnsi="Times New Roman" w:eastAsia="宋体" w:cs="Times New Roman"/>
          <w:sz w:val="24"/>
          <w:szCs w:val="24"/>
          <w:vertAlign w:val="subscript"/>
        </w:rPr>
        <w:t>SAPT</w:t>
      </w:r>
      <w:r>
        <w:rPr>
          <w:rFonts w:ascii="Times New Roman" w:hAnsi="Times New Roman" w:eastAsia="宋体" w:cs="Times New Roman"/>
          <w:sz w:val="24"/>
          <w:szCs w:val="24"/>
        </w:rPr>
        <w:t>).</w:t>
      </w:r>
    </w:p>
    <w:tbl>
      <w:tblPr>
        <w:tblStyle w:val="5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715"/>
        <w:gridCol w:w="1484"/>
        <w:gridCol w:w="1484"/>
        <w:gridCol w:w="1484"/>
        <w:gridCol w:w="1484"/>
        <w:gridCol w:w="1213"/>
      </w:tblGrid>
      <w:tr w14:paraId="171C4E4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restart"/>
            <w:tcBorders>
              <w:bottom w:val="single" w:color="7E7E7E" w:themeColor="text1" w:themeTint="80" w:sz="4" w:space="0"/>
              <w:insideH w:val="single" w:sz="4" w:space="0"/>
            </w:tcBorders>
            <w:vAlign w:val="center"/>
          </w:tcPr>
          <w:p w14:paraId="2FF01164">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Species</w:t>
            </w:r>
          </w:p>
        </w:tc>
        <w:tc>
          <w:tcPr>
            <w:tcW w:w="837" w:type="pct"/>
            <w:vMerge w:val="restart"/>
            <w:tcBorders>
              <w:bottom w:val="single" w:color="7E7E7E" w:themeColor="text1" w:themeTint="80" w:sz="4" w:space="0"/>
              <w:insideH w:val="single" w:sz="4" w:space="0"/>
            </w:tcBorders>
            <w:vAlign w:val="center"/>
          </w:tcPr>
          <w:p w14:paraId="27D7E3B3">
            <w:pPr>
              <w:widowControl/>
              <w:adjustRightInd w:val="0"/>
              <w:snapToGrid w:val="0"/>
              <w:jc w:val="center"/>
              <w:rPr>
                <w:rFonts w:ascii="Times New Roman" w:hAnsi="Times New Roman" w:cs="Times New Roman"/>
                <w:b/>
                <w:bCs/>
                <w:i/>
                <w:iCs/>
                <w:szCs w:val="21"/>
              </w:rPr>
            </w:pPr>
            <w:r>
              <w:rPr>
                <w:rFonts w:ascii="Times New Roman" w:hAnsi="Times New Roman" w:cs="Times New Roman"/>
                <w:b/>
                <w:bCs/>
                <w:szCs w:val="21"/>
              </w:rPr>
              <w:t>Atom</w:t>
            </w:r>
          </w:p>
        </w:tc>
        <w:tc>
          <w:tcPr>
            <w:tcW w:w="1674" w:type="pct"/>
            <w:gridSpan w:val="2"/>
            <w:tcBorders>
              <w:bottom w:val="single" w:color="7E7E7E" w:themeColor="text1" w:themeTint="80" w:sz="4" w:space="0"/>
              <w:insideH w:val="single" w:sz="4" w:space="0"/>
            </w:tcBorders>
            <w:vAlign w:val="center"/>
          </w:tcPr>
          <w:p w14:paraId="2047109D">
            <w:pPr>
              <w:widowControl/>
              <w:adjustRightInd w:val="0"/>
              <w:snapToGrid w:val="0"/>
              <w:jc w:val="center"/>
              <w:rPr>
                <w:rFonts w:ascii="Times New Roman" w:hAnsi="Times New Roman" w:cs="Times New Roman"/>
                <w:b/>
                <w:bCs/>
                <w:i/>
                <w:iCs/>
                <w:szCs w:val="21"/>
              </w:rPr>
            </w:pPr>
            <w:r>
              <w:rPr>
                <w:rFonts w:ascii="Times New Roman" w:hAnsi="Times New Roman" w:cs="Times New Roman"/>
                <w:b/>
                <w:bCs/>
                <w:i/>
                <w:iCs/>
                <w:szCs w:val="21"/>
              </w:rPr>
              <w:t>α</w:t>
            </w:r>
            <w:r>
              <w:rPr>
                <w:rFonts w:ascii="Times New Roman" w:hAnsi="Times New Roman" w:cs="Times New Roman"/>
                <w:b/>
                <w:bCs/>
                <w:szCs w:val="21"/>
              </w:rPr>
              <w:t xml:space="preserve"> (Å</w:t>
            </w:r>
            <w:r>
              <w:rPr>
                <w:rFonts w:ascii="Times New Roman" w:hAnsi="Times New Roman" w:cs="Times New Roman"/>
                <w:b/>
                <w:bCs/>
                <w:szCs w:val="21"/>
                <w:vertAlign w:val="superscript"/>
              </w:rPr>
              <w:t>3</w:t>
            </w:r>
            <w:r>
              <w:rPr>
                <w:rFonts w:ascii="Times New Roman" w:hAnsi="Times New Roman" w:cs="Times New Roman"/>
                <w:b/>
                <w:bCs/>
                <w:szCs w:val="21"/>
              </w:rPr>
              <w:t>)</w:t>
            </w:r>
          </w:p>
        </w:tc>
        <w:tc>
          <w:tcPr>
            <w:tcW w:w="1521" w:type="pct"/>
            <w:gridSpan w:val="2"/>
            <w:tcBorders>
              <w:bottom w:val="single" w:color="7E7E7E" w:themeColor="text1" w:themeTint="80" w:sz="4" w:space="0"/>
              <w:insideH w:val="single" w:sz="4" w:space="0"/>
            </w:tcBorders>
            <w:vAlign w:val="center"/>
          </w:tcPr>
          <w:p w14:paraId="61550E8E">
            <w:pPr>
              <w:widowControl/>
              <w:adjustRightInd w:val="0"/>
              <w:snapToGrid w:val="0"/>
              <w:jc w:val="center"/>
              <w:rPr>
                <w:rFonts w:ascii="Times New Roman" w:hAnsi="Times New Roman" w:cs="Times New Roman"/>
                <w:b w:val="0"/>
                <w:bCs w:val="0"/>
                <w:i/>
                <w:iCs/>
                <w:szCs w:val="21"/>
              </w:rPr>
            </w:pPr>
            <w:r>
              <w:rPr>
                <w:rFonts w:ascii="Times New Roman" w:hAnsi="Times New Roman" w:cs="Times New Roman"/>
                <w:b/>
                <w:bCs/>
                <w:i/>
                <w:iCs/>
                <w:szCs w:val="21"/>
              </w:rPr>
              <w:t>μ</w:t>
            </w:r>
            <w:r>
              <w:rPr>
                <w:rFonts w:ascii="Times New Roman" w:hAnsi="Times New Roman" w:cs="Times New Roman"/>
                <w:b/>
                <w:bCs/>
                <w:szCs w:val="21"/>
              </w:rPr>
              <w:t xml:space="preserve"> (Debye)</w:t>
            </w:r>
          </w:p>
        </w:tc>
      </w:tr>
      <w:tr w14:paraId="0D8861E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continue"/>
            <w:vAlign w:val="center"/>
          </w:tcPr>
          <w:p w14:paraId="33F3DAD3">
            <w:pPr>
              <w:widowControl/>
              <w:adjustRightInd w:val="0"/>
              <w:snapToGrid w:val="0"/>
              <w:jc w:val="center"/>
              <w:rPr>
                <w:rFonts w:ascii="Times New Roman" w:hAnsi="Times New Roman" w:cs="Times New Roman"/>
                <w:b w:val="0"/>
                <w:bCs w:val="0"/>
                <w:szCs w:val="21"/>
              </w:rPr>
            </w:pPr>
          </w:p>
        </w:tc>
        <w:tc>
          <w:tcPr>
            <w:tcW w:w="837" w:type="pct"/>
            <w:vMerge w:val="continue"/>
            <w:vAlign w:val="center"/>
          </w:tcPr>
          <w:p w14:paraId="2D1EB31C">
            <w:pPr>
              <w:widowControl/>
              <w:adjustRightInd w:val="0"/>
              <w:snapToGrid w:val="0"/>
              <w:jc w:val="center"/>
              <w:rPr>
                <w:rFonts w:ascii="Times New Roman" w:hAnsi="Times New Roman" w:cs="Times New Roman"/>
                <w:szCs w:val="21"/>
              </w:rPr>
            </w:pPr>
          </w:p>
        </w:tc>
        <w:tc>
          <w:tcPr>
            <w:tcW w:w="837" w:type="pct"/>
            <w:vAlign w:val="center"/>
          </w:tcPr>
          <w:p w14:paraId="0DCA0694">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This work</w:t>
            </w:r>
          </w:p>
        </w:tc>
        <w:tc>
          <w:tcPr>
            <w:tcW w:w="837" w:type="pct"/>
            <w:vAlign w:val="center"/>
          </w:tcPr>
          <w:p w14:paraId="1A6B013B">
            <w:pPr>
              <w:widowControl/>
              <w:adjustRightInd w:val="0"/>
              <w:snapToGrid w:val="0"/>
              <w:jc w:val="center"/>
              <w:rPr>
                <w:rFonts w:ascii="Times New Roman" w:hAnsi="Times New Roman" w:cs="Times New Roman"/>
                <w:szCs w:val="21"/>
              </w:rPr>
            </w:pPr>
            <w:r>
              <w:rPr>
                <w:rFonts w:ascii="Times New Roman" w:hAnsi="Times New Roman" w:cs="Times New Roman"/>
                <w:szCs w:val="21"/>
              </w:rPr>
              <w:t>CL&amp;Pol</w:t>
            </w:r>
          </w:p>
        </w:tc>
        <w:tc>
          <w:tcPr>
            <w:tcW w:w="837" w:type="pct"/>
            <w:vAlign w:val="center"/>
          </w:tcPr>
          <w:p w14:paraId="161B0762">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This work</w:t>
            </w:r>
          </w:p>
        </w:tc>
        <w:tc>
          <w:tcPr>
            <w:tcW w:w="684" w:type="pct"/>
            <w:vAlign w:val="center"/>
          </w:tcPr>
          <w:p w14:paraId="25F6F100">
            <w:pPr>
              <w:widowControl/>
              <w:adjustRightInd w:val="0"/>
              <w:snapToGrid w:val="0"/>
              <w:jc w:val="center"/>
              <w:rPr>
                <w:rFonts w:ascii="Times New Roman" w:hAnsi="Times New Roman" w:cs="Times New Roman"/>
                <w:szCs w:val="21"/>
              </w:rPr>
            </w:pPr>
            <w:r>
              <w:rPr>
                <w:rFonts w:ascii="Times New Roman" w:hAnsi="Times New Roman" w:cs="Times New Roman"/>
                <w:szCs w:val="21"/>
              </w:rPr>
              <w:t>CL&amp;Pol</w:t>
            </w:r>
          </w:p>
        </w:tc>
      </w:tr>
      <w:tr w14:paraId="0E52611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Align w:val="center"/>
          </w:tcPr>
          <w:p w14:paraId="44206050">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Li</w:t>
            </w:r>
            <w:r>
              <w:rPr>
                <w:rFonts w:ascii="Times New Roman" w:hAnsi="Times New Roman" w:cs="Times New Roman"/>
                <w:b/>
                <w:bCs/>
                <w:szCs w:val="21"/>
                <w:vertAlign w:val="superscript"/>
              </w:rPr>
              <w:t>+</w:t>
            </w:r>
          </w:p>
        </w:tc>
        <w:tc>
          <w:tcPr>
            <w:tcW w:w="837" w:type="pct"/>
            <w:vAlign w:val="center"/>
          </w:tcPr>
          <w:p w14:paraId="291BB9E6">
            <w:pPr>
              <w:widowControl/>
              <w:adjustRightInd w:val="0"/>
              <w:snapToGrid w:val="0"/>
              <w:jc w:val="center"/>
              <w:rPr>
                <w:rFonts w:ascii="Times New Roman" w:hAnsi="Times New Roman" w:cs="Times New Roman"/>
                <w:szCs w:val="21"/>
              </w:rPr>
            </w:pPr>
            <w:r>
              <w:rPr>
                <w:rFonts w:ascii="Times New Roman" w:hAnsi="Times New Roman" w:cs="Times New Roman"/>
                <w:szCs w:val="21"/>
              </w:rPr>
              <w:t>Li</w:t>
            </w:r>
          </w:p>
        </w:tc>
        <w:tc>
          <w:tcPr>
            <w:tcW w:w="837" w:type="pct"/>
            <w:vAlign w:val="center"/>
          </w:tcPr>
          <w:p w14:paraId="27B7886B">
            <w:pPr>
              <w:widowControl/>
              <w:adjustRightInd w:val="0"/>
              <w:snapToGrid w:val="0"/>
              <w:jc w:val="center"/>
              <w:rPr>
                <w:rFonts w:ascii="Times New Roman" w:hAnsi="Times New Roman" w:cs="Times New Roman"/>
                <w:szCs w:val="21"/>
              </w:rPr>
            </w:pPr>
            <w:r>
              <w:rPr>
                <w:rFonts w:ascii="Times New Roman" w:hAnsi="Times New Roman" w:cs="Times New Roman"/>
                <w:szCs w:val="21"/>
              </w:rPr>
              <w:t>0.019</w:t>
            </w:r>
          </w:p>
        </w:tc>
        <w:tc>
          <w:tcPr>
            <w:tcW w:w="837" w:type="pct"/>
            <w:vAlign w:val="center"/>
          </w:tcPr>
          <w:p w14:paraId="46F93EDF">
            <w:pPr>
              <w:widowControl/>
              <w:adjustRightInd w:val="0"/>
              <w:snapToGrid w:val="0"/>
              <w:jc w:val="center"/>
              <w:rPr>
                <w:rFonts w:ascii="Times New Roman" w:hAnsi="Times New Roman" w:cs="Times New Roman"/>
                <w:szCs w:val="21"/>
              </w:rPr>
            </w:pPr>
            <w:r>
              <w:rPr>
                <w:rFonts w:ascii="Times New Roman" w:hAnsi="Times New Roman" w:cs="Times New Roman"/>
                <w:szCs w:val="21"/>
              </w:rPr>
              <w:t>0.032</w:t>
            </w:r>
          </w:p>
        </w:tc>
        <w:tc>
          <w:tcPr>
            <w:tcW w:w="837" w:type="pct"/>
            <w:vAlign w:val="center"/>
          </w:tcPr>
          <w:p w14:paraId="62EDCE39">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c>
          <w:tcPr>
            <w:tcW w:w="684" w:type="pct"/>
            <w:vAlign w:val="center"/>
          </w:tcPr>
          <w:p w14:paraId="580D390C">
            <w:pPr>
              <w:widowControl/>
              <w:adjustRightInd w:val="0"/>
              <w:snapToGrid w:val="0"/>
              <w:jc w:val="center"/>
              <w:rPr>
                <w:rFonts w:ascii="Times New Roman" w:hAnsi="Times New Roman" w:cs="Times New Roman"/>
                <w:szCs w:val="21"/>
              </w:rPr>
            </w:pPr>
            <w:r>
              <w:rPr>
                <w:rFonts w:ascii="Times New Roman" w:hAnsi="Times New Roman" w:cs="Times New Roman"/>
                <w:szCs w:val="21"/>
              </w:rPr>
              <w:t>0</w:t>
            </w:r>
          </w:p>
        </w:tc>
      </w:tr>
      <w:tr w14:paraId="627912B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restart"/>
            <w:vAlign w:val="center"/>
          </w:tcPr>
          <w:p w14:paraId="09649AFC">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FSI</w:t>
            </w:r>
            <w:r>
              <w:rPr>
                <w:rFonts w:ascii="Times New Roman" w:hAnsi="Times New Roman" w:cs="Times New Roman"/>
                <w:b/>
                <w:bCs/>
                <w:szCs w:val="21"/>
                <w:vertAlign w:val="superscript"/>
              </w:rPr>
              <w:t>-</w:t>
            </w:r>
          </w:p>
        </w:tc>
        <w:tc>
          <w:tcPr>
            <w:tcW w:w="837" w:type="pct"/>
            <w:vAlign w:val="center"/>
          </w:tcPr>
          <w:p w14:paraId="739A7C47">
            <w:pPr>
              <w:widowControl/>
              <w:adjustRightInd w:val="0"/>
              <w:snapToGrid w:val="0"/>
              <w:jc w:val="center"/>
              <w:rPr>
                <w:rFonts w:ascii="Times New Roman" w:hAnsi="Times New Roman" w:cs="Times New Roman"/>
                <w:szCs w:val="21"/>
              </w:rPr>
            </w:pPr>
            <w:r>
              <w:rPr>
                <w:rFonts w:ascii="Times New Roman" w:hAnsi="Times New Roman" w:cs="Times New Roman"/>
                <w:szCs w:val="21"/>
              </w:rPr>
              <w:t>N</w:t>
            </w:r>
          </w:p>
        </w:tc>
        <w:tc>
          <w:tcPr>
            <w:tcW w:w="837" w:type="pct"/>
            <w:vAlign w:val="center"/>
          </w:tcPr>
          <w:p w14:paraId="089E9B9E">
            <w:pPr>
              <w:widowControl/>
              <w:adjustRightInd w:val="0"/>
              <w:snapToGrid w:val="0"/>
              <w:jc w:val="center"/>
              <w:rPr>
                <w:rFonts w:ascii="Times New Roman" w:hAnsi="Times New Roman" w:cs="Times New Roman"/>
                <w:szCs w:val="21"/>
              </w:rPr>
            </w:pPr>
            <w:r>
              <w:rPr>
                <w:rFonts w:ascii="Times New Roman" w:hAnsi="Times New Roman" w:cs="Times New Roman"/>
                <w:szCs w:val="21"/>
              </w:rPr>
              <w:t>0.946</w:t>
            </w:r>
          </w:p>
        </w:tc>
        <w:tc>
          <w:tcPr>
            <w:tcW w:w="837" w:type="pct"/>
            <w:vAlign w:val="center"/>
          </w:tcPr>
          <w:p w14:paraId="47C4BE8F">
            <w:pPr>
              <w:widowControl/>
              <w:adjustRightInd w:val="0"/>
              <w:snapToGrid w:val="0"/>
              <w:jc w:val="center"/>
              <w:rPr>
                <w:rFonts w:ascii="Times New Roman" w:hAnsi="Times New Roman" w:cs="Times New Roman"/>
                <w:szCs w:val="21"/>
              </w:rPr>
            </w:pPr>
            <w:r>
              <w:rPr>
                <w:rFonts w:ascii="Times New Roman" w:hAnsi="Times New Roman" w:cs="Times New Roman"/>
                <w:szCs w:val="21"/>
              </w:rPr>
              <w:t>1.698</w:t>
            </w:r>
          </w:p>
        </w:tc>
        <w:tc>
          <w:tcPr>
            <w:tcW w:w="837" w:type="pct"/>
            <w:vMerge w:val="restart"/>
            <w:vAlign w:val="center"/>
          </w:tcPr>
          <w:p w14:paraId="61CF5CB2">
            <w:pPr>
              <w:widowControl/>
              <w:adjustRightInd w:val="0"/>
              <w:snapToGrid w:val="0"/>
              <w:jc w:val="center"/>
              <w:rPr>
                <w:rFonts w:ascii="Times New Roman" w:hAnsi="Times New Roman" w:cs="Times New Roman"/>
                <w:szCs w:val="21"/>
              </w:rPr>
            </w:pPr>
            <w:r>
              <w:rPr>
                <w:rFonts w:ascii="Times New Roman" w:hAnsi="Times New Roman" w:cs="Times New Roman"/>
                <w:szCs w:val="21"/>
              </w:rPr>
              <w:t>1.7325</w:t>
            </w:r>
          </w:p>
        </w:tc>
        <w:tc>
          <w:tcPr>
            <w:tcW w:w="684" w:type="pct"/>
            <w:vMerge w:val="restart"/>
            <w:vAlign w:val="center"/>
          </w:tcPr>
          <w:p w14:paraId="6B241651">
            <w:pPr>
              <w:adjustRightInd w:val="0"/>
              <w:snapToGrid w:val="0"/>
              <w:jc w:val="center"/>
              <w:rPr>
                <w:rFonts w:ascii="Times New Roman" w:hAnsi="Times New Roman" w:cs="Times New Roman"/>
                <w:szCs w:val="21"/>
              </w:rPr>
            </w:pPr>
            <w:r>
              <w:rPr>
                <w:rFonts w:ascii="Times New Roman" w:hAnsi="Times New Roman" w:cs="Times New Roman"/>
                <w:szCs w:val="21"/>
              </w:rPr>
              <w:t>0.4245</w:t>
            </w:r>
          </w:p>
        </w:tc>
      </w:tr>
      <w:tr w14:paraId="0F91331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continue"/>
            <w:vAlign w:val="center"/>
          </w:tcPr>
          <w:p w14:paraId="59CFE8E5">
            <w:pPr>
              <w:widowControl/>
              <w:adjustRightInd w:val="0"/>
              <w:snapToGrid w:val="0"/>
              <w:jc w:val="center"/>
              <w:rPr>
                <w:rFonts w:ascii="Times New Roman" w:hAnsi="Times New Roman" w:cs="Times New Roman"/>
                <w:b w:val="0"/>
                <w:bCs w:val="0"/>
                <w:szCs w:val="21"/>
              </w:rPr>
            </w:pPr>
          </w:p>
        </w:tc>
        <w:tc>
          <w:tcPr>
            <w:tcW w:w="837" w:type="pct"/>
            <w:vAlign w:val="center"/>
          </w:tcPr>
          <w:p w14:paraId="1826810B">
            <w:pPr>
              <w:widowControl/>
              <w:adjustRightInd w:val="0"/>
              <w:snapToGrid w:val="0"/>
              <w:jc w:val="center"/>
              <w:rPr>
                <w:rFonts w:ascii="Times New Roman" w:hAnsi="Times New Roman" w:cs="Times New Roman"/>
                <w:szCs w:val="21"/>
              </w:rPr>
            </w:pPr>
            <w:r>
              <w:rPr>
                <w:rFonts w:ascii="Times New Roman" w:hAnsi="Times New Roman" w:cs="Times New Roman"/>
                <w:szCs w:val="21"/>
              </w:rPr>
              <w:t>O</w:t>
            </w:r>
          </w:p>
        </w:tc>
        <w:tc>
          <w:tcPr>
            <w:tcW w:w="837" w:type="pct"/>
            <w:vAlign w:val="center"/>
          </w:tcPr>
          <w:p w14:paraId="18315366">
            <w:pPr>
              <w:widowControl/>
              <w:adjustRightInd w:val="0"/>
              <w:snapToGrid w:val="0"/>
              <w:jc w:val="center"/>
              <w:rPr>
                <w:rFonts w:ascii="Times New Roman" w:hAnsi="Times New Roman" w:cs="Times New Roman"/>
                <w:szCs w:val="21"/>
              </w:rPr>
            </w:pPr>
            <w:r>
              <w:rPr>
                <w:rFonts w:ascii="Times New Roman" w:hAnsi="Times New Roman" w:cs="Times New Roman"/>
                <w:szCs w:val="21"/>
              </w:rPr>
              <w:t>0.709</w:t>
            </w:r>
          </w:p>
        </w:tc>
        <w:tc>
          <w:tcPr>
            <w:tcW w:w="837" w:type="pct"/>
            <w:vAlign w:val="center"/>
          </w:tcPr>
          <w:p w14:paraId="37591FB6">
            <w:pPr>
              <w:widowControl/>
              <w:adjustRightInd w:val="0"/>
              <w:snapToGrid w:val="0"/>
              <w:jc w:val="center"/>
              <w:rPr>
                <w:rFonts w:ascii="Times New Roman" w:hAnsi="Times New Roman" w:cs="Times New Roman"/>
                <w:szCs w:val="21"/>
              </w:rPr>
            </w:pPr>
            <w:r>
              <w:rPr>
                <w:rFonts w:ascii="Times New Roman" w:hAnsi="Times New Roman" w:cs="Times New Roman"/>
                <w:szCs w:val="21"/>
              </w:rPr>
              <w:t>1.144</w:t>
            </w:r>
          </w:p>
        </w:tc>
        <w:tc>
          <w:tcPr>
            <w:tcW w:w="837" w:type="pct"/>
            <w:vMerge w:val="continue"/>
            <w:vAlign w:val="center"/>
          </w:tcPr>
          <w:p w14:paraId="712250AC">
            <w:pPr>
              <w:widowControl/>
              <w:adjustRightInd w:val="0"/>
              <w:snapToGrid w:val="0"/>
              <w:jc w:val="center"/>
              <w:rPr>
                <w:rFonts w:ascii="Times New Roman" w:hAnsi="Times New Roman" w:cs="Times New Roman"/>
                <w:szCs w:val="21"/>
              </w:rPr>
            </w:pPr>
          </w:p>
        </w:tc>
        <w:tc>
          <w:tcPr>
            <w:tcW w:w="684" w:type="pct"/>
            <w:vMerge w:val="continue"/>
            <w:vAlign w:val="center"/>
          </w:tcPr>
          <w:p w14:paraId="4C7DC23B">
            <w:pPr>
              <w:widowControl/>
              <w:adjustRightInd w:val="0"/>
              <w:snapToGrid w:val="0"/>
              <w:jc w:val="center"/>
              <w:rPr>
                <w:rFonts w:ascii="Times New Roman" w:hAnsi="Times New Roman" w:cs="Times New Roman"/>
                <w:szCs w:val="21"/>
              </w:rPr>
            </w:pPr>
          </w:p>
        </w:tc>
      </w:tr>
      <w:tr w14:paraId="449194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continue"/>
            <w:vAlign w:val="center"/>
          </w:tcPr>
          <w:p w14:paraId="5060E0A7">
            <w:pPr>
              <w:widowControl/>
              <w:adjustRightInd w:val="0"/>
              <w:snapToGrid w:val="0"/>
              <w:jc w:val="center"/>
              <w:rPr>
                <w:rFonts w:ascii="Times New Roman" w:hAnsi="Times New Roman" w:cs="Times New Roman"/>
                <w:b w:val="0"/>
                <w:bCs w:val="0"/>
                <w:szCs w:val="21"/>
              </w:rPr>
            </w:pPr>
          </w:p>
        </w:tc>
        <w:tc>
          <w:tcPr>
            <w:tcW w:w="837" w:type="pct"/>
            <w:vAlign w:val="center"/>
          </w:tcPr>
          <w:p w14:paraId="2F973977">
            <w:pPr>
              <w:widowControl/>
              <w:adjustRightInd w:val="0"/>
              <w:snapToGrid w:val="0"/>
              <w:jc w:val="center"/>
              <w:rPr>
                <w:rFonts w:ascii="Times New Roman" w:hAnsi="Times New Roman" w:cs="Times New Roman"/>
                <w:szCs w:val="21"/>
              </w:rPr>
            </w:pPr>
            <w:r>
              <w:rPr>
                <w:rFonts w:ascii="Times New Roman" w:hAnsi="Times New Roman" w:cs="Times New Roman"/>
                <w:szCs w:val="21"/>
              </w:rPr>
              <w:t>S</w:t>
            </w:r>
          </w:p>
        </w:tc>
        <w:tc>
          <w:tcPr>
            <w:tcW w:w="837" w:type="pct"/>
            <w:vAlign w:val="center"/>
          </w:tcPr>
          <w:p w14:paraId="5784590E">
            <w:pPr>
              <w:widowControl/>
              <w:adjustRightInd w:val="0"/>
              <w:snapToGrid w:val="0"/>
              <w:jc w:val="center"/>
              <w:rPr>
                <w:rFonts w:ascii="Times New Roman" w:hAnsi="Times New Roman" w:cs="Times New Roman"/>
                <w:szCs w:val="21"/>
              </w:rPr>
            </w:pPr>
            <w:r>
              <w:rPr>
                <w:rFonts w:ascii="Times New Roman" w:hAnsi="Times New Roman" w:cs="Times New Roman"/>
                <w:szCs w:val="21"/>
              </w:rPr>
              <w:t>2.442</w:t>
            </w:r>
          </w:p>
        </w:tc>
        <w:tc>
          <w:tcPr>
            <w:tcW w:w="837" w:type="pct"/>
            <w:vAlign w:val="center"/>
          </w:tcPr>
          <w:p w14:paraId="0B594B3A">
            <w:pPr>
              <w:widowControl/>
              <w:adjustRightInd w:val="0"/>
              <w:snapToGrid w:val="0"/>
              <w:jc w:val="center"/>
              <w:rPr>
                <w:rFonts w:ascii="Times New Roman" w:hAnsi="Times New Roman" w:cs="Times New Roman"/>
                <w:szCs w:val="21"/>
              </w:rPr>
            </w:pPr>
            <w:r>
              <w:rPr>
                <w:rFonts w:ascii="Times New Roman" w:hAnsi="Times New Roman" w:cs="Times New Roman"/>
                <w:szCs w:val="21"/>
              </w:rPr>
              <w:t>1.553</w:t>
            </w:r>
          </w:p>
        </w:tc>
        <w:tc>
          <w:tcPr>
            <w:tcW w:w="837" w:type="pct"/>
            <w:vMerge w:val="continue"/>
            <w:vAlign w:val="center"/>
          </w:tcPr>
          <w:p w14:paraId="7BA79B13">
            <w:pPr>
              <w:widowControl/>
              <w:adjustRightInd w:val="0"/>
              <w:snapToGrid w:val="0"/>
              <w:jc w:val="center"/>
              <w:rPr>
                <w:rFonts w:ascii="Times New Roman" w:hAnsi="Times New Roman" w:cs="Times New Roman"/>
                <w:szCs w:val="21"/>
              </w:rPr>
            </w:pPr>
          </w:p>
        </w:tc>
        <w:tc>
          <w:tcPr>
            <w:tcW w:w="684" w:type="pct"/>
            <w:vMerge w:val="continue"/>
            <w:vAlign w:val="center"/>
          </w:tcPr>
          <w:p w14:paraId="67F53225">
            <w:pPr>
              <w:widowControl/>
              <w:adjustRightInd w:val="0"/>
              <w:snapToGrid w:val="0"/>
              <w:jc w:val="center"/>
              <w:rPr>
                <w:rFonts w:ascii="Times New Roman" w:hAnsi="Times New Roman" w:cs="Times New Roman"/>
                <w:szCs w:val="21"/>
              </w:rPr>
            </w:pPr>
          </w:p>
        </w:tc>
      </w:tr>
      <w:tr w14:paraId="6B22BB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continue"/>
            <w:vAlign w:val="center"/>
          </w:tcPr>
          <w:p w14:paraId="1FF0464B">
            <w:pPr>
              <w:widowControl/>
              <w:adjustRightInd w:val="0"/>
              <w:snapToGrid w:val="0"/>
              <w:jc w:val="center"/>
              <w:rPr>
                <w:rFonts w:ascii="Times New Roman" w:hAnsi="Times New Roman" w:cs="Times New Roman"/>
                <w:b w:val="0"/>
                <w:bCs w:val="0"/>
                <w:szCs w:val="21"/>
              </w:rPr>
            </w:pPr>
          </w:p>
        </w:tc>
        <w:tc>
          <w:tcPr>
            <w:tcW w:w="837" w:type="pct"/>
            <w:vAlign w:val="center"/>
          </w:tcPr>
          <w:p w14:paraId="5FC58130">
            <w:pPr>
              <w:widowControl/>
              <w:adjustRightInd w:val="0"/>
              <w:snapToGrid w:val="0"/>
              <w:jc w:val="center"/>
              <w:rPr>
                <w:rFonts w:ascii="Times New Roman" w:hAnsi="Times New Roman" w:cs="Times New Roman"/>
                <w:szCs w:val="21"/>
              </w:rPr>
            </w:pPr>
            <w:r>
              <w:rPr>
                <w:rFonts w:ascii="Times New Roman" w:hAnsi="Times New Roman" w:cs="Times New Roman"/>
                <w:szCs w:val="21"/>
              </w:rPr>
              <w:t>F</w:t>
            </w:r>
          </w:p>
        </w:tc>
        <w:tc>
          <w:tcPr>
            <w:tcW w:w="837" w:type="pct"/>
            <w:vAlign w:val="center"/>
          </w:tcPr>
          <w:p w14:paraId="36F9F564">
            <w:pPr>
              <w:widowControl/>
              <w:adjustRightInd w:val="0"/>
              <w:snapToGrid w:val="0"/>
              <w:jc w:val="center"/>
              <w:rPr>
                <w:rFonts w:ascii="Times New Roman" w:hAnsi="Times New Roman" w:cs="Times New Roman"/>
                <w:szCs w:val="21"/>
              </w:rPr>
            </w:pPr>
            <w:r>
              <w:rPr>
                <w:rFonts w:ascii="Times New Roman" w:hAnsi="Times New Roman" w:cs="Times New Roman"/>
                <w:szCs w:val="21"/>
              </w:rPr>
              <w:t>0.471</w:t>
            </w:r>
          </w:p>
        </w:tc>
        <w:tc>
          <w:tcPr>
            <w:tcW w:w="837" w:type="pct"/>
            <w:vAlign w:val="center"/>
          </w:tcPr>
          <w:p w14:paraId="2E47C6D6">
            <w:pPr>
              <w:widowControl/>
              <w:adjustRightInd w:val="0"/>
              <w:snapToGrid w:val="0"/>
              <w:jc w:val="center"/>
              <w:rPr>
                <w:rFonts w:ascii="Times New Roman" w:hAnsi="Times New Roman" w:cs="Times New Roman"/>
                <w:szCs w:val="21"/>
              </w:rPr>
            </w:pPr>
            <w:r>
              <w:rPr>
                <w:rFonts w:ascii="Times New Roman" w:hAnsi="Times New Roman" w:cs="Times New Roman"/>
                <w:szCs w:val="21"/>
              </w:rPr>
              <w:t>0.625</w:t>
            </w:r>
          </w:p>
        </w:tc>
        <w:tc>
          <w:tcPr>
            <w:tcW w:w="837" w:type="pct"/>
            <w:vMerge w:val="continue"/>
            <w:vAlign w:val="center"/>
          </w:tcPr>
          <w:p w14:paraId="12A3BA7D">
            <w:pPr>
              <w:widowControl/>
              <w:adjustRightInd w:val="0"/>
              <w:snapToGrid w:val="0"/>
              <w:jc w:val="center"/>
              <w:rPr>
                <w:rFonts w:ascii="Times New Roman" w:hAnsi="Times New Roman" w:cs="Times New Roman"/>
                <w:szCs w:val="21"/>
              </w:rPr>
            </w:pPr>
          </w:p>
        </w:tc>
        <w:tc>
          <w:tcPr>
            <w:tcW w:w="684" w:type="pct"/>
            <w:vMerge w:val="continue"/>
            <w:vAlign w:val="center"/>
          </w:tcPr>
          <w:p w14:paraId="2E361079">
            <w:pPr>
              <w:widowControl/>
              <w:adjustRightInd w:val="0"/>
              <w:snapToGrid w:val="0"/>
              <w:jc w:val="center"/>
              <w:rPr>
                <w:rFonts w:ascii="Times New Roman" w:hAnsi="Times New Roman" w:cs="Times New Roman"/>
                <w:szCs w:val="21"/>
              </w:rPr>
            </w:pPr>
          </w:p>
        </w:tc>
      </w:tr>
      <w:tr w14:paraId="6E8CD4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restart"/>
            <w:vAlign w:val="center"/>
          </w:tcPr>
          <w:p w14:paraId="2E75DF5D">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DME</w:t>
            </w:r>
          </w:p>
        </w:tc>
        <w:tc>
          <w:tcPr>
            <w:tcW w:w="837" w:type="pct"/>
            <w:vAlign w:val="center"/>
          </w:tcPr>
          <w:p w14:paraId="7B06C248">
            <w:pPr>
              <w:widowControl/>
              <w:adjustRightInd w:val="0"/>
              <w:snapToGrid w:val="0"/>
              <w:jc w:val="center"/>
              <w:rPr>
                <w:rFonts w:ascii="Times New Roman" w:hAnsi="Times New Roman" w:cs="Times New Roman"/>
                <w:szCs w:val="21"/>
              </w:rPr>
            </w:pPr>
            <w:r>
              <w:rPr>
                <w:rFonts w:ascii="Times New Roman" w:hAnsi="Times New Roman" w:cs="Times New Roman"/>
                <w:szCs w:val="21"/>
              </w:rPr>
              <w:t>C11</w:t>
            </w:r>
          </w:p>
        </w:tc>
        <w:tc>
          <w:tcPr>
            <w:tcW w:w="837" w:type="pct"/>
            <w:vAlign w:val="center"/>
          </w:tcPr>
          <w:p w14:paraId="4D5839A5">
            <w:pPr>
              <w:widowControl/>
              <w:adjustRightInd w:val="0"/>
              <w:snapToGrid w:val="0"/>
              <w:jc w:val="center"/>
              <w:rPr>
                <w:rFonts w:ascii="Times New Roman" w:hAnsi="Times New Roman" w:cs="Times New Roman"/>
                <w:szCs w:val="21"/>
              </w:rPr>
            </w:pPr>
            <w:r>
              <w:rPr>
                <w:rFonts w:ascii="Times New Roman" w:hAnsi="Times New Roman" w:cs="Times New Roman"/>
                <w:szCs w:val="21"/>
              </w:rPr>
              <w:t>1.584</w:t>
            </w:r>
          </w:p>
        </w:tc>
        <w:tc>
          <w:tcPr>
            <w:tcW w:w="837" w:type="pct"/>
            <w:vAlign w:val="center"/>
          </w:tcPr>
          <w:p w14:paraId="4CA84196">
            <w:pPr>
              <w:widowControl/>
              <w:adjustRightInd w:val="0"/>
              <w:snapToGrid w:val="0"/>
              <w:jc w:val="center"/>
              <w:rPr>
                <w:rFonts w:ascii="Times New Roman" w:hAnsi="Times New Roman" w:cs="Times New Roman"/>
                <w:szCs w:val="21"/>
              </w:rPr>
            </w:pPr>
            <w:r>
              <w:rPr>
                <w:rFonts w:ascii="Times New Roman" w:hAnsi="Times New Roman" w:cs="Times New Roman"/>
                <w:szCs w:val="21"/>
              </w:rPr>
              <w:t>1.016</w:t>
            </w:r>
          </w:p>
        </w:tc>
        <w:tc>
          <w:tcPr>
            <w:tcW w:w="837" w:type="pct"/>
            <w:vMerge w:val="restart"/>
            <w:vAlign w:val="center"/>
          </w:tcPr>
          <w:p w14:paraId="6DE8FEBE">
            <w:pPr>
              <w:widowControl/>
              <w:adjustRightInd w:val="0"/>
              <w:snapToGrid w:val="0"/>
              <w:jc w:val="center"/>
              <w:rPr>
                <w:rFonts w:ascii="Times New Roman" w:hAnsi="Times New Roman" w:cs="Times New Roman"/>
                <w:szCs w:val="21"/>
              </w:rPr>
            </w:pPr>
            <w:r>
              <w:rPr>
                <w:rFonts w:ascii="Times New Roman" w:hAnsi="Times New Roman" w:cs="Times New Roman"/>
                <w:szCs w:val="21"/>
              </w:rPr>
              <w:t>1.9550</w:t>
            </w:r>
          </w:p>
        </w:tc>
        <w:tc>
          <w:tcPr>
            <w:tcW w:w="684" w:type="pct"/>
            <w:vMerge w:val="restart"/>
            <w:vAlign w:val="center"/>
          </w:tcPr>
          <w:p w14:paraId="1E81A467">
            <w:pPr>
              <w:widowControl/>
              <w:adjustRightInd w:val="0"/>
              <w:snapToGrid w:val="0"/>
              <w:jc w:val="center"/>
              <w:rPr>
                <w:rFonts w:ascii="Times New Roman" w:hAnsi="Times New Roman" w:cs="Times New Roman"/>
                <w:szCs w:val="21"/>
              </w:rPr>
            </w:pPr>
            <w:r>
              <w:rPr>
                <w:rFonts w:ascii="Times New Roman" w:hAnsi="Times New Roman" w:cs="Times New Roman"/>
                <w:szCs w:val="21"/>
              </w:rPr>
              <w:t>1.2442</w:t>
            </w:r>
          </w:p>
        </w:tc>
      </w:tr>
      <w:tr w14:paraId="462C537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continue"/>
            <w:vAlign w:val="center"/>
          </w:tcPr>
          <w:p w14:paraId="2BB24E6D">
            <w:pPr>
              <w:widowControl/>
              <w:adjustRightInd w:val="0"/>
              <w:snapToGrid w:val="0"/>
              <w:jc w:val="center"/>
              <w:rPr>
                <w:rFonts w:ascii="Times New Roman" w:hAnsi="Times New Roman" w:cs="Times New Roman"/>
                <w:b w:val="0"/>
                <w:bCs w:val="0"/>
                <w:szCs w:val="21"/>
              </w:rPr>
            </w:pPr>
          </w:p>
        </w:tc>
        <w:tc>
          <w:tcPr>
            <w:tcW w:w="837" w:type="pct"/>
            <w:vAlign w:val="center"/>
          </w:tcPr>
          <w:p w14:paraId="72778908">
            <w:pPr>
              <w:widowControl/>
              <w:adjustRightInd w:val="0"/>
              <w:snapToGrid w:val="0"/>
              <w:jc w:val="center"/>
              <w:rPr>
                <w:rFonts w:ascii="Times New Roman" w:hAnsi="Times New Roman" w:cs="Times New Roman"/>
                <w:szCs w:val="21"/>
              </w:rPr>
            </w:pPr>
            <w:r>
              <w:rPr>
                <w:rFonts w:ascii="Times New Roman" w:hAnsi="Times New Roman" w:cs="Times New Roman"/>
                <w:szCs w:val="21"/>
              </w:rPr>
              <w:t>H11</w:t>
            </w:r>
          </w:p>
        </w:tc>
        <w:tc>
          <w:tcPr>
            <w:tcW w:w="837" w:type="pct"/>
            <w:vAlign w:val="center"/>
          </w:tcPr>
          <w:p w14:paraId="6ED0E526">
            <w:pPr>
              <w:widowControl/>
              <w:adjustRightInd w:val="0"/>
              <w:snapToGrid w:val="0"/>
              <w:jc w:val="center"/>
              <w:rPr>
                <w:rFonts w:ascii="Times New Roman" w:hAnsi="Times New Roman" w:cs="Times New Roman"/>
                <w:szCs w:val="21"/>
              </w:rPr>
            </w:pPr>
            <w:r>
              <w:rPr>
                <w:rFonts w:ascii="Times New Roman" w:hAnsi="Times New Roman" w:cs="Times New Roman"/>
                <w:szCs w:val="21"/>
              </w:rPr>
              <w:t>0.134</w:t>
            </w:r>
          </w:p>
        </w:tc>
        <w:tc>
          <w:tcPr>
            <w:tcW w:w="837" w:type="pct"/>
            <w:vAlign w:val="center"/>
          </w:tcPr>
          <w:p w14:paraId="5EF3DCB6">
            <w:pPr>
              <w:widowControl/>
              <w:adjustRightInd w:val="0"/>
              <w:snapToGrid w:val="0"/>
              <w:jc w:val="center"/>
              <w:rPr>
                <w:rFonts w:ascii="Times New Roman" w:hAnsi="Times New Roman" w:cs="Times New Roman"/>
                <w:szCs w:val="21"/>
              </w:rPr>
            </w:pPr>
            <w:r>
              <w:rPr>
                <w:rFonts w:ascii="Times New Roman" w:hAnsi="Times New Roman" w:cs="Times New Roman"/>
                <w:szCs w:val="21"/>
              </w:rPr>
              <w:t>0.323</w:t>
            </w:r>
          </w:p>
        </w:tc>
        <w:tc>
          <w:tcPr>
            <w:tcW w:w="837" w:type="pct"/>
            <w:vMerge w:val="continue"/>
            <w:vAlign w:val="center"/>
          </w:tcPr>
          <w:p w14:paraId="4C672056">
            <w:pPr>
              <w:widowControl/>
              <w:adjustRightInd w:val="0"/>
              <w:snapToGrid w:val="0"/>
              <w:jc w:val="center"/>
              <w:rPr>
                <w:rFonts w:ascii="Times New Roman" w:hAnsi="Times New Roman" w:cs="Times New Roman"/>
                <w:szCs w:val="21"/>
              </w:rPr>
            </w:pPr>
          </w:p>
        </w:tc>
        <w:tc>
          <w:tcPr>
            <w:tcW w:w="684" w:type="pct"/>
            <w:vMerge w:val="continue"/>
            <w:vAlign w:val="center"/>
          </w:tcPr>
          <w:p w14:paraId="2B506480">
            <w:pPr>
              <w:widowControl/>
              <w:adjustRightInd w:val="0"/>
              <w:snapToGrid w:val="0"/>
              <w:jc w:val="center"/>
              <w:rPr>
                <w:rFonts w:ascii="Times New Roman" w:hAnsi="Times New Roman" w:cs="Times New Roman"/>
                <w:szCs w:val="21"/>
              </w:rPr>
            </w:pPr>
          </w:p>
        </w:tc>
      </w:tr>
      <w:tr w14:paraId="53F1850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continue"/>
            <w:vAlign w:val="center"/>
          </w:tcPr>
          <w:p w14:paraId="2D8C168A">
            <w:pPr>
              <w:widowControl/>
              <w:adjustRightInd w:val="0"/>
              <w:snapToGrid w:val="0"/>
              <w:jc w:val="center"/>
              <w:rPr>
                <w:rFonts w:ascii="Times New Roman" w:hAnsi="Times New Roman" w:cs="Times New Roman"/>
                <w:b w:val="0"/>
                <w:bCs w:val="0"/>
                <w:szCs w:val="21"/>
              </w:rPr>
            </w:pPr>
          </w:p>
        </w:tc>
        <w:tc>
          <w:tcPr>
            <w:tcW w:w="837" w:type="pct"/>
            <w:vAlign w:val="center"/>
          </w:tcPr>
          <w:p w14:paraId="72497915">
            <w:pPr>
              <w:widowControl/>
              <w:adjustRightInd w:val="0"/>
              <w:snapToGrid w:val="0"/>
              <w:jc w:val="center"/>
              <w:rPr>
                <w:rFonts w:ascii="Times New Roman" w:hAnsi="Times New Roman" w:cs="Times New Roman"/>
                <w:szCs w:val="21"/>
              </w:rPr>
            </w:pPr>
            <w:r>
              <w:rPr>
                <w:rFonts w:ascii="Times New Roman" w:hAnsi="Times New Roman" w:cs="Times New Roman"/>
                <w:szCs w:val="21"/>
              </w:rPr>
              <w:t>O11</w:t>
            </w:r>
          </w:p>
        </w:tc>
        <w:tc>
          <w:tcPr>
            <w:tcW w:w="837" w:type="pct"/>
            <w:vAlign w:val="center"/>
          </w:tcPr>
          <w:p w14:paraId="07B70960">
            <w:pPr>
              <w:widowControl/>
              <w:adjustRightInd w:val="0"/>
              <w:snapToGrid w:val="0"/>
              <w:jc w:val="center"/>
              <w:rPr>
                <w:rFonts w:ascii="Times New Roman" w:hAnsi="Times New Roman" w:cs="Times New Roman"/>
                <w:szCs w:val="21"/>
              </w:rPr>
            </w:pPr>
            <w:r>
              <w:rPr>
                <w:rFonts w:ascii="Times New Roman" w:hAnsi="Times New Roman" w:cs="Times New Roman"/>
                <w:szCs w:val="21"/>
              </w:rPr>
              <w:t>0.688</w:t>
            </w:r>
          </w:p>
        </w:tc>
        <w:tc>
          <w:tcPr>
            <w:tcW w:w="837" w:type="pct"/>
            <w:vAlign w:val="center"/>
          </w:tcPr>
          <w:p w14:paraId="13EF6D56">
            <w:pPr>
              <w:widowControl/>
              <w:adjustRightInd w:val="0"/>
              <w:snapToGrid w:val="0"/>
              <w:jc w:val="center"/>
              <w:rPr>
                <w:rFonts w:ascii="Times New Roman" w:hAnsi="Times New Roman" w:cs="Times New Roman"/>
                <w:szCs w:val="21"/>
              </w:rPr>
            </w:pPr>
            <w:r>
              <w:rPr>
                <w:rFonts w:ascii="Times New Roman" w:hAnsi="Times New Roman" w:cs="Times New Roman"/>
                <w:szCs w:val="21"/>
              </w:rPr>
              <w:t>1.144</w:t>
            </w:r>
          </w:p>
        </w:tc>
        <w:tc>
          <w:tcPr>
            <w:tcW w:w="837" w:type="pct"/>
            <w:vMerge w:val="continue"/>
            <w:vAlign w:val="center"/>
          </w:tcPr>
          <w:p w14:paraId="63423E54">
            <w:pPr>
              <w:widowControl/>
              <w:adjustRightInd w:val="0"/>
              <w:snapToGrid w:val="0"/>
              <w:jc w:val="center"/>
              <w:rPr>
                <w:rFonts w:ascii="Times New Roman" w:hAnsi="Times New Roman" w:cs="Times New Roman"/>
                <w:szCs w:val="21"/>
              </w:rPr>
            </w:pPr>
          </w:p>
        </w:tc>
        <w:tc>
          <w:tcPr>
            <w:tcW w:w="684" w:type="pct"/>
            <w:vMerge w:val="continue"/>
            <w:vAlign w:val="center"/>
          </w:tcPr>
          <w:p w14:paraId="7F5DFE4B">
            <w:pPr>
              <w:widowControl/>
              <w:adjustRightInd w:val="0"/>
              <w:snapToGrid w:val="0"/>
              <w:jc w:val="center"/>
              <w:rPr>
                <w:rFonts w:ascii="Times New Roman" w:hAnsi="Times New Roman" w:cs="Times New Roman"/>
                <w:szCs w:val="21"/>
              </w:rPr>
            </w:pPr>
          </w:p>
        </w:tc>
      </w:tr>
      <w:tr w14:paraId="1E5B50F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continue"/>
            <w:vAlign w:val="center"/>
          </w:tcPr>
          <w:p w14:paraId="738901BB">
            <w:pPr>
              <w:widowControl/>
              <w:adjustRightInd w:val="0"/>
              <w:snapToGrid w:val="0"/>
              <w:jc w:val="center"/>
              <w:rPr>
                <w:rFonts w:ascii="Times New Roman" w:hAnsi="Times New Roman" w:cs="Times New Roman"/>
                <w:b w:val="0"/>
                <w:bCs w:val="0"/>
                <w:szCs w:val="21"/>
              </w:rPr>
            </w:pPr>
          </w:p>
        </w:tc>
        <w:tc>
          <w:tcPr>
            <w:tcW w:w="837" w:type="pct"/>
            <w:vAlign w:val="center"/>
          </w:tcPr>
          <w:p w14:paraId="6A1458DE">
            <w:pPr>
              <w:widowControl/>
              <w:adjustRightInd w:val="0"/>
              <w:snapToGrid w:val="0"/>
              <w:jc w:val="center"/>
              <w:rPr>
                <w:rFonts w:ascii="Times New Roman" w:hAnsi="Times New Roman" w:cs="Times New Roman"/>
                <w:szCs w:val="21"/>
              </w:rPr>
            </w:pPr>
            <w:r>
              <w:rPr>
                <w:rFonts w:ascii="Times New Roman" w:hAnsi="Times New Roman" w:cs="Times New Roman"/>
                <w:szCs w:val="21"/>
              </w:rPr>
              <w:t>C12</w:t>
            </w:r>
          </w:p>
        </w:tc>
        <w:tc>
          <w:tcPr>
            <w:tcW w:w="837" w:type="pct"/>
            <w:vAlign w:val="center"/>
          </w:tcPr>
          <w:p w14:paraId="29A23942">
            <w:pPr>
              <w:widowControl/>
              <w:adjustRightInd w:val="0"/>
              <w:snapToGrid w:val="0"/>
              <w:jc w:val="center"/>
              <w:rPr>
                <w:rFonts w:ascii="Times New Roman" w:hAnsi="Times New Roman" w:cs="Times New Roman"/>
                <w:szCs w:val="21"/>
              </w:rPr>
            </w:pPr>
            <w:r>
              <w:rPr>
                <w:rFonts w:ascii="Times New Roman" w:hAnsi="Times New Roman" w:cs="Times New Roman"/>
                <w:szCs w:val="21"/>
              </w:rPr>
              <w:t>1.660</w:t>
            </w:r>
          </w:p>
        </w:tc>
        <w:tc>
          <w:tcPr>
            <w:tcW w:w="837" w:type="pct"/>
            <w:vAlign w:val="center"/>
          </w:tcPr>
          <w:p w14:paraId="4F7B4F13">
            <w:pPr>
              <w:widowControl/>
              <w:adjustRightInd w:val="0"/>
              <w:snapToGrid w:val="0"/>
              <w:jc w:val="center"/>
              <w:rPr>
                <w:rFonts w:ascii="Times New Roman" w:hAnsi="Times New Roman" w:cs="Times New Roman"/>
                <w:szCs w:val="21"/>
              </w:rPr>
            </w:pPr>
            <w:r>
              <w:rPr>
                <w:rFonts w:ascii="Times New Roman" w:hAnsi="Times New Roman" w:cs="Times New Roman"/>
                <w:szCs w:val="21"/>
              </w:rPr>
              <w:t>1.016</w:t>
            </w:r>
          </w:p>
        </w:tc>
        <w:tc>
          <w:tcPr>
            <w:tcW w:w="837" w:type="pct"/>
            <w:vMerge w:val="continue"/>
            <w:vAlign w:val="center"/>
          </w:tcPr>
          <w:p w14:paraId="48956B49">
            <w:pPr>
              <w:widowControl/>
              <w:adjustRightInd w:val="0"/>
              <w:snapToGrid w:val="0"/>
              <w:jc w:val="center"/>
              <w:rPr>
                <w:rFonts w:ascii="Times New Roman" w:hAnsi="Times New Roman" w:cs="Times New Roman"/>
                <w:szCs w:val="21"/>
              </w:rPr>
            </w:pPr>
          </w:p>
        </w:tc>
        <w:tc>
          <w:tcPr>
            <w:tcW w:w="684" w:type="pct"/>
            <w:vMerge w:val="continue"/>
            <w:vAlign w:val="center"/>
          </w:tcPr>
          <w:p w14:paraId="2741B221">
            <w:pPr>
              <w:widowControl/>
              <w:adjustRightInd w:val="0"/>
              <w:snapToGrid w:val="0"/>
              <w:jc w:val="center"/>
              <w:rPr>
                <w:rFonts w:ascii="Times New Roman" w:hAnsi="Times New Roman" w:cs="Times New Roman"/>
                <w:szCs w:val="21"/>
              </w:rPr>
            </w:pPr>
          </w:p>
        </w:tc>
      </w:tr>
      <w:tr w14:paraId="2CB2AD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continue"/>
            <w:vAlign w:val="center"/>
          </w:tcPr>
          <w:p w14:paraId="303DD751">
            <w:pPr>
              <w:widowControl/>
              <w:adjustRightInd w:val="0"/>
              <w:snapToGrid w:val="0"/>
              <w:jc w:val="center"/>
              <w:rPr>
                <w:rFonts w:ascii="Times New Roman" w:hAnsi="Times New Roman" w:cs="Times New Roman"/>
                <w:b w:val="0"/>
                <w:bCs w:val="0"/>
                <w:szCs w:val="21"/>
              </w:rPr>
            </w:pPr>
          </w:p>
        </w:tc>
        <w:tc>
          <w:tcPr>
            <w:tcW w:w="837" w:type="pct"/>
            <w:vAlign w:val="center"/>
          </w:tcPr>
          <w:p w14:paraId="4F7A121F">
            <w:pPr>
              <w:widowControl/>
              <w:adjustRightInd w:val="0"/>
              <w:snapToGrid w:val="0"/>
              <w:jc w:val="center"/>
              <w:rPr>
                <w:rFonts w:ascii="Times New Roman" w:hAnsi="Times New Roman" w:cs="Times New Roman"/>
                <w:szCs w:val="21"/>
              </w:rPr>
            </w:pPr>
            <w:r>
              <w:rPr>
                <w:rFonts w:ascii="Times New Roman" w:hAnsi="Times New Roman" w:cs="Times New Roman"/>
                <w:szCs w:val="21"/>
              </w:rPr>
              <w:t>H12</w:t>
            </w:r>
          </w:p>
        </w:tc>
        <w:tc>
          <w:tcPr>
            <w:tcW w:w="837" w:type="pct"/>
            <w:vAlign w:val="center"/>
          </w:tcPr>
          <w:p w14:paraId="191604FB">
            <w:pPr>
              <w:widowControl/>
              <w:adjustRightInd w:val="0"/>
              <w:snapToGrid w:val="0"/>
              <w:jc w:val="center"/>
              <w:rPr>
                <w:rFonts w:ascii="Times New Roman" w:hAnsi="Times New Roman" w:cs="Times New Roman"/>
                <w:szCs w:val="21"/>
              </w:rPr>
            </w:pPr>
            <w:r>
              <w:rPr>
                <w:rFonts w:ascii="Times New Roman" w:hAnsi="Times New Roman" w:cs="Times New Roman"/>
                <w:szCs w:val="21"/>
              </w:rPr>
              <w:t>0.134</w:t>
            </w:r>
          </w:p>
        </w:tc>
        <w:tc>
          <w:tcPr>
            <w:tcW w:w="837" w:type="pct"/>
            <w:vAlign w:val="center"/>
          </w:tcPr>
          <w:p w14:paraId="7CC9E33A">
            <w:pPr>
              <w:widowControl/>
              <w:adjustRightInd w:val="0"/>
              <w:snapToGrid w:val="0"/>
              <w:jc w:val="center"/>
              <w:rPr>
                <w:rFonts w:ascii="Times New Roman" w:hAnsi="Times New Roman" w:cs="Times New Roman"/>
                <w:szCs w:val="21"/>
              </w:rPr>
            </w:pPr>
            <w:r>
              <w:rPr>
                <w:rFonts w:ascii="Times New Roman" w:hAnsi="Times New Roman" w:cs="Times New Roman"/>
                <w:szCs w:val="21"/>
              </w:rPr>
              <w:t>0.323</w:t>
            </w:r>
          </w:p>
        </w:tc>
        <w:tc>
          <w:tcPr>
            <w:tcW w:w="837" w:type="pct"/>
            <w:vMerge w:val="continue"/>
            <w:vAlign w:val="center"/>
          </w:tcPr>
          <w:p w14:paraId="681F244D">
            <w:pPr>
              <w:widowControl/>
              <w:adjustRightInd w:val="0"/>
              <w:snapToGrid w:val="0"/>
              <w:jc w:val="center"/>
              <w:rPr>
                <w:rFonts w:ascii="Times New Roman" w:hAnsi="Times New Roman" w:cs="Times New Roman"/>
                <w:szCs w:val="21"/>
              </w:rPr>
            </w:pPr>
          </w:p>
        </w:tc>
        <w:tc>
          <w:tcPr>
            <w:tcW w:w="684" w:type="pct"/>
            <w:vMerge w:val="continue"/>
            <w:vAlign w:val="center"/>
          </w:tcPr>
          <w:p w14:paraId="0DC07E1C">
            <w:pPr>
              <w:widowControl/>
              <w:adjustRightInd w:val="0"/>
              <w:snapToGrid w:val="0"/>
              <w:jc w:val="center"/>
              <w:rPr>
                <w:rFonts w:ascii="Times New Roman" w:hAnsi="Times New Roman" w:cs="Times New Roman"/>
                <w:szCs w:val="21"/>
              </w:rPr>
            </w:pPr>
          </w:p>
        </w:tc>
      </w:tr>
    </w:tbl>
    <w:p w14:paraId="01C0998F">
      <w:pPr>
        <w:rPr>
          <w:rFonts w:ascii="Times New Roman" w:hAnsi="Times New Roman" w:cs="Times New Roman"/>
        </w:rPr>
      </w:pPr>
    </w:p>
    <w:tbl>
      <w:tblPr>
        <w:tblStyle w:val="56"/>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715"/>
        <w:gridCol w:w="1484"/>
        <w:gridCol w:w="1484"/>
        <w:gridCol w:w="1484"/>
        <w:gridCol w:w="1484"/>
        <w:gridCol w:w="1213"/>
      </w:tblGrid>
      <w:tr w14:paraId="46D6C88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restart"/>
            <w:tcBorders>
              <w:bottom w:val="single" w:color="7E7E7E" w:themeColor="text1" w:themeTint="80" w:sz="4" w:space="0"/>
              <w:insideH w:val="single" w:sz="4" w:space="0"/>
            </w:tcBorders>
            <w:vAlign w:val="center"/>
          </w:tcPr>
          <w:p w14:paraId="0E0463B3">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Species Pair</w:t>
            </w:r>
          </w:p>
        </w:tc>
        <w:tc>
          <w:tcPr>
            <w:tcW w:w="1674" w:type="pct"/>
            <w:gridSpan w:val="2"/>
            <w:tcBorders>
              <w:bottom w:val="single" w:color="7E7E7E" w:themeColor="text1" w:themeTint="80" w:sz="4" w:space="0"/>
              <w:insideH w:val="single" w:sz="4" w:space="0"/>
            </w:tcBorders>
            <w:vAlign w:val="center"/>
          </w:tcPr>
          <w:p w14:paraId="59717A81">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i/>
                <w:iCs/>
                <w:szCs w:val="21"/>
              </w:rPr>
              <w:t>r</w:t>
            </w:r>
            <w:r>
              <w:rPr>
                <w:rFonts w:ascii="Times New Roman" w:hAnsi="Times New Roman" w:cs="Times New Roman"/>
                <w:b/>
                <w:bCs/>
                <w:szCs w:val="21"/>
                <w:vertAlign w:val="subscript"/>
              </w:rPr>
              <w:t>CoM</w:t>
            </w:r>
            <w:r>
              <w:rPr>
                <w:rFonts w:ascii="Times New Roman" w:hAnsi="Times New Roman" w:cs="Times New Roman"/>
                <w:b/>
                <w:bCs/>
                <w:szCs w:val="21"/>
              </w:rPr>
              <w:t xml:space="preserve"> (Å</w:t>
            </w:r>
            <w:r>
              <w:rPr>
                <w:rFonts w:ascii="Times New Roman" w:hAnsi="Times New Roman" w:cs="Times New Roman"/>
                <w:b/>
                <w:bCs/>
                <w:szCs w:val="21"/>
                <w:vertAlign w:val="superscript"/>
              </w:rPr>
              <w:t>3</w:t>
            </w:r>
            <w:r>
              <w:rPr>
                <w:rFonts w:ascii="Times New Roman" w:hAnsi="Times New Roman" w:cs="Times New Roman"/>
                <w:b/>
                <w:bCs/>
                <w:szCs w:val="21"/>
              </w:rPr>
              <w:t>)</w:t>
            </w:r>
          </w:p>
        </w:tc>
        <w:tc>
          <w:tcPr>
            <w:tcW w:w="2357" w:type="pct"/>
            <w:gridSpan w:val="3"/>
            <w:tcBorders>
              <w:bottom w:val="single" w:color="7E7E7E" w:themeColor="text1" w:themeTint="80" w:sz="4" w:space="0"/>
              <w:insideH w:val="single" w:sz="4" w:space="0"/>
            </w:tcBorders>
            <w:vAlign w:val="center"/>
          </w:tcPr>
          <w:p w14:paraId="717594B5">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i/>
                <w:iCs/>
                <w:szCs w:val="21"/>
              </w:rPr>
              <w:t>K</w:t>
            </w:r>
            <w:r>
              <w:rPr>
                <w:rFonts w:ascii="Times New Roman" w:hAnsi="Times New Roman" w:cs="Times New Roman"/>
                <w:b/>
                <w:bCs/>
                <w:szCs w:val="21"/>
                <w:vertAlign w:val="subscript"/>
              </w:rPr>
              <w:t>LJ</w:t>
            </w:r>
          </w:p>
        </w:tc>
      </w:tr>
      <w:tr w14:paraId="2B0AE58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continue"/>
            <w:vAlign w:val="center"/>
          </w:tcPr>
          <w:p w14:paraId="38D7EF16">
            <w:pPr>
              <w:widowControl/>
              <w:adjustRightInd w:val="0"/>
              <w:snapToGrid w:val="0"/>
              <w:jc w:val="center"/>
              <w:rPr>
                <w:rFonts w:ascii="Times New Roman" w:hAnsi="Times New Roman" w:cs="Times New Roman"/>
                <w:b/>
                <w:bCs/>
                <w:szCs w:val="21"/>
              </w:rPr>
            </w:pPr>
          </w:p>
        </w:tc>
        <w:tc>
          <w:tcPr>
            <w:tcW w:w="837" w:type="pct"/>
            <w:vMerge w:val="restart"/>
            <w:vAlign w:val="center"/>
          </w:tcPr>
          <w:p w14:paraId="4EFBE520">
            <w:pPr>
              <w:adjustRightInd w:val="0"/>
              <w:snapToGrid w:val="0"/>
              <w:jc w:val="center"/>
              <w:rPr>
                <w:rFonts w:ascii="Times New Roman" w:hAnsi="Times New Roman" w:cs="Times New Roman"/>
                <w:b/>
                <w:bCs/>
                <w:szCs w:val="21"/>
              </w:rPr>
            </w:pPr>
            <w:r>
              <w:rPr>
                <w:rFonts w:ascii="Times New Roman" w:hAnsi="Times New Roman" w:cs="Times New Roman"/>
                <w:b/>
                <w:bCs/>
                <w:szCs w:val="21"/>
              </w:rPr>
              <w:t>This work</w:t>
            </w:r>
          </w:p>
        </w:tc>
        <w:tc>
          <w:tcPr>
            <w:tcW w:w="837" w:type="pct"/>
            <w:vMerge w:val="restart"/>
            <w:vAlign w:val="center"/>
          </w:tcPr>
          <w:p w14:paraId="3091D711">
            <w:pPr>
              <w:adjustRightInd w:val="0"/>
              <w:snapToGrid w:val="0"/>
              <w:jc w:val="center"/>
              <w:rPr>
                <w:rFonts w:ascii="Times New Roman" w:hAnsi="Times New Roman" w:cs="Times New Roman"/>
                <w:szCs w:val="21"/>
              </w:rPr>
            </w:pPr>
            <w:r>
              <w:rPr>
                <w:rFonts w:ascii="Times New Roman" w:hAnsi="Times New Roman" w:cs="Times New Roman"/>
                <w:szCs w:val="21"/>
              </w:rPr>
              <w:t>CL&amp;Pol</w:t>
            </w:r>
          </w:p>
        </w:tc>
        <w:tc>
          <w:tcPr>
            <w:tcW w:w="837" w:type="pct"/>
            <w:vMerge w:val="restart"/>
            <w:vAlign w:val="center"/>
          </w:tcPr>
          <w:p w14:paraId="65F463DE">
            <w:pPr>
              <w:widowControl/>
              <w:adjustRightInd w:val="0"/>
              <w:snapToGrid w:val="0"/>
              <w:jc w:val="center"/>
              <w:rPr>
                <w:rFonts w:ascii="Times New Roman" w:hAnsi="Times New Roman" w:cs="Times New Roman"/>
                <w:szCs w:val="21"/>
              </w:rPr>
            </w:pPr>
            <w:r>
              <w:rPr>
                <w:rFonts w:ascii="Times New Roman" w:hAnsi="Times New Roman" w:cs="Times New Roman"/>
                <w:b/>
                <w:bCs/>
                <w:szCs w:val="21"/>
              </w:rPr>
              <w:t>This work</w:t>
            </w:r>
          </w:p>
        </w:tc>
        <w:tc>
          <w:tcPr>
            <w:tcW w:w="1521" w:type="pct"/>
            <w:gridSpan w:val="2"/>
            <w:vAlign w:val="center"/>
          </w:tcPr>
          <w:p w14:paraId="6BA81A6E">
            <w:pPr>
              <w:widowControl/>
              <w:adjustRightInd w:val="0"/>
              <w:snapToGrid w:val="0"/>
              <w:jc w:val="center"/>
              <w:rPr>
                <w:rFonts w:ascii="Times New Roman" w:hAnsi="Times New Roman" w:cs="Times New Roman"/>
                <w:szCs w:val="21"/>
              </w:rPr>
            </w:pPr>
            <w:r>
              <w:rPr>
                <w:rFonts w:ascii="Times New Roman" w:hAnsi="Times New Roman" w:cs="Times New Roman"/>
                <w:szCs w:val="21"/>
              </w:rPr>
              <w:t>CL&amp;Pol</w:t>
            </w:r>
          </w:p>
        </w:tc>
      </w:tr>
      <w:tr w14:paraId="5A078AA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Merge w:val="continue"/>
            <w:vAlign w:val="center"/>
          </w:tcPr>
          <w:p w14:paraId="5C1501CD">
            <w:pPr>
              <w:widowControl/>
              <w:adjustRightInd w:val="0"/>
              <w:snapToGrid w:val="0"/>
              <w:jc w:val="center"/>
              <w:rPr>
                <w:rFonts w:ascii="Times New Roman" w:hAnsi="Times New Roman" w:cs="Times New Roman"/>
                <w:b/>
                <w:bCs/>
                <w:szCs w:val="21"/>
              </w:rPr>
            </w:pPr>
          </w:p>
        </w:tc>
        <w:tc>
          <w:tcPr>
            <w:tcW w:w="837" w:type="pct"/>
            <w:vMerge w:val="continue"/>
            <w:vAlign w:val="center"/>
          </w:tcPr>
          <w:p w14:paraId="2CF2FC6D">
            <w:pPr>
              <w:widowControl/>
              <w:adjustRightInd w:val="0"/>
              <w:snapToGrid w:val="0"/>
              <w:jc w:val="center"/>
              <w:rPr>
                <w:rFonts w:ascii="Times New Roman" w:hAnsi="Times New Roman" w:cs="Times New Roman"/>
                <w:b/>
                <w:bCs/>
                <w:i/>
                <w:iCs/>
                <w:szCs w:val="21"/>
              </w:rPr>
            </w:pPr>
          </w:p>
        </w:tc>
        <w:tc>
          <w:tcPr>
            <w:tcW w:w="837" w:type="pct"/>
            <w:vMerge w:val="continue"/>
            <w:vAlign w:val="center"/>
          </w:tcPr>
          <w:p w14:paraId="00CAAB1B">
            <w:pPr>
              <w:widowControl/>
              <w:adjustRightInd w:val="0"/>
              <w:snapToGrid w:val="0"/>
              <w:jc w:val="center"/>
              <w:rPr>
                <w:rFonts w:ascii="Times New Roman" w:hAnsi="Times New Roman" w:cs="Times New Roman"/>
                <w:b/>
                <w:bCs/>
                <w:i/>
                <w:iCs/>
                <w:szCs w:val="21"/>
              </w:rPr>
            </w:pPr>
          </w:p>
        </w:tc>
        <w:tc>
          <w:tcPr>
            <w:tcW w:w="837" w:type="pct"/>
            <w:vMerge w:val="continue"/>
            <w:vAlign w:val="center"/>
          </w:tcPr>
          <w:p w14:paraId="7A12E58D">
            <w:pPr>
              <w:widowControl/>
              <w:adjustRightInd w:val="0"/>
              <w:snapToGrid w:val="0"/>
              <w:jc w:val="center"/>
              <w:rPr>
                <w:rFonts w:ascii="Times New Roman" w:hAnsi="Times New Roman" w:cs="Times New Roman"/>
                <w:szCs w:val="21"/>
              </w:rPr>
            </w:pPr>
          </w:p>
        </w:tc>
        <w:tc>
          <w:tcPr>
            <w:tcW w:w="837" w:type="pct"/>
            <w:vAlign w:val="center"/>
          </w:tcPr>
          <w:p w14:paraId="41FD3BA6">
            <w:pPr>
              <w:widowControl/>
              <w:adjustRightInd w:val="0"/>
              <w:snapToGrid w:val="0"/>
              <w:jc w:val="center"/>
              <w:rPr>
                <w:rFonts w:ascii="Times New Roman" w:hAnsi="Times New Roman" w:cs="Times New Roman"/>
                <w:b/>
                <w:bCs/>
                <w:szCs w:val="21"/>
              </w:rPr>
            </w:pPr>
            <w:r>
              <w:rPr>
                <w:rFonts w:ascii="Times New Roman" w:hAnsi="Times New Roman" w:eastAsia="宋体" w:cs="Times New Roman"/>
                <w:i/>
                <w:iCs/>
                <w:szCs w:val="21"/>
              </w:rPr>
              <w:t>K</w:t>
            </w:r>
            <w:r>
              <w:rPr>
                <w:rFonts w:ascii="Times New Roman" w:hAnsi="Times New Roman" w:eastAsia="宋体" w:cs="Times New Roman"/>
                <w:szCs w:val="21"/>
                <w:vertAlign w:val="subscript"/>
              </w:rPr>
              <w:t>pred</w:t>
            </w:r>
          </w:p>
        </w:tc>
        <w:tc>
          <w:tcPr>
            <w:tcW w:w="684" w:type="pct"/>
            <w:vAlign w:val="center"/>
          </w:tcPr>
          <w:p w14:paraId="2AE62433">
            <w:pPr>
              <w:widowControl/>
              <w:adjustRightInd w:val="0"/>
              <w:snapToGrid w:val="0"/>
              <w:jc w:val="center"/>
              <w:rPr>
                <w:rFonts w:ascii="Times New Roman" w:hAnsi="Times New Roman" w:cs="Times New Roman"/>
                <w:szCs w:val="21"/>
              </w:rPr>
            </w:pPr>
            <w:r>
              <w:rPr>
                <w:rFonts w:ascii="Times New Roman" w:hAnsi="Times New Roman" w:eastAsia="宋体" w:cs="Times New Roman"/>
                <w:i/>
                <w:iCs/>
                <w:szCs w:val="21"/>
              </w:rPr>
              <w:t>K</w:t>
            </w:r>
            <w:r>
              <w:rPr>
                <w:rFonts w:ascii="Times New Roman" w:hAnsi="Times New Roman" w:eastAsia="宋体" w:cs="Times New Roman"/>
                <w:szCs w:val="21"/>
                <w:vertAlign w:val="subscript"/>
              </w:rPr>
              <w:t>SAPT</w:t>
            </w:r>
          </w:p>
        </w:tc>
      </w:tr>
      <w:tr w14:paraId="29AD4C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Align w:val="center"/>
          </w:tcPr>
          <w:p w14:paraId="6E5EDF23">
            <w:pPr>
              <w:widowControl/>
              <w:adjustRightInd w:val="0"/>
              <w:snapToGrid w:val="0"/>
              <w:jc w:val="center"/>
              <w:rPr>
                <w:rFonts w:ascii="Times New Roman" w:hAnsi="Times New Roman" w:cs="Times New Roman"/>
                <w:b/>
                <w:bCs/>
                <w:szCs w:val="21"/>
              </w:rPr>
            </w:pPr>
            <w:r>
              <w:rPr>
                <w:rFonts w:ascii="Times New Roman" w:hAnsi="Times New Roman" w:cs="Times New Roman"/>
                <w:b/>
                <w:bCs/>
                <w:szCs w:val="21"/>
              </w:rPr>
              <w:t>Li</w:t>
            </w:r>
            <w:r>
              <w:rPr>
                <w:rFonts w:ascii="Times New Roman" w:hAnsi="Times New Roman" w:cs="Times New Roman"/>
                <w:b/>
                <w:bCs/>
                <w:szCs w:val="21"/>
                <w:vertAlign w:val="superscript"/>
              </w:rPr>
              <w:t>+</w:t>
            </w:r>
            <w:r>
              <w:rPr>
                <w:rFonts w:ascii="Times New Roman" w:hAnsi="Times New Roman" w:cs="Times New Roman"/>
                <w:b/>
                <w:bCs/>
                <w:szCs w:val="21"/>
              </w:rPr>
              <w:t>-FSI</w:t>
            </w:r>
            <w:r>
              <w:rPr>
                <w:rFonts w:ascii="Times New Roman" w:hAnsi="Times New Roman" w:cs="Times New Roman"/>
                <w:b/>
                <w:bCs/>
                <w:szCs w:val="21"/>
                <w:vertAlign w:val="superscript"/>
              </w:rPr>
              <w:t>-</w:t>
            </w:r>
          </w:p>
        </w:tc>
        <w:tc>
          <w:tcPr>
            <w:tcW w:w="837" w:type="pct"/>
            <w:vAlign w:val="center"/>
          </w:tcPr>
          <w:p w14:paraId="48A343F1">
            <w:pPr>
              <w:widowControl/>
              <w:adjustRightInd w:val="0"/>
              <w:snapToGrid w:val="0"/>
              <w:jc w:val="center"/>
              <w:rPr>
                <w:rFonts w:ascii="Times New Roman" w:hAnsi="Times New Roman" w:cs="Times New Roman"/>
                <w:szCs w:val="21"/>
              </w:rPr>
            </w:pPr>
            <w:r>
              <w:rPr>
                <w:rFonts w:ascii="Times New Roman" w:hAnsi="Times New Roman" w:cs="Times New Roman"/>
                <w:szCs w:val="21"/>
              </w:rPr>
              <w:t>2.8245</w:t>
            </w:r>
          </w:p>
        </w:tc>
        <w:tc>
          <w:tcPr>
            <w:tcW w:w="837" w:type="pct"/>
            <w:vAlign w:val="center"/>
          </w:tcPr>
          <w:p w14:paraId="3A7242B4">
            <w:pPr>
              <w:widowControl/>
              <w:adjustRightInd w:val="0"/>
              <w:snapToGrid w:val="0"/>
              <w:jc w:val="center"/>
              <w:rPr>
                <w:rFonts w:ascii="Times New Roman" w:hAnsi="Times New Roman" w:cs="Times New Roman"/>
                <w:szCs w:val="21"/>
              </w:rPr>
            </w:pPr>
            <w:r>
              <w:rPr>
                <w:rFonts w:ascii="Times New Roman" w:hAnsi="Times New Roman" w:cs="Times New Roman"/>
                <w:szCs w:val="21"/>
              </w:rPr>
              <w:t>2.548</w:t>
            </w:r>
          </w:p>
        </w:tc>
        <w:tc>
          <w:tcPr>
            <w:tcW w:w="837" w:type="pct"/>
            <w:vMerge w:val="restart"/>
            <w:vAlign w:val="center"/>
          </w:tcPr>
          <w:p w14:paraId="4C75B82D">
            <w:pPr>
              <w:adjustRightInd w:val="0"/>
              <w:snapToGrid w:val="0"/>
              <w:jc w:val="center"/>
              <w:rPr>
                <w:rFonts w:ascii="Times New Roman" w:hAnsi="Times New Roman" w:cs="Times New Roman"/>
                <w:szCs w:val="21"/>
              </w:rPr>
            </w:pPr>
            <w:r>
              <w:rPr>
                <w:rFonts w:ascii="Times New Roman" w:hAnsi="Times New Roman" w:cs="Times New Roman"/>
                <w:szCs w:val="21"/>
              </w:rPr>
              <w:t>1</w:t>
            </w:r>
          </w:p>
        </w:tc>
        <w:tc>
          <w:tcPr>
            <w:tcW w:w="837" w:type="pct"/>
            <w:vMerge w:val="restart"/>
            <w:vAlign w:val="center"/>
          </w:tcPr>
          <w:p w14:paraId="5B276672">
            <w:pPr>
              <w:widowControl/>
              <w:adjustRightInd w:val="0"/>
              <w:snapToGrid w:val="0"/>
              <w:jc w:val="center"/>
              <w:rPr>
                <w:rFonts w:ascii="Times New Roman" w:hAnsi="Times New Roman" w:cs="Times New Roman"/>
                <w:szCs w:val="21"/>
              </w:rPr>
            </w:pPr>
            <w:r>
              <w:rPr>
                <w:rFonts w:ascii="Times New Roman" w:hAnsi="Times New Roman" w:cs="Times New Roman"/>
                <w:szCs w:val="21"/>
              </w:rPr>
              <w:t>1</w:t>
            </w:r>
          </w:p>
        </w:tc>
        <w:tc>
          <w:tcPr>
            <w:tcW w:w="684" w:type="pct"/>
            <w:vMerge w:val="restart"/>
            <w:vAlign w:val="center"/>
          </w:tcPr>
          <w:p w14:paraId="119203ED">
            <w:pPr>
              <w:widowControl/>
              <w:adjustRightInd w:val="0"/>
              <w:snapToGrid w:val="0"/>
              <w:jc w:val="center"/>
              <w:rPr>
                <w:rFonts w:ascii="Times New Roman" w:hAnsi="Times New Roman" w:cs="Times New Roman"/>
                <w:szCs w:val="21"/>
              </w:rPr>
            </w:pPr>
            <w:r>
              <w:rPr>
                <w:rFonts w:ascii="Times New Roman" w:hAnsi="Times New Roman" w:cs="Times New Roman"/>
                <w:szCs w:val="21"/>
              </w:rPr>
              <w:t>1</w:t>
            </w:r>
          </w:p>
        </w:tc>
      </w:tr>
      <w:tr w14:paraId="120F9DA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Align w:val="center"/>
          </w:tcPr>
          <w:p w14:paraId="7867322D">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Li</w:t>
            </w:r>
            <w:r>
              <w:rPr>
                <w:rFonts w:ascii="Times New Roman" w:hAnsi="Times New Roman" w:cs="Times New Roman"/>
                <w:b/>
                <w:bCs/>
                <w:szCs w:val="21"/>
                <w:vertAlign w:val="superscript"/>
              </w:rPr>
              <w:t>+</w:t>
            </w:r>
            <w:r>
              <w:rPr>
                <w:rFonts w:ascii="Times New Roman" w:hAnsi="Times New Roman" w:cs="Times New Roman"/>
                <w:b/>
                <w:bCs/>
                <w:szCs w:val="21"/>
              </w:rPr>
              <w:t>-DME</w:t>
            </w:r>
          </w:p>
        </w:tc>
        <w:tc>
          <w:tcPr>
            <w:tcW w:w="837" w:type="pct"/>
            <w:vAlign w:val="center"/>
          </w:tcPr>
          <w:p w14:paraId="29FCD7EB">
            <w:pPr>
              <w:widowControl/>
              <w:adjustRightInd w:val="0"/>
              <w:snapToGrid w:val="0"/>
              <w:jc w:val="center"/>
              <w:rPr>
                <w:rFonts w:ascii="Times New Roman" w:hAnsi="Times New Roman" w:cs="Times New Roman"/>
                <w:szCs w:val="21"/>
              </w:rPr>
            </w:pPr>
            <w:r>
              <w:rPr>
                <w:rFonts w:ascii="Times New Roman" w:hAnsi="Times New Roman" w:cs="Times New Roman"/>
                <w:szCs w:val="21"/>
              </w:rPr>
              <w:t>1.887</w:t>
            </w:r>
          </w:p>
        </w:tc>
        <w:tc>
          <w:tcPr>
            <w:tcW w:w="837" w:type="pct"/>
            <w:vAlign w:val="center"/>
          </w:tcPr>
          <w:p w14:paraId="63F417AE">
            <w:pPr>
              <w:widowControl/>
              <w:adjustRightInd w:val="0"/>
              <w:snapToGrid w:val="0"/>
              <w:jc w:val="center"/>
              <w:rPr>
                <w:rFonts w:ascii="Times New Roman" w:hAnsi="Times New Roman" w:cs="Times New Roman"/>
                <w:szCs w:val="21"/>
              </w:rPr>
            </w:pPr>
            <w:r>
              <w:rPr>
                <w:rFonts w:ascii="Times New Roman" w:hAnsi="Times New Roman" w:cs="Times New Roman"/>
                <w:szCs w:val="21"/>
              </w:rPr>
              <w:t>1.737</w:t>
            </w:r>
          </w:p>
        </w:tc>
        <w:tc>
          <w:tcPr>
            <w:tcW w:w="837" w:type="pct"/>
            <w:vMerge w:val="continue"/>
            <w:vAlign w:val="center"/>
          </w:tcPr>
          <w:p w14:paraId="263D48BA">
            <w:pPr>
              <w:widowControl/>
              <w:adjustRightInd w:val="0"/>
              <w:snapToGrid w:val="0"/>
              <w:jc w:val="center"/>
              <w:rPr>
                <w:rFonts w:ascii="Times New Roman" w:hAnsi="Times New Roman" w:cs="Times New Roman"/>
                <w:szCs w:val="21"/>
              </w:rPr>
            </w:pPr>
          </w:p>
        </w:tc>
        <w:tc>
          <w:tcPr>
            <w:tcW w:w="837" w:type="pct"/>
            <w:vMerge w:val="continue"/>
            <w:vAlign w:val="center"/>
          </w:tcPr>
          <w:p w14:paraId="181BCB3C">
            <w:pPr>
              <w:widowControl/>
              <w:adjustRightInd w:val="0"/>
              <w:snapToGrid w:val="0"/>
              <w:jc w:val="center"/>
              <w:rPr>
                <w:rFonts w:ascii="Times New Roman" w:hAnsi="Times New Roman" w:cs="Times New Roman"/>
                <w:szCs w:val="21"/>
              </w:rPr>
            </w:pPr>
          </w:p>
        </w:tc>
        <w:tc>
          <w:tcPr>
            <w:tcW w:w="684" w:type="pct"/>
            <w:vMerge w:val="continue"/>
            <w:vAlign w:val="center"/>
          </w:tcPr>
          <w:p w14:paraId="7D507118">
            <w:pPr>
              <w:widowControl/>
              <w:adjustRightInd w:val="0"/>
              <w:snapToGrid w:val="0"/>
              <w:jc w:val="center"/>
              <w:rPr>
                <w:rFonts w:ascii="Times New Roman" w:hAnsi="Times New Roman" w:cs="Times New Roman"/>
                <w:szCs w:val="21"/>
              </w:rPr>
            </w:pPr>
          </w:p>
        </w:tc>
      </w:tr>
      <w:tr w14:paraId="25C5106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Align w:val="center"/>
          </w:tcPr>
          <w:p w14:paraId="7C20EEB4">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FSI</w:t>
            </w:r>
            <w:r>
              <w:rPr>
                <w:rFonts w:ascii="Times New Roman" w:hAnsi="Times New Roman" w:cs="Times New Roman"/>
                <w:b/>
                <w:bCs/>
                <w:szCs w:val="21"/>
                <w:vertAlign w:val="superscript"/>
              </w:rPr>
              <w:t>-</w:t>
            </w:r>
            <w:r>
              <w:rPr>
                <w:rFonts w:ascii="Times New Roman" w:hAnsi="Times New Roman" w:cs="Times New Roman"/>
                <w:b/>
                <w:bCs/>
                <w:szCs w:val="21"/>
              </w:rPr>
              <w:t>-DME</w:t>
            </w:r>
          </w:p>
        </w:tc>
        <w:tc>
          <w:tcPr>
            <w:tcW w:w="837" w:type="pct"/>
            <w:vAlign w:val="center"/>
          </w:tcPr>
          <w:p w14:paraId="16726F12">
            <w:pPr>
              <w:widowControl/>
              <w:adjustRightInd w:val="0"/>
              <w:snapToGrid w:val="0"/>
              <w:jc w:val="center"/>
              <w:rPr>
                <w:rFonts w:ascii="Times New Roman" w:hAnsi="Times New Roman" w:cs="Times New Roman"/>
                <w:szCs w:val="21"/>
              </w:rPr>
            </w:pPr>
            <w:r>
              <w:rPr>
                <w:rFonts w:ascii="Times New Roman" w:hAnsi="Times New Roman" w:cs="Times New Roman"/>
                <w:szCs w:val="21"/>
              </w:rPr>
              <w:t>4.250</w:t>
            </w:r>
          </w:p>
        </w:tc>
        <w:tc>
          <w:tcPr>
            <w:tcW w:w="837" w:type="pct"/>
            <w:vAlign w:val="center"/>
          </w:tcPr>
          <w:p w14:paraId="3F1BCCCC">
            <w:pPr>
              <w:widowControl/>
              <w:adjustRightInd w:val="0"/>
              <w:snapToGrid w:val="0"/>
              <w:jc w:val="center"/>
              <w:rPr>
                <w:rFonts w:ascii="Times New Roman" w:hAnsi="Times New Roman" w:cs="Times New Roman"/>
                <w:szCs w:val="21"/>
              </w:rPr>
            </w:pPr>
            <w:r>
              <w:rPr>
                <w:rFonts w:ascii="Times New Roman" w:hAnsi="Times New Roman" w:cs="Times New Roman"/>
                <w:szCs w:val="21"/>
              </w:rPr>
              <w:t>4.583</w:t>
            </w:r>
          </w:p>
        </w:tc>
        <w:tc>
          <w:tcPr>
            <w:tcW w:w="837" w:type="pct"/>
            <w:vAlign w:val="center"/>
          </w:tcPr>
          <w:p w14:paraId="288C7DFC">
            <w:pPr>
              <w:widowControl/>
              <w:adjustRightInd w:val="0"/>
              <w:snapToGrid w:val="0"/>
              <w:jc w:val="center"/>
              <w:rPr>
                <w:rFonts w:ascii="Times New Roman" w:hAnsi="Times New Roman" w:cs="Times New Roman"/>
                <w:szCs w:val="21"/>
              </w:rPr>
            </w:pPr>
            <w:r>
              <w:rPr>
                <w:rFonts w:ascii="Times New Roman" w:hAnsi="Times New Roman" w:cs="Times New Roman"/>
                <w:szCs w:val="21"/>
              </w:rPr>
              <w:t>0.6419</w:t>
            </w:r>
          </w:p>
        </w:tc>
        <w:tc>
          <w:tcPr>
            <w:tcW w:w="837" w:type="pct"/>
            <w:vAlign w:val="center"/>
          </w:tcPr>
          <w:p w14:paraId="30C9F827">
            <w:pPr>
              <w:widowControl/>
              <w:adjustRightInd w:val="0"/>
              <w:snapToGrid w:val="0"/>
              <w:jc w:val="center"/>
              <w:rPr>
                <w:rFonts w:ascii="Times New Roman" w:hAnsi="Times New Roman" w:cs="Times New Roman"/>
                <w:szCs w:val="21"/>
              </w:rPr>
            </w:pPr>
            <w:r>
              <w:rPr>
                <w:rFonts w:ascii="Times New Roman" w:hAnsi="Times New Roman" w:cs="Times New Roman"/>
                <w:szCs w:val="21"/>
              </w:rPr>
              <w:t>0.6607</w:t>
            </w:r>
          </w:p>
        </w:tc>
        <w:tc>
          <w:tcPr>
            <w:tcW w:w="684" w:type="pct"/>
            <w:vAlign w:val="center"/>
          </w:tcPr>
          <w:p w14:paraId="4F41AE35">
            <w:pPr>
              <w:widowControl/>
              <w:adjustRightInd w:val="0"/>
              <w:snapToGrid w:val="0"/>
              <w:jc w:val="center"/>
              <w:rPr>
                <w:rFonts w:ascii="Times New Roman" w:hAnsi="Times New Roman" w:cs="Times New Roman"/>
                <w:szCs w:val="21"/>
              </w:rPr>
            </w:pPr>
            <w:r>
              <w:rPr>
                <w:rFonts w:ascii="Times New Roman" w:hAnsi="Times New Roman" w:cs="Times New Roman"/>
                <w:szCs w:val="21"/>
              </w:rPr>
              <w:t>0.73</w:t>
            </w:r>
          </w:p>
        </w:tc>
      </w:tr>
      <w:tr w14:paraId="72F3386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968" w:type="pct"/>
            <w:vAlign w:val="center"/>
          </w:tcPr>
          <w:p w14:paraId="14122D03">
            <w:pPr>
              <w:widowControl/>
              <w:adjustRightInd w:val="0"/>
              <w:snapToGrid w:val="0"/>
              <w:jc w:val="center"/>
              <w:rPr>
                <w:rFonts w:ascii="Times New Roman" w:hAnsi="Times New Roman" w:cs="Times New Roman"/>
                <w:b w:val="0"/>
                <w:bCs w:val="0"/>
                <w:szCs w:val="21"/>
              </w:rPr>
            </w:pPr>
            <w:r>
              <w:rPr>
                <w:rFonts w:ascii="Times New Roman" w:hAnsi="Times New Roman" w:cs="Times New Roman"/>
                <w:b/>
                <w:bCs/>
                <w:szCs w:val="21"/>
              </w:rPr>
              <w:t>DME-DME</w:t>
            </w:r>
          </w:p>
        </w:tc>
        <w:tc>
          <w:tcPr>
            <w:tcW w:w="837" w:type="pct"/>
            <w:vAlign w:val="center"/>
          </w:tcPr>
          <w:p w14:paraId="1855826A">
            <w:pPr>
              <w:widowControl/>
              <w:adjustRightInd w:val="0"/>
              <w:snapToGrid w:val="0"/>
              <w:jc w:val="center"/>
              <w:rPr>
                <w:rFonts w:ascii="Times New Roman" w:hAnsi="Times New Roman" w:cs="Times New Roman"/>
                <w:szCs w:val="21"/>
              </w:rPr>
            </w:pPr>
            <w:r>
              <w:rPr>
                <w:rFonts w:ascii="Times New Roman" w:hAnsi="Times New Roman" w:cs="Times New Roman"/>
                <w:szCs w:val="21"/>
              </w:rPr>
              <w:t>3.375</w:t>
            </w:r>
          </w:p>
        </w:tc>
        <w:tc>
          <w:tcPr>
            <w:tcW w:w="837" w:type="pct"/>
            <w:vAlign w:val="center"/>
          </w:tcPr>
          <w:p w14:paraId="2378EA6F">
            <w:pPr>
              <w:widowControl/>
              <w:adjustRightInd w:val="0"/>
              <w:snapToGrid w:val="0"/>
              <w:jc w:val="center"/>
              <w:rPr>
                <w:rFonts w:ascii="Times New Roman" w:hAnsi="Times New Roman" w:cs="Times New Roman"/>
                <w:szCs w:val="21"/>
              </w:rPr>
            </w:pPr>
            <w:r>
              <w:rPr>
                <w:rFonts w:ascii="Times New Roman" w:hAnsi="Times New Roman" w:cs="Times New Roman"/>
                <w:szCs w:val="21"/>
              </w:rPr>
              <w:t>3.856</w:t>
            </w:r>
          </w:p>
        </w:tc>
        <w:tc>
          <w:tcPr>
            <w:tcW w:w="837" w:type="pct"/>
            <w:vAlign w:val="center"/>
          </w:tcPr>
          <w:p w14:paraId="70C67A90">
            <w:pPr>
              <w:widowControl/>
              <w:adjustRightInd w:val="0"/>
              <w:snapToGrid w:val="0"/>
              <w:jc w:val="center"/>
              <w:rPr>
                <w:rFonts w:ascii="Times New Roman" w:hAnsi="Times New Roman" w:cs="Times New Roman"/>
                <w:szCs w:val="21"/>
              </w:rPr>
            </w:pPr>
            <w:r>
              <w:rPr>
                <w:rFonts w:ascii="Times New Roman" w:hAnsi="Times New Roman" w:cs="Times New Roman"/>
                <w:szCs w:val="21"/>
              </w:rPr>
              <w:t>0.9137</w:t>
            </w:r>
          </w:p>
        </w:tc>
        <w:tc>
          <w:tcPr>
            <w:tcW w:w="837" w:type="pct"/>
            <w:vAlign w:val="center"/>
          </w:tcPr>
          <w:p w14:paraId="0958E924">
            <w:pPr>
              <w:widowControl/>
              <w:adjustRightInd w:val="0"/>
              <w:snapToGrid w:val="0"/>
              <w:jc w:val="center"/>
              <w:rPr>
                <w:rFonts w:ascii="Times New Roman" w:hAnsi="Times New Roman" w:cs="Times New Roman"/>
                <w:szCs w:val="21"/>
              </w:rPr>
            </w:pPr>
            <w:r>
              <w:rPr>
                <w:rFonts w:ascii="Times New Roman" w:hAnsi="Times New Roman" w:cs="Times New Roman"/>
                <w:szCs w:val="21"/>
              </w:rPr>
              <w:t>0.9657</w:t>
            </w:r>
          </w:p>
        </w:tc>
        <w:tc>
          <w:tcPr>
            <w:tcW w:w="684" w:type="pct"/>
            <w:vAlign w:val="center"/>
          </w:tcPr>
          <w:p w14:paraId="32F4C340">
            <w:pPr>
              <w:widowControl/>
              <w:adjustRightInd w:val="0"/>
              <w:snapToGrid w:val="0"/>
              <w:jc w:val="center"/>
              <w:rPr>
                <w:rFonts w:ascii="Times New Roman" w:hAnsi="Times New Roman" w:cs="Times New Roman"/>
                <w:szCs w:val="21"/>
              </w:rPr>
            </w:pPr>
            <w:r>
              <w:rPr>
                <w:rFonts w:ascii="Times New Roman" w:hAnsi="Times New Roman" w:cs="Times New Roman"/>
                <w:szCs w:val="21"/>
              </w:rPr>
              <w:t>0.89</w:t>
            </w:r>
          </w:p>
        </w:tc>
      </w:tr>
    </w:tbl>
    <w:p w14:paraId="32ACC28C">
      <w:pPr>
        <w:widowControl/>
        <w:jc w:val="left"/>
        <w:rPr>
          <w:rFonts w:ascii="Times New Roman" w:hAnsi="Times New Roman" w:cs="Times New Roman"/>
          <w:szCs w:val="21"/>
        </w:rPr>
      </w:pPr>
    </w:p>
    <w:p w14:paraId="24A2220F">
      <w:pPr>
        <w:widowControl/>
        <w:adjustRightInd w:val="0"/>
        <w:snapToGrid w:val="0"/>
        <w:spacing w:line="360" w:lineRule="auto"/>
        <w:rPr>
          <w:rFonts w:ascii="Times New Roman" w:hAnsi="Times New Roman" w:cs="Times New Roman"/>
          <w:sz w:val="24"/>
          <w:szCs w:val="24"/>
        </w:rPr>
      </w:pPr>
    </w:p>
    <w:p w14:paraId="0B164540">
      <w:pPr>
        <w:widowControl/>
        <w:adjustRightInd w:val="0"/>
        <w:snapToGrid w:val="0"/>
        <w:spacing w:line="360" w:lineRule="auto"/>
        <w:rPr>
          <w:rFonts w:ascii="Times New Roman" w:hAnsi="Times New Roman" w:cs="Times New Roman"/>
          <w:sz w:val="24"/>
          <w:szCs w:val="24"/>
        </w:rPr>
        <w:sectPr>
          <w:footerReference r:id="rId3" w:type="default"/>
          <w:pgSz w:w="12242" w:h="15842"/>
          <w:pgMar w:top="1440" w:right="1797" w:bottom="1440" w:left="1797" w:header="851" w:footer="992" w:gutter="0"/>
          <w:cols w:space="425" w:num="1"/>
          <w:docGrid w:type="lines" w:linePitch="312" w:charSpace="0"/>
        </w:sectPr>
      </w:pPr>
    </w:p>
    <w:p w14:paraId="589B28BF">
      <w:pPr>
        <w:pStyle w:val="2"/>
        <w:spacing w:after="156"/>
        <w:rPr>
          <w:rFonts w:cs="Times New Roman"/>
        </w:rPr>
      </w:pPr>
      <w:bookmarkStart w:id="24" w:name="_Toc221108146"/>
      <w:r>
        <w:rPr>
          <w:rFonts w:cs="Times New Roman"/>
        </w:rPr>
        <w:t>Supplementary Note 5 | Static and Transport Properties of Neat Components</w:t>
      </w:r>
      <w:bookmarkEnd w:id="24"/>
    </w:p>
    <w:p w14:paraId="7A8F979B">
      <w:pPr>
        <w:widowControl/>
        <w:adjustRightInd w:val="0"/>
        <w:snapToGrid w:val="0"/>
        <w:spacing w:after="156" w:afterLines="50" w:line="360" w:lineRule="auto"/>
        <w:rPr>
          <w:rFonts w:ascii="Times New Roman" w:hAnsi="Times New Roman" w:eastAsia="宋体" w:cs="Times New Roman"/>
          <w:color w:val="000000"/>
          <w:kern w:val="0"/>
          <w:sz w:val="24"/>
          <w:szCs w:val="24"/>
        </w:rPr>
      </w:pPr>
      <w:bookmarkStart w:id="25" w:name="_Toc221108147"/>
      <w:r>
        <w:rPr>
          <w:rStyle w:val="27"/>
          <w:rFonts w:cs="Times New Roman"/>
          <w:szCs w:val="24"/>
        </w:rPr>
        <w:t>Supplementary Table 12 | Benchmark comparison of calculated densities for neat components.</w:t>
      </w:r>
      <w:bookmarkEnd w:id="25"/>
      <w:r>
        <w:rPr>
          <w:rStyle w:val="27"/>
          <w:rFonts w:cs="Times New Roman"/>
          <w:szCs w:val="24"/>
        </w:rPr>
        <w:t xml:space="preserve"> </w:t>
      </w:r>
      <w:r>
        <w:rPr>
          <w:rFonts w:ascii="Times New Roman" w:hAnsi="Times New Roman" w:eastAsia="宋体" w:cs="Times New Roman"/>
          <w:sz w:val="24"/>
          <w:szCs w:val="24"/>
        </w:rPr>
        <w:t>Densities (</w:t>
      </w:r>
      <w:r>
        <w:rPr>
          <w:rFonts w:ascii="Times New Roman" w:hAnsi="Times New Roman" w:eastAsia="宋体" w:cs="Times New Roman"/>
          <w:i/>
          <w:iCs/>
          <w:sz w:val="24"/>
          <w:szCs w:val="24"/>
        </w:rPr>
        <w:t>ρ</w:t>
      </w:r>
      <w:r>
        <w:rPr>
          <w:rFonts w:ascii="Times New Roman" w:hAnsi="Times New Roman" w:eastAsia="宋体" w:cs="Times New Roman"/>
          <w:sz w:val="24"/>
          <w:szCs w:val="24"/>
        </w:rPr>
        <w:t>, g·cm</w:t>
      </w:r>
      <w:r>
        <w:rPr>
          <w:rFonts w:ascii="Times New Roman" w:hAnsi="Times New Roman" w:eastAsia="宋体" w:cs="Times New Roman"/>
          <w:sz w:val="24"/>
          <w:szCs w:val="24"/>
          <w:vertAlign w:val="superscript"/>
        </w:rPr>
        <w:t>-3</w:t>
      </w:r>
      <w:r>
        <w:rPr>
          <w:rFonts w:ascii="Times New Roman" w:hAnsi="Times New Roman" w:eastAsia="宋体" w:cs="Times New Roman"/>
          <w:sz w:val="24"/>
          <w:szCs w:val="24"/>
        </w:rPr>
        <w:t>) of neat solvents (DME, EC, EMC, DMC, PSF, TPSF, DOL), the additive (FEC), and the diluent (TFEO). Results are benchmarked against internal calculations using the newly developed OPLS&amp;Pol and canonical OPLS-AA with three charge schemes (OPLS-RESP, OPLS-1.14CM1A, OPLS-1.2CM5), as well as reference values retrieved from literature, including experimental data,</w:t>
      </w:r>
      <w:r>
        <w:rPr>
          <w:rFonts w:ascii="Times New Roman" w:hAnsi="Times New Roman" w:eastAsia="宋体" w:cs="Times New Roman"/>
          <w:color w:val="000000"/>
          <w:kern w:val="0"/>
          <w:sz w:val="24"/>
          <w:szCs w:val="24"/>
        </w:rPr>
        <w:fldChar w:fldCharType="begin"/>
      </w:r>
      <w:r>
        <w:rPr>
          <w:rFonts w:ascii="Times New Roman" w:hAnsi="Times New Roman" w:eastAsia="宋体" w:cs="Times New Roman"/>
          <w:color w:val="000000"/>
          <w:kern w:val="0"/>
          <w:sz w:val="24"/>
          <w:szCs w:val="24"/>
        </w:rPr>
        <w:instrText xml:space="preserve"> ADDIN ZOTERO_ITEM CSL_CITATION {"citationID":"HLkLIVqh","properties":{"formattedCitation":"\\super 26,54\\uc0\\u8211{}59\\nosupersub{}","plainCitation":"26,54–59","noteIndex":0},"citationItems":[{"id":972,"uris":["http://zotero.org/users/17156447/items/3ZTD326N"],"itemData":{"id":972,"type":"article-journal","abstract":"Significance\n            Lithium (Li) metal battery (LMB) is a very promising candidate for the next-generation high-energy-density batteries. However, its practical applications have been impeded by the instability of metallic Li in the state-of-the-art carbonate electrolytes. Localized high-concentration electrolytes (LHCEs) shed light for practical use of LMBs by generating stable, robust solid electrolyte interphase on Li. Here we investigate various types of fluorinated cosolvents as diluents for LHCEs to understand the correlation between the battery performance and the solvation structure and electrode/electrolyte interfacial chemistry. It clearly reveals that the diluent surrounding the highly concentrated salt-solvating solvent clusters accelerates/decelerates anion decomposition, tunes the properties of interphases, and subsequently influences the battery performance. These results can guide further development of advanced electrolytes for LMBs.\n          , \n            \n              Electrolyte is very critical to the performance of the high-voltage lithium (Li) metal battery (LMB), which is one of the most attractive candidates for the next-generation high-density energy-storage systems. Electrolyte formulation and structure determine the physical properties of the electrolytes and their interfacial chemistries on the electrode surfaces. Localized high-concentration electrolytes (LHCEs) outperform state-of-the-art carbonate electrolytes in many aspects in LMBs due to their unique solvation structures. Types of fluorinated cosolvents used in LHCEs are investigated here in searching for the most suitable diluent for high-concentration electrolytes (HCEs). Nonsolvating solvents (including fluorinated ethers, fluorinated borate, and fluorinated orthoformate) added in HCEs enable the formation of LHCEs with high-concentration solvation structures. However, low-solvating fluorinated carbonate will coordinate with Li\n              +\n              ions and form a second solvation shell or a pseudo-LHCE which diminishes the benefits of LHCE. In addition, it is evident that the diluent has significant influence on the electrode/electrolyte interphases (EEIs) beyond retaining the high-concentration solvation structures. Diluent molecules surrounding the high-concentration clusters could accelerate or decelerate the anion decomposition through coparticipation of diluent decomposition in the EEI formation. The varied interphase features lead to significantly different battery performance. This study points out the importance of diluents and their synergetic effects with the conductive salt and the solvating solvent in designing LHCEs. These systematic comparisons and fundamental insights into LHCEs using different types of fluorinated solvents can guide further development of advanced electrolytes for high-voltage LMBs.","container-title":"Proceedings of the National Academy of Sciences","DOI":"10.1073/pnas.2020357118","ISSN":"0027-8424, 1091-6490","issue":"9","journalAbbreviation":"Proc. Natl. Acad. Sci.","language":"en","note":"227 citations (Crossref/DOI) [2025-05-27]\nJCR分区: Q1\n5年影响因子: 10.8\nTLDR: It is evident that the diluent has significant influence on the electrode/electrolyte interphases (EEIs) beyond retaining the high-concentration solvation structures, and can guide further development of advanced electrolytes for high-voltage LMBs.","page":"e2020357118","source":"DOI.org (Crossref)","title":"Effects of fluorinated solvents on electrolyte solvation structures and electrode/electrolyte interphases for lithium metal batteries","volume":"118","author":[{"family":"Cao","given":"Xia"},{"family":"Gao","given":"Peiyuan"},{"family":"Ren","given":"Xiaodi"},{"family":"Zou","given":"Lianfeng"},{"family":"Engelhard","given":"Mark H."},{"family":"Matthews","given":"Bethany E."},{"family":"Hu","given":"Jiangtao"},{"family":"Niu","given":"Chaojiang"},{"family":"Liu","given":"Dianying"},{"family":"Arey","given":"Bruce W."},{"family":"Wang","given":"Chongmin"},{"family":"Xiao","given":"Jie"},{"family":"Liu","given":"Jun"},{"family":"Xu","given":"Wu"},{"family":"Zhang","given":"Ji-Guang"}],"issued":{"date-parts":[["2021",3,2]]}}},{"id":975,"uris":["http://zotero.org/users/17156447/items/9BFYMGMW"],"itemData":{"id":975,"type":"article-journal","container-title":"Journal of Solution Chemistry","DOI":"10.1007/s10953-006-9085-2","ISSN":"0095-9782, 1572-8927","issue":"12","journalAbbreviation":"J. Solution Chem.","language":"en","license":"http://www.springer.com/tdm","note":"62 citations (Crossref/DOI) [2025-05-27]\nJCR分区: Q4\n5年影响因子: 1.7","page":"1587-1606","source":"DOI.org (Crossref)","title":"Study of densities, viscosities and ultrasonic speeds of binary mixtures containing 1,2-dimethoxyethane and an alkan-l-ol at 298.15 K","volume":"35","author":[{"family":"Gurung","given":"Bhoj Bahadur"},{"family":"Roy","given":"Mahendra Nath"}],"issued":{"date-parts":[["2006",12,13]]}}},{"id":930,"uris":["http://zotero.org/users/17156447/items/KTDGWAPN"],"itemData":{"id":930,"type":"article-journal","container-title":"Chemical Reviews","DOI":"10.1021/cr030203g","ISSN":"0009-2665, 1520-6890","issue":"10","journalAbbreviation":"Chem. Rev.","language":"en","note":"6340 citations (Crossref/DOI) [2025-05-22]\n6338 citations (Crossref/DOI) [2025-05-21]\nJCR分区: Q1\n5年影响因子: 63.5\nTLDR: The phytochemical properties of Lithium Hexafluoroarsenate and its Derivatives are as follows: 2.2.1.","page":"4303-4418","source":"DOI.org (Crossref)","title":"Nonaqueous liquid electrolytes for lithium-based rechargeable batteries","volume":"104","author":[{"family":"Xu","given":"Kang"}],"issued":{"date-parts":[["2004",10,1]]}}},{"id":938,"uris":["http://zotero.org/users/17156447/items/S6WL62LW"],"itemData":{"id":938,"type":"article-journal","abstract":"Abstract\n            The use of a simple 1,3-dioxolan-2-one (EC) moiety allows us to investigate the substituent effect on the physical properties as highly polar solvents. We describe the temperature dependence of mass densities (ρ), refractive indexes (nD), relative permittivities (εr), and dynamic viscosities (η) of EC, 4-methyl-1,3-dioxolan-2-one (MeEC), 4-ethyl-1,3-dioxolan-2-one (EtEC), 4-fluoro-1,3-dioxolan-2-one (FEC), and 4-methoxymethyl-1,3-dioxolan-2-one (MMEC). Both εr and η of MMEC and FEC are higher than those of EC at low temperatures.","container-title":"Chemistry Letters","DOI":"10.1246/cl.2008.210","ISSN":"0366-7022, 1348-0715","issue":"2","journalAbbreviation":"Chem. Lett.","language":"en","license":"https://academic.oup.com/pages/standard-publication-reuse-rights","note":"19 citations (Crossref/DOI) [2025-05-22]\n19 citations (Crossref/DOI) [2025-05-21]\nJCR分区: Q3\n5年影响因子: 1.2","page":"210-211","source":"DOI.org (Crossref)","title":"Physical properties of substituted 1,3-dioxolan-2-ones","volume":"37","author":[{"family":"Hagiyama","given":"Kousuke"},{"family":"Suzuki","given":"Keita"},{"family":"Ohtake","given":"Manabu"},{"family":"Shimada","given":"Miki"},{"family":"Nanbu","given":"Noritoshi"},{"family":"Takehara","given":"Masahiro"},{"family":"Ue","given":"Makoto"},{"family":"Sasaki","given":"Yukio"}],"issued":{"date-parts":[["2008",2,5]]}}},{"id":944,"uris":["http://zotero.org/users/17156447/items/GWDINLQB"],"itemData":{"id":944,"type":"article-journal","abstract":"Abstract\n            \n              Micro-sized silicon anodes can significantly increase the energy density of lithium-ion batteries with low cost. However, the large silicon volume changes during cycling cause cracks for both organic-inorganic interphases and silicon particles. The liquid electrolytes further penetrate the cracked silicon particles and reform the interphases, resulting in huge electrode swelling and quick capacity decay. Here we resolve these challenges by designing a high-voltage electrolyte that forms silicon-phobic interphases with weak bonding to lithium-silicon alloys. The designed electrolyte enables micro-sized silicon anodes (5 µm, 4.1 mAh cm\n              −2\n              ) to achieve a Coulombic efficiency of 99.8% and capacity of 2175 mAh g\n              −1\n              for &gt;250 cycles and enable 100 mAh LiNi\n              0.8\n              Co\n              0.15\n              Al\n              0.05\n              O\n              2\n              pouch full cells to deliver a high capacity of 172 mAh g\n              −1\n              for 120 cycles with Coulombic efficiency of &gt;99.9%. The high-voltage electrolytes that are capable of forming silicon-phobic interphases pave new ways for the commercialization of lithium-ion batteries using micro-sized silicon anodes.","container-title":"Nature Communications","DOI":"10.1038/s41467-024-45374-0","ISSN":"2041-1723","issue":"1","journalAbbreviation":"Nat. Commun.","language":"en","note":"48 citations (Crossref/DOI) [2025-05-22]\n48 citations (Crossref/DOI) [2025-05-21]\nJCR分区: Q1\n5年影响因子: 16.1","page":"1206","source":"DOI.org (Crossref)","title":"High voltage electrolytes for lithium-ion batteries with micro-sized silicon anodes","volume":"15","author":[{"family":"Li","given":"Ai-Min"},{"family":"Wang","given":"Zeyi"},{"family":"Pollard","given":"Travis P."},{"family":"Zhang","given":"Weiran"},{"family":"Tan","given":"Sha"},{"family":"Li","given":"Tianyu"},{"family":"Jayawardana","given":"Chamithri"},{"family":"Liou","given":"Sz-Chian"},{"family":"Rao","given":"Jiancun"},{"family":"Lucht","given":"Brett L."},{"family":"Hu","given":"Enyuan"},{"family":"Yang","given":"Xiao-Qing"},{"family":"Borodin","given":"Oleg"},{"family":"Wang","given":"Chunsheng"}],"issued":{"date-parts":[["2024",2,8]]}}},{"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id":977,"uris":["http://zotero.org/users/17156447/items/L7BS8FSY"],"itemData":{"id":977,"type":"article-journal","abstract":"Viscosities for the binary mixtures of 1,3-dioxolane or 1,4-dioxane with isomeric chlorobutanes have been determined at 298.15 K and 313.15 K and the kinematic viscosities were correlated by the McAllister equation. From the viscosity data the corresponding viscosity deviations were calculated and they are negative over the whole composition range for all mixtures. Finally the experimental kinematic viscosities were compared with those predicted by the Asfour method.","container-title":"Journal of Molecular Liquids","DOI":"10.1016/j.molliq.2006.03.048","ISSN":"01677322","issue":"3","journalAbbreviation":"J. Mol. Liq.","language":"en","license":"https://www.elsevier.com/tdm/userlicense/1.0/","note":"28 citations (Crossref/DOI) [2025-05-27]\nJCR分区: Q1\n5年影响因子: 5.1","page":"176-180","source":"DOI.org (Crossref)","title":"Viscosities of binary mixtures of 1,3-dioxolane or 1,4-dioxane with isomeric chlorobutanes","volume":"129","author":[{"family":"Giner","given":"B."},{"family":"Artigas","given":"H."},{"family":"Haro","given":"M."},{"family":"Lafuente","given":"C."},{"family":"López","given":"M.C."}],"issued":{"date-parts":[["2006",11]]}}}],"schema":"https://github.com/citation-style-language/schema/raw/master/csl-citation.json"} </w:instrText>
      </w:r>
      <w:r>
        <w:rPr>
          <w:rFonts w:ascii="Times New Roman" w:hAnsi="Times New Roman" w:eastAsia="宋体" w:cs="Times New Roman"/>
          <w:color w:val="000000"/>
          <w:kern w:val="0"/>
          <w:sz w:val="24"/>
          <w:szCs w:val="24"/>
        </w:rPr>
        <w:fldChar w:fldCharType="separate"/>
      </w:r>
      <w:r>
        <w:rPr>
          <w:rFonts w:ascii="Times New Roman" w:hAnsi="Times New Roman" w:eastAsia="等线" w:cs="Times New Roman"/>
          <w:kern w:val="0"/>
          <w:sz w:val="24"/>
          <w:vertAlign w:val="superscript"/>
        </w:rPr>
        <w:t>26,54–59</w:t>
      </w:r>
      <w:r>
        <w:rPr>
          <w:rFonts w:ascii="Times New Roman" w:hAnsi="Times New Roman" w:eastAsia="宋体" w:cs="Times New Roman"/>
          <w:color w:val="000000"/>
          <w:kern w:val="0"/>
          <w:sz w:val="24"/>
          <w:szCs w:val="24"/>
        </w:rPr>
        <w:fldChar w:fldCharType="end"/>
      </w:r>
      <w:r>
        <w:rPr>
          <w:rFonts w:ascii="Times New Roman" w:hAnsi="Times New Roman" w:eastAsia="宋体" w:cs="Times New Roman"/>
          <w:sz w:val="24"/>
          <w:szCs w:val="24"/>
        </w:rPr>
        <w:t xml:space="preserve"> machine learning force fields (MLPs: BAMBOO,</w:t>
      </w:r>
      <w:r>
        <w:rPr>
          <w:rFonts w:ascii="Times New Roman" w:hAnsi="Times New Roman" w:eastAsia="宋体" w:cs="Times New Roman"/>
          <w:color w:val="000000"/>
          <w:kern w:val="0"/>
          <w:sz w:val="24"/>
          <w:szCs w:val="24"/>
        </w:rPr>
        <w:fldChar w:fldCharType="begin"/>
      </w:r>
      <w:r>
        <w:rPr>
          <w:rFonts w:ascii="Times New Roman" w:hAnsi="Times New Roman" w:eastAsia="宋体" w:cs="Times New Roman"/>
          <w:color w:val="000000"/>
          <w:kern w:val="0"/>
          <w:sz w:val="24"/>
          <w:szCs w:val="24"/>
        </w:rPr>
        <w:instrText xml:space="preserve"> ADDIN ZOTERO_ITEM CSL_CITATION {"citationID":"oruIawX1","properties":{"formattedCitation":"\\super 60\\nosupersub{}","plainCitation":"60","noteIndex":0},"citationItems":[{"id":414,"uris":["http://zotero.org/users/17156447/items/B72R3EPE"],"itemData":{"id":414,"type":"article-journal","container-title":"Nature Machine Intelligence","DOI":"10.1038/s42256-025-01009-7","ISSN":"2522-5839","journalAbbreviation":"Nat. Mach. Intell.","language":"en","note":"1 citations (Crossref/DOI) [2025-05-22]\n1 citations (Crossref/DOI) [2025-05-16]\n0 citations (Semantic Scholar/DOI) [2025-05-16]\nJCR分区: Q1\n中科院分区升级版: 计算机科学1区\n影响因子: 18.8\n5年影响因子: 26.4\nEI: 是\n南农高质量: A","page":"543–552","source":"DOI.org (Crossref)","title":"A predictive machine learning force-field framework for liquid electrolyte development","volume":"7","author":[{"family":"Gong","given":"Sheng"},{"family":"Zhang","given":"Yumin"},{"family":"Mu","given":"Zhenliang"},{"family":"Pu","given":"Zhichen"},{"family":"Wang","given":"Hongyi"},{"family":"Han","given":"Xu"},{"family":"Yu","given":"Zhiao"},{"family":"Chen","given":"Mengyi"},{"family":"Zheng","given":"Tianze"},{"family":"Wang","given":"Zhi"},{"family":"Chen","given":"Lifei"},{"family":"Yang","given":"Zhenze"},{"family":"Wu","given":"Xiaojie"},{"family":"Shi","given":"Shaochen"},{"family":"Gao","given":"Weihao"},{"family":"Yan","given":"Wen"},{"family":"Xiang","given":"Liang"}],"issued":{"date-parts":[["2025",4,1]]}}}],"schema":"https://github.com/citation-style-language/schema/raw/master/csl-citation.json"} </w:instrText>
      </w:r>
      <w:r>
        <w:rPr>
          <w:rFonts w:ascii="Times New Roman" w:hAnsi="Times New Roman" w:eastAsia="宋体" w:cs="Times New Roman"/>
          <w:color w:val="000000"/>
          <w:kern w:val="0"/>
          <w:sz w:val="24"/>
          <w:szCs w:val="24"/>
        </w:rPr>
        <w:fldChar w:fldCharType="separate"/>
      </w:r>
      <w:r>
        <w:rPr>
          <w:rFonts w:ascii="Times New Roman" w:hAnsi="Times New Roman" w:eastAsia="等线" w:cs="Times New Roman"/>
          <w:kern w:val="0"/>
          <w:sz w:val="24"/>
          <w:vertAlign w:val="superscript"/>
        </w:rPr>
        <w:t>60</w:t>
      </w:r>
      <w:r>
        <w:rPr>
          <w:rFonts w:ascii="Times New Roman" w:hAnsi="Times New Roman" w:eastAsia="宋体" w:cs="Times New Roman"/>
          <w:color w:val="000000"/>
          <w:kern w:val="0"/>
          <w:sz w:val="24"/>
          <w:szCs w:val="24"/>
        </w:rPr>
        <w:fldChar w:fldCharType="end"/>
      </w:r>
      <w:r>
        <w:rPr>
          <w:rFonts w:ascii="Times New Roman" w:hAnsi="Times New Roman" w:eastAsia="宋体" w:cs="Times New Roman"/>
          <w:sz w:val="24"/>
          <w:szCs w:val="24"/>
        </w:rPr>
        <w:t xml:space="preserve"> QRNN,</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ADDIN ZOTERO_ITEM CSL_CITATION {"citationID":"MK2tir5B","properties":{"formattedCitation":"\\super 61\\nosupersub{}","plainCitation":"61","noteIndex":0},"citationItems":[{"id":935,"uris":["http://zotero.org/users/17156447/items/UJ4FXMRW"],"itemData":{"id":935,"type":"article-journal","abstract":"Liquid electrolytes are one of the most important components of Li-ion batteries, which are a critical technology of the modern world. However, we still lack the computational tools required to accurately calculate key properties of these materials (viscosity and ionic diffusivity) from first principles necessary to support improved designs. In this work, we report a machine learning-based force field for liquid electrolyte simulations, which bridges the gap between the accuracy of range-separated hybrid density functional theory and the efficiency of classical force fields. Predictions of material properties made with this force field are quantitatively accurate compared to experimental data. Our model uses the QRNN deep neural network architecture, which includes both long-range interactions and global charge equilibration. The training data set is composed solely of nonperiodic density functional theory (DFT), allowing the practical use of an accurate theory (here, ωB97X-D3BJ/def2-TZVPD), which would be prohibitively expensive for generating large data sets with periodic DFT. In this report, we focus on seven common carbonates and LiPF6, but this methodology has very few assumptions and can be readily applied to any liquid electrolyte system. This provides a promising path forward for large-scale atomistic modeling of many important battery chemistries.","container-title":"Journal of Physical Chemistry B","DOI":"10.1021/acs.jpcb.2c03746","ISSN":"1520-6106, 1520-5207","issue":"33","journalAbbreviation":"J. Phys. Chem. B","language":"en","license":"https://doi.org/10.15223/policy-029","note":"40 citations (Crossref/DOI) [2025-05-22]\n40 citations (Crossref/DOI) [2025-05-21]\nJCR分区: Q3\n5年影响因子: 2.8\nTLDR: A machine learning-based force field for liquid electrolyte simulations is reported, which bridges the gap between the accuracy of range-separated hybrid density functional theory and the efficiency of classical force fields.","page":"6271-6280","source":"DOI.org (Crossref)","title":"High-dimensional neural network potential for liquid electrolyte simulations","volume":"126","author":[{"family":"Dajnowicz","given":"Steven"},{"family":"Agarwal","given":"Garvit"},{"family":"Stevenson","given":"James M."},{"family":"Jacobson","given":"Leif D."},{"family":"Ramezanghorbani","given":"Farhad"},{"family":"Leswing","given":"Karl"},{"family":"Friesner","given":"Richard A."},{"family":"Halls","given":"Mathew D."},{"family":"Abel","given":"Robert"}],"issued":{"date-parts":[["2022",8,25]]}}}],"schema":"https://github.com/citation-style-language/schema/raw/master/csl-citation.json"} </w:instrText>
      </w:r>
      <w:r>
        <w:rPr>
          <w:rFonts w:ascii="Times New Roman" w:hAnsi="Times New Roman" w:eastAsia="宋体" w:cs="Times New Roman"/>
          <w:sz w:val="24"/>
          <w:szCs w:val="24"/>
        </w:rPr>
        <w:fldChar w:fldCharType="separate"/>
      </w:r>
      <w:r>
        <w:rPr>
          <w:rFonts w:ascii="Times New Roman" w:hAnsi="Times New Roman" w:eastAsia="等线" w:cs="Times New Roman"/>
          <w:kern w:val="0"/>
          <w:sz w:val="24"/>
          <w:vertAlign w:val="superscript"/>
        </w:rPr>
        <w:t>61</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SevenNet</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ADDIN ZOTERO_ITEM CSL_CITATION {"citationID":"0YttptVY","properties":{"formattedCitation":"\\super 62\\nosupersub{}","plainCitation":"62","noteIndex":0},"citationItems":[{"id":927,"uris":["http://zotero.org/users/17156447/items/CQ2Q5HSQ"],"itemData":{"id":927,"type":"article-journal","abstract":"SevenNet-0, pretrained on inorganic data, performs surprisingly well on liquid electrolytes—an out-of-distribution system—showing interpolation ability and improving further with fine-tuning.\n          , \n            \n              Achieving higher operational voltages, faster charging, and broader temperature ranges for Li-ion batteries necessitates advancements in electrolyte engineering. However, the complexity of optimizing combinations of solvents, salts, and additives has limited the effectiveness of both experimental and computational screening methods for liquid electrolytes. Recently, pretrained universal machine-learning interatomic potentials (MLIPs) have emerged as promising tools for computational exploration of complex chemical spaces with high accuracy and efficiency. In this study, we evaluated the performance of the state-of-the-art equivariant pretrained MLIP, SevenNet-0, in predicting key properties of liquid electrolytes, including solvation behavior, density, and ion transport. To assess its suitability for extensive material screening, we considered a dataset comprising 20 solvents. Although SevenNet-0 was predominantly trained on inorganic compounds, its predictions for the properties of liquid electrolytes showed good agreement with experimental and\n              ab initio\n              data. However, systematic errors were identified, particularly in the predicted density of liquid electrolytes. To address this limitation, we fine-tuned SevenNet-0, achieving improved accuracy at a significantly reduced computational cost compared to developing bespoke models. Analysis of the training set suggested that the model achieved its accuracy by generalizing across the chemical space rather than memorizing trained configurations. This work highlights the potential of SevenNet-0 as a powerful tool for future engineering of liquid electrolyte systems.","container-title":"Digital Discovery","DOI":"10.1039/D5DD00025D","ISSN":"2635-098X","journalAbbreviation":"Digital Discovery","language":"en","note":"0 citations (Crossref/DOI) [2025-05-22]\n0 citations (Crossref/DOI) [2025-05-21]\n5年影响因子: 6.2","page":"1544-1559","source":"DOI.org (Crossref)","title":"Application of pretrained universal machine-learning interatomic potential for physicochemical simulation of liquid electrolytes in li-ion batteries","volume":"4","author":[{"family":"Ju","given":"Suyeon"},{"family":"You","given":"Jinmu"},{"family":"Kim","given":"Gijin"},{"family":"Park","given":"Yutack"},{"family":"An","given":"Hyungmin"},{"family":"Han","given":"Seungwu"}],"issued":{"date-parts":[["2025"]]}}}],"schema":"https://github.com/citation-style-language/schema/raw/master/csl-citation.json"} </w:instrText>
      </w:r>
      <w:r>
        <w:rPr>
          <w:rFonts w:ascii="Times New Roman" w:hAnsi="Times New Roman" w:eastAsia="宋体" w:cs="Times New Roman"/>
          <w:sz w:val="24"/>
          <w:szCs w:val="24"/>
        </w:rPr>
        <w:fldChar w:fldCharType="separate"/>
      </w:r>
      <w:r>
        <w:rPr>
          <w:rFonts w:ascii="Times New Roman" w:hAnsi="Times New Roman" w:eastAsia="等线" w:cs="Times New Roman"/>
          <w:kern w:val="0"/>
          <w:sz w:val="24"/>
          <w:vertAlign w:val="superscript"/>
        </w:rPr>
        <w:t>62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and APPLE&amp;P.</w:t>
      </w:r>
      <w:r>
        <w:rPr>
          <w:rFonts w:ascii="Times New Roman" w:hAnsi="Times New Roman" w:eastAsia="宋体" w:cs="Times New Roman"/>
          <w:color w:val="000000"/>
          <w:kern w:val="0"/>
          <w:sz w:val="24"/>
          <w:szCs w:val="24"/>
        </w:rPr>
        <w:fldChar w:fldCharType="begin"/>
      </w:r>
      <w:r>
        <w:rPr>
          <w:rFonts w:ascii="Times New Roman" w:hAnsi="Times New Roman" w:eastAsia="宋体" w:cs="Times New Roman"/>
          <w:color w:val="000000"/>
          <w:kern w:val="0"/>
          <w:sz w:val="24"/>
          <w:szCs w:val="24"/>
        </w:rPr>
        <w:instrText xml:space="preserve"> ADDIN ZOTERO_ITEM CSL_CITATION {"citationID":"jcRCnIYU","properties":{"formattedCitation":"\\super 63,64\\nosupersub{}","plainCitation":"63,64","noteIndex":0},"citationItems":[{"id":940,"uris":["http://zotero.org/users/17156447/items/X75J3MHZ"],"itemData":{"id":940,"type":"article-journal","container-title":"Molecular Physics","DOI":"10.1080/00268976.2012.720041","ISSN":"0026-8976, 1362-3028","issue":"2","journalAbbreviation":"Mol. Phys.","language":"en","note":"10 citations (Crossref/DOI) [2025-05-22]\n10 citations (Crossref/DOI) [2025-05-21]\nJCR分区: Q3\n5年影响因子: 1.6","page":"277-285","source":"DOI.org (Crossref)","title":"Dielectric constants of binary mixtures of propylene carbonate with dimethyl carbonate and ethylene carbonate from molecular dynamics simulation: comparison between non-polarizable and polarizable force fields","title-short":"Dielectric constants of binary mixtures of propylene carbonate with dimethyl carbonate and ethylene carbonate from molecular dynamics simulation","volume":"111","author":[{"family":"Lee","given":"Sanghun"},{"family":"Park","given":"Sung Soo"}],"issued":{"date-parts":[["2013",1,15]]}}},{"id":982,"uris":["http://zotero.org/users/17156447/items/BNH2X55D"],"itemData":{"id":982,"type":"article-journal","container-title":"Journal of Physical Chemistry B","DOI":"10.1021/jp905220k","ISSN":"1520-6106, 1520-5207","issue":"33","journalAbbreviation":"J. Phys. Chem. B","language":"en","note":"601 citations (Crossref/DOI) [2025-05-28]\nJCR分区: Q3\n5年影响因子: 2.8\nTLDR: A connection between the structural changes in IL resulting from turning off polarization and slowing down of ion dynamics has been found and accurate description/prediction of thermodynamic and transport properties of alkanes, fluoroalkanes, oligoethers and dimethyl ketone is provided.","page":"11463-11478","source":"DOI.org (Crossref)","title":"Polarizable force field development and molecular dynamics simulations of ionic liquids","volume":"113","author":[{"family":"Borodin","given":"Oleg"}],"issued":{"date-parts":[["2009",8,20]]}}}],"schema":"https://github.com/citation-style-language/schema/raw/master/csl-citation.json"} </w:instrText>
      </w:r>
      <w:r>
        <w:rPr>
          <w:rFonts w:ascii="Times New Roman" w:hAnsi="Times New Roman" w:eastAsia="宋体" w:cs="Times New Roman"/>
          <w:color w:val="000000"/>
          <w:kern w:val="0"/>
          <w:sz w:val="24"/>
          <w:szCs w:val="24"/>
        </w:rPr>
        <w:fldChar w:fldCharType="separate"/>
      </w:r>
      <w:r>
        <w:rPr>
          <w:rFonts w:ascii="Times New Roman" w:hAnsi="Times New Roman" w:eastAsia="等线" w:cs="Times New Roman"/>
          <w:kern w:val="0"/>
          <w:sz w:val="24"/>
          <w:vertAlign w:val="superscript"/>
        </w:rPr>
        <w:t>63,64</w:t>
      </w:r>
      <w:r>
        <w:rPr>
          <w:rFonts w:ascii="Times New Roman" w:hAnsi="Times New Roman" w:eastAsia="宋体" w:cs="Times New Roman"/>
          <w:color w:val="000000"/>
          <w:kern w:val="0"/>
          <w:sz w:val="24"/>
          <w:szCs w:val="24"/>
        </w:rPr>
        <w:fldChar w:fldCharType="end"/>
      </w: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925"/>
        <w:gridCol w:w="1460"/>
        <w:gridCol w:w="1924"/>
        <w:gridCol w:w="1653"/>
        <w:gridCol w:w="1310"/>
        <w:gridCol w:w="1360"/>
        <w:gridCol w:w="1249"/>
        <w:gridCol w:w="888"/>
        <w:gridCol w:w="1123"/>
        <w:gridCol w:w="1286"/>
      </w:tblGrid>
      <w:tr w14:paraId="4B7BC3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vMerge w:val="restart"/>
            <w:vAlign w:val="center"/>
          </w:tcPr>
          <w:p w14:paraId="71B7FC08">
            <w:pPr>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Species</w:t>
            </w:r>
          </w:p>
        </w:tc>
        <w:tc>
          <w:tcPr>
            <w:tcW w:w="2408" w:type="pct"/>
            <w:gridSpan w:val="4"/>
            <w:vAlign w:val="center"/>
          </w:tcPr>
          <w:p w14:paraId="3A4CC04F">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This Work</w:t>
            </w:r>
          </w:p>
        </w:tc>
        <w:tc>
          <w:tcPr>
            <w:tcW w:w="2241" w:type="pct"/>
            <w:gridSpan w:val="5"/>
            <w:vAlign w:val="center"/>
          </w:tcPr>
          <w:p w14:paraId="2D7A64DA">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Published Benchmarks</w:t>
            </w:r>
          </w:p>
        </w:tc>
      </w:tr>
      <w:tr w14:paraId="6E461AB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vMerge w:val="continue"/>
            <w:vAlign w:val="center"/>
          </w:tcPr>
          <w:p w14:paraId="661A4448">
            <w:pPr>
              <w:widowControl/>
              <w:jc w:val="center"/>
              <w:rPr>
                <w:rFonts w:ascii="Times New Roman" w:hAnsi="Times New Roman" w:eastAsia="等线" w:cs="Times New Roman"/>
                <w:b/>
                <w:bCs/>
                <w:color w:val="000000"/>
                <w:kern w:val="0"/>
                <w:szCs w:val="21"/>
              </w:rPr>
            </w:pPr>
          </w:p>
        </w:tc>
        <w:tc>
          <w:tcPr>
            <w:tcW w:w="554" w:type="pct"/>
            <w:vAlign w:val="center"/>
          </w:tcPr>
          <w:p w14:paraId="18BA5EAB">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OPLS-RESP</w:t>
            </w:r>
          </w:p>
        </w:tc>
        <w:tc>
          <w:tcPr>
            <w:tcW w:w="730" w:type="pct"/>
            <w:vAlign w:val="center"/>
          </w:tcPr>
          <w:p w14:paraId="40CE77CD">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OPLS-1.14CM1A</w:t>
            </w:r>
          </w:p>
        </w:tc>
        <w:tc>
          <w:tcPr>
            <w:tcW w:w="627" w:type="pct"/>
            <w:vAlign w:val="center"/>
          </w:tcPr>
          <w:p w14:paraId="4BD6B75B">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OPLS-1.2CM5</w:t>
            </w:r>
          </w:p>
        </w:tc>
        <w:tc>
          <w:tcPr>
            <w:tcW w:w="497" w:type="pct"/>
            <w:vAlign w:val="center"/>
          </w:tcPr>
          <w:p w14:paraId="07450DA1">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OPLS&amp;Pol</w:t>
            </w:r>
          </w:p>
        </w:tc>
        <w:tc>
          <w:tcPr>
            <w:tcW w:w="516" w:type="pct"/>
            <w:vAlign w:val="center"/>
          </w:tcPr>
          <w:p w14:paraId="7F289EB8">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Experiment</w:t>
            </w:r>
          </w:p>
        </w:tc>
        <w:tc>
          <w:tcPr>
            <w:tcW w:w="474" w:type="pct"/>
            <w:vAlign w:val="center"/>
          </w:tcPr>
          <w:p w14:paraId="545DF2C0">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BAMBOO</w:t>
            </w:r>
          </w:p>
        </w:tc>
        <w:tc>
          <w:tcPr>
            <w:tcW w:w="337" w:type="pct"/>
            <w:vAlign w:val="center"/>
          </w:tcPr>
          <w:p w14:paraId="33369DF8">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QRNN</w:t>
            </w:r>
          </w:p>
        </w:tc>
        <w:tc>
          <w:tcPr>
            <w:tcW w:w="426" w:type="pct"/>
            <w:vAlign w:val="center"/>
          </w:tcPr>
          <w:p w14:paraId="5157145A">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SevenNet</w:t>
            </w:r>
          </w:p>
        </w:tc>
        <w:tc>
          <w:tcPr>
            <w:tcW w:w="488" w:type="pct"/>
            <w:vAlign w:val="center"/>
          </w:tcPr>
          <w:p w14:paraId="14B491B2">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APPLE&amp;P</w:t>
            </w:r>
          </w:p>
        </w:tc>
      </w:tr>
      <w:tr w14:paraId="0FE650D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noWrap/>
            <w:vAlign w:val="center"/>
          </w:tcPr>
          <w:p w14:paraId="127B385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554" w:type="pct"/>
            <w:noWrap/>
            <w:vAlign w:val="center"/>
          </w:tcPr>
          <w:p w14:paraId="1C2D506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0.8684 </w:t>
            </w:r>
          </w:p>
        </w:tc>
        <w:tc>
          <w:tcPr>
            <w:tcW w:w="730" w:type="pct"/>
            <w:noWrap/>
            <w:vAlign w:val="center"/>
          </w:tcPr>
          <w:p w14:paraId="117331E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0.8853 </w:t>
            </w:r>
          </w:p>
        </w:tc>
        <w:tc>
          <w:tcPr>
            <w:tcW w:w="627" w:type="pct"/>
            <w:noWrap/>
            <w:vAlign w:val="center"/>
          </w:tcPr>
          <w:p w14:paraId="0B4D34C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0.8788 </w:t>
            </w:r>
          </w:p>
        </w:tc>
        <w:tc>
          <w:tcPr>
            <w:tcW w:w="497" w:type="pct"/>
            <w:noWrap/>
            <w:vAlign w:val="center"/>
          </w:tcPr>
          <w:p w14:paraId="2BEE2D9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0.8833 </w:t>
            </w:r>
          </w:p>
        </w:tc>
        <w:tc>
          <w:tcPr>
            <w:tcW w:w="516" w:type="pct"/>
            <w:noWrap/>
            <w:vAlign w:val="center"/>
          </w:tcPr>
          <w:p w14:paraId="6B58441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0.86109</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{"citationID":"1oLXf5YU","properties":{"formattedCitation":"\\super 55\\nosupersub{}","plainCitation":"55","noteIndex":0},"citationItems":[{"id":975,"uris":["http://zotero.org/users/17156447/items/9BFYMGMW"],"itemData":{"id":975,"type":"article-journal","container-title":"Journal of Solution Chemistry","DOI":"10.1007/s10953-006-9085-2","ISSN":"0095-9782, 1572-8927","issue":"12","journalAbbreviation":"J. Solution Chem.","language":"en","license":"http://www.springer.com/tdm","note":"62 citations (Crossref/DOI) [2025-05-27]\nJCR分区: Q4\n5年影响因子: 1.7","page":"1587-1606","source":"DOI.org (Crossref)","title":"Study of densities, viscosities and ultrasonic speeds of binary mixtures containing 1,2-dimethoxyethane and an alkan-l-ol at 298.15 K","volume":"35","author":[{"family":"Gurung","given":"Bhoj Bahadur"},{"family":"Roy","given":"Mahendra Nath"}],"issued":{"date-parts":[["2006",12,13]]}}}],"schema":"https://github.com/citation-style-language/schema/raw/master/csl-citation.json"}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55</w:t>
            </w:r>
            <w:r>
              <w:rPr>
                <w:rFonts w:ascii="Times New Roman" w:hAnsi="Times New Roman" w:eastAsia="等线" w:cs="Times New Roman"/>
                <w:color w:val="000000"/>
                <w:kern w:val="0"/>
                <w:szCs w:val="21"/>
              </w:rPr>
              <w:fldChar w:fldCharType="end"/>
            </w:r>
          </w:p>
        </w:tc>
        <w:tc>
          <w:tcPr>
            <w:tcW w:w="474" w:type="pct"/>
            <w:noWrap/>
            <w:vAlign w:val="center"/>
          </w:tcPr>
          <w:p w14:paraId="3438E35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337" w:type="pct"/>
            <w:noWrap/>
            <w:vAlign w:val="center"/>
          </w:tcPr>
          <w:p w14:paraId="0576A1C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26" w:type="pct"/>
            <w:noWrap/>
            <w:vAlign w:val="center"/>
          </w:tcPr>
          <w:p w14:paraId="33291DF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88" w:type="pct"/>
            <w:noWrap/>
            <w:vAlign w:val="center"/>
          </w:tcPr>
          <w:p w14:paraId="4B6F824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0.8512</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{"citationID":"M9Kfzf04","properties":{"formattedCitation":"\\super 64\\nosupersub{}","plainCitation":"64","noteIndex":0},"citationItems":[{"id":982,"uris":["http://zotero.org/users/17156447/items/BNH2X55D"],"itemData":{"id":982,"type":"article-journal","container-title":"Journal of Physical Chemistry B","DOI":"10.1021/jp905220k","ISSN":"1520-6106, 1520-5207","issue":"33","journalAbbreviation":"J. Phys. Chem. B","language":"en","note":"601 citations (Crossref/DOI) [2025-05-28]\nJCR分区: Q3\n5年影响因子: 2.8\nTLDR: A connection between the structural changes in IL resulting from turning off polarization and slowing down of ion dynamics has been found and accurate description/prediction of thermodynamic and transport properties of alkanes, fluoroalkanes, oligoethers and dimethyl ketone is provided.","page":"11463-11478","source":"DOI.org (Crossref)","title":"Polarizable force field development and molecular dynamics simulations of ionic liquids","volume":"113","author":[{"family":"Borodin","given":"Oleg"}],"issued":{"date-parts":[["2009",8,20]]}}}],"schema":"https://github.com/citation-style-language/schema/raw/master/csl-citation.json"}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64</w:t>
            </w:r>
            <w:r>
              <w:rPr>
                <w:rFonts w:ascii="Times New Roman" w:hAnsi="Times New Roman" w:eastAsia="等线" w:cs="Times New Roman"/>
                <w:color w:val="000000"/>
                <w:kern w:val="0"/>
                <w:szCs w:val="21"/>
              </w:rPr>
              <w:fldChar w:fldCharType="end"/>
            </w:r>
          </w:p>
        </w:tc>
      </w:tr>
      <w:tr w14:paraId="1D1CE38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noWrap/>
            <w:vAlign w:val="center"/>
          </w:tcPr>
          <w:p w14:paraId="11B8EB0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554" w:type="pct"/>
            <w:noWrap/>
            <w:vAlign w:val="center"/>
          </w:tcPr>
          <w:p w14:paraId="7E1E377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1.3532 </w:t>
            </w:r>
          </w:p>
        </w:tc>
        <w:tc>
          <w:tcPr>
            <w:tcW w:w="730" w:type="pct"/>
            <w:noWrap/>
            <w:vAlign w:val="center"/>
          </w:tcPr>
          <w:p w14:paraId="6843106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1.2873 </w:t>
            </w:r>
          </w:p>
        </w:tc>
        <w:tc>
          <w:tcPr>
            <w:tcW w:w="627" w:type="pct"/>
            <w:noWrap/>
            <w:vAlign w:val="center"/>
          </w:tcPr>
          <w:p w14:paraId="6FD9D5A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1.3012 </w:t>
            </w:r>
          </w:p>
        </w:tc>
        <w:tc>
          <w:tcPr>
            <w:tcW w:w="497" w:type="pct"/>
            <w:noWrap/>
            <w:vAlign w:val="center"/>
          </w:tcPr>
          <w:p w14:paraId="12E5458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1.3158 </w:t>
            </w:r>
          </w:p>
        </w:tc>
        <w:tc>
          <w:tcPr>
            <w:tcW w:w="516" w:type="pct"/>
            <w:noWrap/>
            <w:vAlign w:val="center"/>
          </w:tcPr>
          <w:p w14:paraId="00A8FCD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1.321</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{"citationID":"a5Z5LNTz","properties":{"formattedCitation":"\\super 56\\nosupersub{}","plainCitation":"56","noteIndex":0},"citationItems":[{"id":930,"uris":["http://zotero.org/users/17156447/items/KTDGWAPN"],"itemData":{"id":930,"type":"article-journal","container-title":"Chemical Reviews","DOI":"10.1021/cr030203g","ISSN":"0009-2665, 1520-6890","issue":"10","journalAbbreviation":"Chem. Rev.","language":"en","note":"6340 citations (Crossref/DOI) [2025-05-22]\n6338 citations (Crossref/DOI) [2025-05-21]\nJCR分区: Q1\n5年影响因子: 63.5\nTLDR: The phytochemical properties of Lithium Hexafluoroarsenate and its Derivatives are as follows: 2.2.1.","page":"4303-4418","source":"DOI.org (Crossref)","title":"Nonaqueous liquid electrolytes for lithium-based rechargeable batteries","volume":"104","author":[{"family":"Xu","given":"Kang"}],"issued":{"date-parts":[["2004",10,1]]}}}],"schema":"https://github.com/citation-style-language/schema/raw/master/csl-citation.json"}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56</w:t>
            </w:r>
            <w:r>
              <w:rPr>
                <w:rFonts w:ascii="Times New Roman" w:hAnsi="Times New Roman" w:eastAsia="等线" w:cs="Times New Roman"/>
                <w:color w:val="000000"/>
                <w:kern w:val="0"/>
                <w:szCs w:val="21"/>
              </w:rPr>
              <w:fldChar w:fldCharType="end"/>
            </w:r>
          </w:p>
        </w:tc>
        <w:tc>
          <w:tcPr>
            <w:tcW w:w="474" w:type="pct"/>
            <w:noWrap/>
            <w:vAlign w:val="center"/>
          </w:tcPr>
          <w:p w14:paraId="6DF7E7A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1.310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{"citationID":"AdOxWGS8","properties":{"formattedCitation":"\\super 60\\nosupersub{}","plainCitation":"60","noteIndex":0},"citationItems":[{"id":414,"uris":["http://zotero.org/users/17156447/items/B72R3EPE"],"itemData":{"id":414,"type":"article-journal","container-title":"Nature Machine Intelligence","DOI":"10.1038/s42256-025-01009-7","ISSN":"2522-5839","journalAbbreviation":"Nat. Mach. Intell.","language":"en","note":"1 citations (Crossref/DOI) [2025-05-22]\n1 citations (Crossref/DOI) [2025-05-16]\n0 citations (Semantic Scholar/DOI) [2025-05-16]\nJCR分区: Q1\n中科院分区升级版: 计算机科学1区\n影响因子: 18.8\n5年影响因子: 26.4\nEI: 是\n南农高质量: A","page":"543–552","source":"DOI.org (Crossref)","title":"A predictive machine learning force-field framework for liquid electrolyte development","volume":"7","author":[{"family":"Gong","given":"Sheng"},{"family":"Zhang","given":"Yumin"},{"family":"Mu","given":"Zhenliang"},{"family":"Pu","given":"Zhichen"},{"family":"Wang","given":"Hongyi"},{"family":"Han","given":"Xu"},{"family":"Yu","given":"Zhiao"},{"family":"Chen","given":"Mengyi"},{"family":"Zheng","given":"Tianze"},{"family":"Wang","given":"Zhi"},{"family":"Chen","given":"Lifei"},{"family":"Yang","given":"Zhenze"},{"family":"Wu","given":"Xiaojie"},{"family":"Shi","given":"Shaochen"},{"family":"Gao","given":"Weihao"},{"family":"Yan","given":"Wen"},{"family":"Xiang","given":"Liang"}],"issued":{"date-parts":[["2025",4,1]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60</w:t>
            </w:r>
            <w:r>
              <w:rPr>
                <w:rFonts w:ascii="Times New Roman" w:hAnsi="Times New Roman" w:eastAsia="等线" w:cs="Times New Roman"/>
                <w:color w:val="000000"/>
                <w:kern w:val="0"/>
                <w:szCs w:val="21"/>
              </w:rPr>
              <w:fldChar w:fldCharType="end"/>
            </w:r>
          </w:p>
        </w:tc>
        <w:tc>
          <w:tcPr>
            <w:tcW w:w="337" w:type="pct"/>
            <w:noWrap/>
            <w:vAlign w:val="center"/>
          </w:tcPr>
          <w:p w14:paraId="5A7E793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1.35</w:t>
            </w:r>
            <w:r>
              <w:rPr>
                <w:rFonts w:ascii="Times New Roman" w:hAnsi="Times New Roman" w:eastAsia="等线" w:cs="Times New Roman"/>
                <w:b/>
                <w:bCs/>
                <w:color w:val="000000"/>
                <w:kern w:val="0"/>
                <w:szCs w:val="21"/>
              </w:rPr>
              <w:fldChar w:fldCharType="begin"/>
            </w:r>
            <w:r>
              <w:rPr>
                <w:rFonts w:ascii="Times New Roman" w:hAnsi="Times New Roman" w:eastAsia="等线" w:cs="Times New Roman"/>
                <w:b/>
                <w:bCs/>
                <w:color w:val="000000"/>
                <w:kern w:val="0"/>
                <w:szCs w:val="21"/>
              </w:rPr>
              <w:instrText xml:space="preserve"> ADDIN ZOTERO_ITEM CSL_CITATION {"citationID":"n5luekX8","properties":{"formattedCitation":"\\super 61\\nosupersub{}","plainCitation":"61","noteIndex":0},"citationItems":[{"id":935,"uris":["http://zotero.org/users/17156447/items/UJ4FXMRW"],"itemData":{"id":935,"type":"article-journal","abstract":"Liquid electrolytes are one of the most important components of Li-ion batteries, which are a critical technology of the modern world. However, we still lack the computational tools required to accurately calculate key properties of these materials (viscosity and ionic diffusivity) from first principles necessary to support improved designs. In this work, we report a machine learning-based force field for liquid electrolyte simulations, which bridges the gap between the accuracy of range-separated hybrid density functional theory and the efficiency of classical force fields. Predictions of material properties made with this force field are quantitatively accurate compared to experimental data. Our model uses the QRNN deep neural network architecture, which includes both long-range interactions and global charge equilibration. The training data set is composed solely of nonperiodic density functional theory (DFT), allowing the practical use of an accurate theory (here, ωB97X-D3BJ/def2-TZVPD), which would be prohibitively expensive for generating large data sets with periodic DFT. In this report, we focus on seven common carbonates and LiPF6, but this methodology has very few assumptions and can be readily applied to any liquid electrolyte system. This provides a promising path forward for large-scale atomistic modeling of many important battery chemistries.","container-title":"Journal of Physical Chemistry B","DOI":"10.1021/acs.jpcb.2c03746","ISSN":"1520-6106, 1520-5207","issue":"33","journalAbbreviation":"J. Phys. Chem. B","language":"en","license":"https://doi.org/10.15223/policy-029","note":"40 citations (Crossref/DOI) [2025-05-22]\n40 citations (Crossref/DOI) [2025-05-21]\nJCR分区: Q3\n5年影响因子: 2.8\nTLDR: A machine learning-based force field for liquid electrolyte simulations is reported, which bridges the gap between the accuracy of range-separated hybrid density functional theory and the efficiency of classical force fields.","page":"6271-6280","source":"DOI.org (Crossref)","title":"High-dimensional neural network potential for liquid electrolyte simulations","volume":"126","author":[{"family":"Dajnowicz","given":"Steven"},{"family":"Agarwal","given":"Garvit"},{"family":"Stevenson","given":"James M."},{"family":"Jacobson","given":"Leif D."},{"family":"Ramezanghorbani","given":"Farhad"},{"family":"Leswing","given":"Karl"},{"family":"Friesner","given":"Richard A."},{"family":"Halls","given":"Mathew D."},{"family":"Abel","given":"Robert"}],"issued":{"date-parts":[["2022",8,25]]}}}],"schema":"https://github.com/citation-style-language/schema/raw/master/csl-citation.json"} </w:instrText>
            </w:r>
            <w:r>
              <w:rPr>
                <w:rFonts w:ascii="Times New Roman" w:hAnsi="Times New Roman" w:eastAsia="等线" w:cs="Times New Roman"/>
                <w:b/>
                <w:bCs/>
                <w:color w:val="000000"/>
                <w:kern w:val="0"/>
                <w:szCs w:val="21"/>
              </w:rPr>
              <w:fldChar w:fldCharType="separate"/>
            </w:r>
            <w:r>
              <w:rPr>
                <w:rFonts w:ascii="Times New Roman" w:hAnsi="Times New Roman" w:eastAsia="等线" w:cs="Times New Roman"/>
                <w:kern w:val="0"/>
                <w:vertAlign w:val="superscript"/>
              </w:rPr>
              <w:t>61</w:t>
            </w:r>
            <w:r>
              <w:rPr>
                <w:rFonts w:ascii="Times New Roman" w:hAnsi="Times New Roman" w:eastAsia="等线" w:cs="Times New Roman"/>
                <w:b/>
                <w:bCs/>
                <w:color w:val="000000"/>
                <w:kern w:val="0"/>
                <w:szCs w:val="21"/>
              </w:rPr>
              <w:fldChar w:fldCharType="end"/>
            </w:r>
          </w:p>
        </w:tc>
        <w:tc>
          <w:tcPr>
            <w:tcW w:w="426" w:type="pct"/>
            <w:noWrap/>
            <w:vAlign w:val="center"/>
          </w:tcPr>
          <w:p w14:paraId="40FDE58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1.3661</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{"citationID":"v1zo8ZMe","properties":{"formattedCitation":"\\super 62\\nosupersub{}","plainCitation":"62","noteIndex":0},"citationItems":[{"id":927,"uris":["http://zotero.org/users/17156447/items/CQ2Q5HSQ"],"itemData":{"id":927,"type":"article-journal","abstract":"SevenNet-0, pretrained on inorganic data, performs surprisingly well on liquid electrolytes—an out-of-distribution system—showing interpolation ability and improving further with fine-tuning.\n          , \n            \n              Achieving higher operational voltages, faster charging, and broader temperature ranges for Li-ion batteries necessitates advancements in electrolyte engineering. However, the complexity of optimizing combinations of solvents, salts, and additives has limited the effectiveness of both experimental and computational screening methods for liquid electrolytes. Recently, pretrained universal machine-learning interatomic potentials (MLIPs) have emerged as promising tools for computational exploration of complex chemical spaces with high accuracy and efficiency. In this study, we evaluated the performance of the state-of-the-art equivariant pretrained MLIP, SevenNet-0, in predicting key properties of liquid electrolytes, including solvation behavior, density, and ion transport. To assess its suitability for extensive material screening, we considered a dataset comprising 20 solvents. Although SevenNet-0 was predominantly trained on inorganic compounds, its predictions for the properties of liquid electrolytes showed good agreement with experimental and\n              ab initio\n              data. However, systematic errors were identified, particularly in the predicted density of liquid electrolytes. To address this limitation, we fine-tuned SevenNet-0, achieving improved accuracy at a significantly reduced computational cost compared to developing bespoke models. Analysis of the training set suggested that the model achieved its accuracy by generalizing across the chemical space rather than memorizing trained configurations. This work highlights the potential of SevenNet-0 as a powerful tool for future engineering of liquid electrolyte systems.","container-title":"Digital Discovery","DOI":"10.1039/D5DD00025D","ISSN":"2635-098X","journalAbbreviation":"Digital Discovery","language":"en","note":"0 citations (Crossref/DOI) [2025-05-22]\n0 citations (Crossref/DOI) [2025-05-21]\n5年影响因子: 6.2","page":"1544-1559","source":"DOI.org (Crossref)","title":"Application of pretrained universal machine-learning interatomic potential for physicochemical simulation of liquid electrolytes in li-ion batteries","volume":"4","author":[{"family":"Ju","given":"Suyeon"},{"family":"You","given":"Jinmu"},{"family":"Kim","given":"Gijin"},{"family":"Park","given":"Yutack"},{"family":"An","given":"Hyungmin"},{"family":"Han","given":"Seungwu"}],"issued":{"date-parts":[["2025"]]}}}],"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62</w:t>
            </w:r>
            <w:r>
              <w:rPr>
                <w:rFonts w:ascii="Times New Roman" w:hAnsi="Times New Roman" w:eastAsia="等线" w:cs="Times New Roman"/>
                <w:color w:val="000000"/>
                <w:kern w:val="0"/>
                <w:szCs w:val="21"/>
              </w:rPr>
              <w:fldChar w:fldCharType="end"/>
            </w:r>
          </w:p>
        </w:tc>
        <w:tc>
          <w:tcPr>
            <w:tcW w:w="488" w:type="pct"/>
            <w:noWrap/>
            <w:vAlign w:val="center"/>
          </w:tcPr>
          <w:p w14:paraId="675AAFF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1.3020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{"citationID":"2DANSkwf","properties":{"formattedCitation":"\\super 64\\nosupersub{}","plainCitation":"64","noteIndex":0},"citationItems":[{"id":982,"uris":["http://zotero.org/users/17156447/items/BNH2X55D"],"itemData":{"id":982,"type":"article-journal","container-title":"Journal of Physical Chemistry B","DOI":"10.1021/jp905220k","ISSN":"1520-6106, 1520-5207","issue":"33","journalAbbreviation":"J. Phys. Chem. B","language":"en","note":"601 citations (Crossref/DOI) [2025-05-28]\nJCR分区: Q3\n5年影响因子: 2.8\nTLDR: A connection between the structural changes in IL resulting from turning off polarization and slowing down of ion dynamics has been found and accurate description/prediction of thermodynamic and transport properties of alkanes, fluoroalkanes, oligoethers and dimethyl ketone is provided.","page":"11463-11478","source":"DOI.org (Crossref)","title":"Polarizable force field development and molecular dynamics simulations of ionic liquids","volume":"113","author":[{"family":"Borodin","given":"Oleg"}],"issued":{"date-parts":[["2009",8,20]]}}}],"schema":"https://github.com/citation-style-language/schema/raw/master/csl-citation.json"}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64</w:t>
            </w:r>
            <w:r>
              <w:rPr>
                <w:rFonts w:ascii="Times New Roman" w:hAnsi="Times New Roman" w:eastAsia="等线" w:cs="Times New Roman"/>
                <w:color w:val="000000"/>
                <w:kern w:val="0"/>
                <w:szCs w:val="21"/>
              </w:rPr>
              <w:fldChar w:fldCharType="end"/>
            </w:r>
          </w:p>
        </w:tc>
      </w:tr>
      <w:tr w14:paraId="655CB55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noWrap/>
            <w:vAlign w:val="center"/>
          </w:tcPr>
          <w:p w14:paraId="7852961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554" w:type="pct"/>
            <w:noWrap/>
            <w:vAlign w:val="center"/>
          </w:tcPr>
          <w:p w14:paraId="1355434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1.5198 </w:t>
            </w:r>
          </w:p>
        </w:tc>
        <w:tc>
          <w:tcPr>
            <w:tcW w:w="730" w:type="pct"/>
            <w:noWrap/>
            <w:vAlign w:val="center"/>
          </w:tcPr>
          <w:p w14:paraId="4902E0E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1.4615 </w:t>
            </w:r>
          </w:p>
        </w:tc>
        <w:tc>
          <w:tcPr>
            <w:tcW w:w="627" w:type="pct"/>
            <w:noWrap/>
            <w:vAlign w:val="center"/>
          </w:tcPr>
          <w:p w14:paraId="0E7B875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1.4656 </w:t>
            </w:r>
          </w:p>
        </w:tc>
        <w:tc>
          <w:tcPr>
            <w:tcW w:w="497" w:type="pct"/>
            <w:noWrap/>
            <w:vAlign w:val="center"/>
          </w:tcPr>
          <w:p w14:paraId="3402F02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1.4797 </w:t>
            </w:r>
          </w:p>
        </w:tc>
        <w:tc>
          <w:tcPr>
            <w:tcW w:w="516" w:type="pct"/>
            <w:noWrap/>
            <w:vAlign w:val="center"/>
          </w:tcPr>
          <w:p w14:paraId="6FC3540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1.48</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{"citationID":"Z26ayBvj","properties":{"formattedCitation":"\\super 57\\nosupersub{}","plainCitation":"57","noteIndex":0},"citationItems":[{"id":938,"uris":["http://zotero.org/users/17156447/items/S6WL62LW"],"itemData":{"id":938,"type":"article-journal","abstract":"Abstract\n            The use of a simple 1,3-dioxolan-2-one (EC) moiety allows us to investigate the substituent effect on the physical properties as highly polar solvents. We describe the temperature dependence of mass densities (ρ), refractive indexes (nD), relative permittivities (εr), and dynamic viscosities (η) of EC, 4-methyl-1,3-dioxolan-2-one (MeEC), 4-ethyl-1,3-dioxolan-2-one (EtEC), 4-fluoro-1,3-dioxolan-2-one (FEC), and 4-methoxymethyl-1,3-dioxolan-2-one (MMEC). Both εr and η of MMEC and FEC are higher than those of EC at low temperatures.","container-title":"Chemistry Letters","DOI":"10.1246/cl.2008.210","ISSN":"0366-7022, 1348-0715","issue":"2","journalAbbreviation":"Chem. Lett.","language":"en","license":"https://academic.oup.com/pages/standard-publication-reuse-rights","note":"19 citations (Crossref/DOI) [2025-05-22]\n19 citations (Crossref/DOI) [2025-05-21]\nJCR分区: Q3\n5年影响因子: 1.2","page":"210-211","source":"DOI.org (Crossref)","title":"Physical properties of substituted 1,3-dioxolan-2-ones","volume":"37","author":[{"family":"Hagiyama","given":"Kousuke"},{"family":"Suzuki","given":"Keita"},{"family":"Ohtake","given":"Manabu"},{"family":"Shimada","given":"Miki"},{"family":"Nanbu","given":"Noritoshi"},{"family":"Takehara","given":"Masahiro"},{"family":"Ue","given":"Makoto"},{"family":"Sasaki","given":"Yukio"}],"issued":{"date-parts":[["2008",2,5]]}}}],"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57</w:t>
            </w:r>
            <w:r>
              <w:rPr>
                <w:rFonts w:ascii="Times New Roman" w:hAnsi="Times New Roman" w:eastAsia="等线" w:cs="Times New Roman"/>
                <w:color w:val="000000"/>
                <w:kern w:val="0"/>
                <w:szCs w:val="21"/>
              </w:rPr>
              <w:fldChar w:fldCharType="end"/>
            </w:r>
          </w:p>
        </w:tc>
        <w:tc>
          <w:tcPr>
            <w:tcW w:w="474" w:type="pct"/>
            <w:noWrap/>
            <w:vAlign w:val="center"/>
          </w:tcPr>
          <w:p w14:paraId="337B0D7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1.474</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{"citationID":"ctWjG5fJ","properties":{"formattedCitation":"\\super 60\\nosupersub{}","plainCitation":"60","noteIndex":0},"citationItems":[{"id":414,"uris":["http://zotero.org/users/17156447/items/B72R3EPE"],"itemData":{"id":414,"type":"article-journal","container-title":"Nature Machine Intelligence","DOI":"10.1038/s42256-025-01009-7","ISSN":"2522-5839","journalAbbreviation":"Nat. Mach. Intell.","language":"en","note":"1 citations (Crossref/DOI) [2025-05-22]\n1 citations (Crossref/DOI) [2025-05-16]\n0 citations (Semantic Scholar/DOI) [2025-05-16]\nJCR分区: Q1\n中科院分区升级版: 计算机科学1区\n影响因子: 18.8\n5年影响因子: 26.4\nEI: 是\n南农高质量: A","page":"543–552","source":"DOI.org (Crossref)","title":"A predictive machine learning force-field framework for liquid electrolyte development","volume":"7","author":[{"family":"Gong","given":"Sheng"},{"family":"Zhang","given":"Yumin"},{"family":"Mu","given":"Zhenliang"},{"family":"Pu","given":"Zhichen"},{"family":"Wang","given":"Hongyi"},{"family":"Han","given":"Xu"},{"family":"Yu","given":"Zhiao"},{"family":"Chen","given":"Mengyi"},{"family":"Zheng","given":"Tianze"},{"family":"Wang","given":"Zhi"},{"family":"Chen","given":"Lifei"},{"family":"Yang","given":"Zhenze"},{"family":"Wu","given":"Xiaojie"},{"family":"Shi","given":"Shaochen"},{"family":"Gao","given":"Weihao"},{"family":"Yan","given":"Wen"},{"family":"Xiang","given":"Liang"}],"issued":{"date-parts":[["2025",4,1]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60</w:t>
            </w:r>
            <w:r>
              <w:rPr>
                <w:rFonts w:ascii="Times New Roman" w:hAnsi="Times New Roman" w:eastAsia="等线" w:cs="Times New Roman"/>
                <w:color w:val="000000"/>
                <w:kern w:val="0"/>
                <w:szCs w:val="21"/>
              </w:rPr>
              <w:fldChar w:fldCharType="end"/>
            </w:r>
          </w:p>
        </w:tc>
        <w:tc>
          <w:tcPr>
            <w:tcW w:w="337" w:type="pct"/>
            <w:noWrap/>
            <w:vAlign w:val="center"/>
          </w:tcPr>
          <w:p w14:paraId="12C0A3B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1.47</w:t>
            </w:r>
            <w:r>
              <w:rPr>
                <w:rFonts w:ascii="Times New Roman" w:hAnsi="Times New Roman" w:eastAsia="等线" w:cs="Times New Roman"/>
                <w:b/>
                <w:bCs/>
                <w:color w:val="000000"/>
                <w:kern w:val="0"/>
                <w:szCs w:val="21"/>
              </w:rPr>
              <w:fldChar w:fldCharType="begin"/>
            </w:r>
            <w:r>
              <w:rPr>
                <w:rFonts w:ascii="Times New Roman" w:hAnsi="Times New Roman" w:eastAsia="等线" w:cs="Times New Roman"/>
                <w:b/>
                <w:bCs/>
                <w:color w:val="000000"/>
                <w:kern w:val="0"/>
                <w:szCs w:val="21"/>
              </w:rPr>
              <w:instrText xml:space="preserve"> ADDIN ZOTERO_ITEM CSL_CITATION {"citationID":"gFo5KOk6","properties":{"formattedCitation":"\\super 61\\nosupersub{}","plainCitation":"61","noteIndex":0},"citationItems":[{"id":935,"uris":["http://zotero.org/users/17156447/items/UJ4FXMRW"],"itemData":{"id":935,"type":"article-journal","abstract":"Liquid electrolytes are one of the most important components of Li-ion batteries, which are a critical technology of the modern world. However, we still lack the computational tools required to accurately calculate key properties of these materials (viscosity and ionic diffusivity) from first principles necessary to support improved designs. In this work, we report a machine learning-based force field for liquid electrolyte simulations, which bridges the gap between the accuracy of range-separated hybrid density functional theory and the efficiency of classical force fields. Predictions of material properties made with this force field are quantitatively accurate compared to experimental data. Our model uses the QRNN deep neural network architecture, which includes both long-range interactions and global charge equilibration. The training data set is composed solely of nonperiodic density functional theory (DFT), allowing the practical use of an accurate theory (here, ωB97X-D3BJ/def2-TZVPD), which would be prohibitively expensive for generating large data sets with periodic DFT. In this report, we focus on seven common carbonates and LiPF6, but this methodology has very few assumptions and can be readily applied to any liquid electrolyte system. This provides a promising path forward for large-scale atomistic modeling of many important battery chemistries.","container-title":"Journal of Physical Chemistry B","DOI":"10.1021/acs.jpcb.2c03746","ISSN":"1520-6106, 1520-5207","issue":"33","journalAbbreviation":"J. Phys. Chem. B","language":"en","license":"https://doi.org/10.15223/policy-029","note":"40 citations (Crossref/DOI) [2025-05-22]\n40 citations (Crossref/DOI) [2025-05-21]\nJCR分区: Q3\n5年影响因子: 2.8\nTLDR: A machine learning-based force field for liquid electrolyte simulations is reported, which bridges the gap between the accuracy of range-separated hybrid density functional theory and the efficiency of classical force fields.","page":"6271-6280","source":"DOI.org (Crossref)","title":"High-dimensional neural network potential for liquid electrolyte simulations","volume":"126","author":[{"family":"Dajnowicz","given":"Steven"},{"family":"Agarwal","given":"Garvit"},{"family":"Stevenson","given":"James M."},{"family":"Jacobson","given":"Leif D."},{"family":"Ramezanghorbani","given":"Farhad"},{"family":"Leswing","given":"Karl"},{"family":"Friesner","given":"Richard A."},{"family":"Halls","given":"Mathew D."},{"family":"Abel","given":"Robert"}],"issued":{"date-parts":[["2022",8,25]]}}}],"schema":"https://github.com/citation-style-language/schema/raw/master/csl-citation.json"} </w:instrText>
            </w:r>
            <w:r>
              <w:rPr>
                <w:rFonts w:ascii="Times New Roman" w:hAnsi="Times New Roman" w:eastAsia="等线" w:cs="Times New Roman"/>
                <w:b/>
                <w:bCs/>
                <w:color w:val="000000"/>
                <w:kern w:val="0"/>
                <w:szCs w:val="21"/>
              </w:rPr>
              <w:fldChar w:fldCharType="separate"/>
            </w:r>
            <w:r>
              <w:rPr>
                <w:rFonts w:ascii="Times New Roman" w:hAnsi="Times New Roman" w:eastAsia="等线" w:cs="Times New Roman"/>
                <w:kern w:val="0"/>
                <w:vertAlign w:val="superscript"/>
              </w:rPr>
              <w:t>61</w:t>
            </w:r>
            <w:r>
              <w:rPr>
                <w:rFonts w:ascii="Times New Roman" w:hAnsi="Times New Roman" w:eastAsia="等线" w:cs="Times New Roman"/>
                <w:b/>
                <w:bCs/>
                <w:color w:val="000000"/>
                <w:kern w:val="0"/>
                <w:szCs w:val="21"/>
              </w:rPr>
              <w:fldChar w:fldCharType="end"/>
            </w:r>
          </w:p>
        </w:tc>
        <w:tc>
          <w:tcPr>
            <w:tcW w:w="426" w:type="pct"/>
            <w:noWrap/>
            <w:vAlign w:val="center"/>
          </w:tcPr>
          <w:p w14:paraId="0355654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1.5027</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{"citationID":"lzmID3YP","properties":{"formattedCitation":"\\super 62\\nosupersub{}","plainCitation":"62","noteIndex":0},"citationItems":[{"id":927,"uris":["http://zotero.org/users/17156447/items/CQ2Q5HSQ"],"itemData":{"id":927,"type":"article-journal","abstract":"SevenNet-0, pretrained on inorganic data, performs surprisingly well on liquid electrolytes—an out-of-distribution system—showing interpolation ability and improving further with fine-tuning.\n          , \n            \n              Achieving higher operational voltages, faster charging, and broader temperature ranges for Li-ion batteries necessitates advancements in electrolyte engineering. However, the complexity of optimizing combinations of solvents, salts, and additives has limited the effectiveness of both experimental and computational screening methods for liquid electrolytes. Recently, pretrained universal machine-learning interatomic potentials (MLIPs) have emerged as promising tools for computational exploration of complex chemical spaces with high accuracy and efficiency. In this study, we evaluated the performance of the state-of-the-art equivariant pretrained MLIP, SevenNet-0, in predicting key properties of liquid electrolytes, including solvation behavior, density, and ion transport. To assess its suitability for extensive material screening, we considered a dataset comprising 20 solvents. Although SevenNet-0 was predominantly trained on inorganic compounds, its predictions for the properties of liquid electrolytes showed good agreement with experimental and\n              ab initio\n              data. However, systematic errors were identified, particularly in the predicted density of liquid electrolytes. To address this limitation, we fine-tuned SevenNet-0, achieving improved accuracy at a significantly reduced computational cost compared to developing bespoke models. Analysis of the training set suggested that the model achieved its accuracy by generalizing across the chemical space rather than memorizing trained configurations. This work highlights the potential of SevenNet-0 as a powerful tool for future engineering of liquid electrolyte systems.","container-title":"Digital Discovery","DOI":"10.1039/D5DD00025D","ISSN":"2635-098X","journalAbbreviation":"Digital Discovery","language":"en","note":"0 citations (Crossref/DOI) [2025-05-22]\n0 citations (Crossref/DOI) [2025-05-21]\n5年影响因子: 6.2","page":"1544-1559","source":"DOI.org (Crossref)","title":"Application of pretrained universal machine-learning interatomic potential for physicochemical simulation of liquid electrolytes in li-ion batteries","volume":"4","author":[{"family":"Ju","given":"Suyeon"},{"family":"You","given":"Jinmu"},{"family":"Kim","given":"Gijin"},{"family":"Park","given":"Yutack"},{"family":"An","given":"Hyungmin"},{"family":"Han","given":"Seungwu"}],"issued":{"date-parts":[["2025"]]}}}],"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62</w:t>
            </w:r>
            <w:r>
              <w:rPr>
                <w:rFonts w:ascii="Times New Roman" w:hAnsi="Times New Roman" w:eastAsia="等线" w:cs="Times New Roman"/>
                <w:color w:val="000000"/>
                <w:kern w:val="0"/>
                <w:szCs w:val="21"/>
              </w:rPr>
              <w:fldChar w:fldCharType="end"/>
            </w:r>
          </w:p>
        </w:tc>
        <w:tc>
          <w:tcPr>
            <w:tcW w:w="488" w:type="pct"/>
            <w:noWrap/>
            <w:vAlign w:val="center"/>
          </w:tcPr>
          <w:p w14:paraId="7E1ACDF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r w14:paraId="700CE1A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noWrap/>
            <w:vAlign w:val="center"/>
          </w:tcPr>
          <w:p w14:paraId="30A6443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EMC</w:t>
            </w:r>
          </w:p>
        </w:tc>
        <w:tc>
          <w:tcPr>
            <w:tcW w:w="554" w:type="pct"/>
            <w:noWrap/>
            <w:vAlign w:val="center"/>
          </w:tcPr>
          <w:p w14:paraId="7592E75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1.0313 </w:t>
            </w:r>
          </w:p>
        </w:tc>
        <w:tc>
          <w:tcPr>
            <w:tcW w:w="730" w:type="pct"/>
            <w:noWrap/>
            <w:vAlign w:val="center"/>
          </w:tcPr>
          <w:p w14:paraId="1FC2B34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1.0358 </w:t>
            </w:r>
          </w:p>
        </w:tc>
        <w:tc>
          <w:tcPr>
            <w:tcW w:w="627" w:type="pct"/>
            <w:noWrap/>
            <w:vAlign w:val="center"/>
          </w:tcPr>
          <w:p w14:paraId="0B64723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1.0184 </w:t>
            </w:r>
          </w:p>
        </w:tc>
        <w:tc>
          <w:tcPr>
            <w:tcW w:w="497" w:type="pct"/>
            <w:noWrap/>
            <w:vAlign w:val="center"/>
          </w:tcPr>
          <w:p w14:paraId="277DEC5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1.0266 </w:t>
            </w:r>
          </w:p>
        </w:tc>
        <w:tc>
          <w:tcPr>
            <w:tcW w:w="516" w:type="pct"/>
            <w:noWrap/>
            <w:vAlign w:val="center"/>
          </w:tcPr>
          <w:p w14:paraId="24E088F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1.01</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{"citationID":"NCxZKgMw","properties":{"formattedCitation":"\\super 58\\nosupersub{}","plainCitation":"58","noteIndex":0},"citationItems":[{"id":944,"uris":["http://zotero.org/users/17156447/items/GWDINLQB"],"itemData":{"id":944,"type":"article-journal","abstract":"Abstract\n            \n              Micro-sized silicon anodes can significantly increase the energy density of lithium-ion batteries with low cost. However, the large silicon volume changes during cycling cause cracks for both organic-inorganic interphases and silicon particles. The liquid electrolytes further penetrate the cracked silicon particles and reform the interphases, resulting in huge electrode swelling and quick capacity decay. Here we resolve these challenges by designing a high-voltage electrolyte that forms silicon-phobic interphases with weak bonding to lithium-silicon alloys. The designed electrolyte enables micro-sized silicon anodes (5 µm, 4.1 mAh cm\n              −2\n              ) to achieve a Coulombic efficiency of 99.8% and capacity of 2175 mAh g\n              −1\n              for &gt;250 cycles and enable 100 mAh LiNi\n              0.8\n              Co\n              0.15\n              Al\n              0.05\n              O\n              2\n              pouch full cells to deliver a high capacity of 172 mAh g\n              −1\n              for 120 cycles with Coulombic efficiency of &gt;99.9%. The high-voltage electrolytes that are capable of forming silicon-phobic interphases pave new ways for the commercialization of lithium-ion batteries using micro-sized silicon anodes.","container-title":"Nature Communications","DOI":"10.1038/s41467-024-45374-0","ISSN":"2041-1723","issue":"1","journalAbbreviation":"Nat. Commun.","language":"en","note":"48 citations (Crossref/DOI) [2025-05-22]\n48 citations (Crossref/DOI) [2025-05-21]\nJCR分区: Q1\n5年影响因子: 16.1","page":"1206","source":"DOI.org (Crossref)","title":"High voltage electrolytes for lithium-ion batteries with micro-sized silicon anodes","volume":"15","author":[{"family":"Li","given":"Ai-Min"},{"family":"Wang","given":"Zeyi"},{"family":"Pollard","given":"Travis P."},{"family":"Zhang","given":"Weiran"},{"family":"Tan","given":"Sha"},{"family":"Li","given":"Tianyu"},{"family":"Jayawardana","given":"Chamithri"},{"family":"Liou","given":"Sz-Chian"},{"family":"Rao","given":"Jiancun"},{"family":"Lucht","given":"Brett L."},{"family":"Hu","given":"Enyuan"},{"family":"Yang","given":"Xiao-Qing"},{"family":"Borodin","given":"Oleg"},{"family":"Wang","given":"Chunsheng"}],"issued":{"date-parts":[["2024",2,8]]}}}],"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58</w:t>
            </w:r>
            <w:r>
              <w:rPr>
                <w:rFonts w:ascii="Times New Roman" w:hAnsi="Times New Roman" w:eastAsia="等线" w:cs="Times New Roman"/>
                <w:color w:val="000000"/>
                <w:kern w:val="0"/>
                <w:szCs w:val="21"/>
              </w:rPr>
              <w:fldChar w:fldCharType="end"/>
            </w:r>
          </w:p>
        </w:tc>
        <w:tc>
          <w:tcPr>
            <w:tcW w:w="474" w:type="pct"/>
            <w:noWrap/>
            <w:vAlign w:val="center"/>
          </w:tcPr>
          <w:p w14:paraId="54F350E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1.015</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{"citationID":"6ggiLZFR","properties":{"formattedCitation":"\\super 60\\nosupersub{}","plainCitation":"60","noteIndex":0},"citationItems":[{"id":414,"uris":["http://zotero.org/users/17156447/items/B72R3EPE"],"itemData":{"id":414,"type":"article-journal","container-title":"Nature Machine Intelligence","DOI":"10.1038/s42256-025-01009-7","ISSN":"2522-5839","journalAbbreviation":"Nat. Mach. Intell.","language":"en","note":"1 citations (Crossref/DOI) [2025-05-22]\n1 citations (Crossref/DOI) [2025-05-16]\n0 citations (Semantic Scholar/DOI) [2025-05-16]\nJCR分区: Q1\n中科院分区升级版: 计算机科学1区\n影响因子: 18.8\n5年影响因子: 26.4\nEI: 是\n南农高质量: A","page":"543–552","source":"DOI.org (Crossref)","title":"A predictive machine learning force-field framework for liquid electrolyte development","volume":"7","author":[{"family":"Gong","given":"Sheng"},{"family":"Zhang","given":"Yumin"},{"family":"Mu","given":"Zhenliang"},{"family":"Pu","given":"Zhichen"},{"family":"Wang","given":"Hongyi"},{"family":"Han","given":"Xu"},{"family":"Yu","given":"Zhiao"},{"family":"Chen","given":"Mengyi"},{"family":"Zheng","given":"Tianze"},{"family":"Wang","given":"Zhi"},{"family":"Chen","given":"Lifei"},{"family":"Yang","given":"Zhenze"},{"family":"Wu","given":"Xiaojie"},{"family":"Shi","given":"Shaochen"},{"family":"Gao","given":"Weihao"},{"family":"Yan","given":"Wen"},{"family":"Xiang","given":"Liang"}],"issued":{"date-parts":[["2025",4,1]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60</w:t>
            </w:r>
            <w:r>
              <w:rPr>
                <w:rFonts w:ascii="Times New Roman" w:hAnsi="Times New Roman" w:eastAsia="等线" w:cs="Times New Roman"/>
                <w:color w:val="000000"/>
                <w:kern w:val="0"/>
                <w:szCs w:val="21"/>
              </w:rPr>
              <w:fldChar w:fldCharType="end"/>
            </w:r>
          </w:p>
        </w:tc>
        <w:tc>
          <w:tcPr>
            <w:tcW w:w="337" w:type="pct"/>
            <w:noWrap/>
            <w:vAlign w:val="center"/>
          </w:tcPr>
          <w:p w14:paraId="1572D03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0.99</w:t>
            </w:r>
            <w:r>
              <w:rPr>
                <w:rFonts w:ascii="Times New Roman" w:hAnsi="Times New Roman" w:eastAsia="等线" w:cs="Times New Roman"/>
                <w:b/>
                <w:bCs/>
                <w:color w:val="000000"/>
                <w:kern w:val="0"/>
                <w:szCs w:val="21"/>
              </w:rPr>
              <w:fldChar w:fldCharType="begin"/>
            </w:r>
            <w:r>
              <w:rPr>
                <w:rFonts w:ascii="Times New Roman" w:hAnsi="Times New Roman" w:eastAsia="等线" w:cs="Times New Roman"/>
                <w:b/>
                <w:bCs/>
                <w:color w:val="000000"/>
                <w:kern w:val="0"/>
                <w:szCs w:val="21"/>
              </w:rPr>
              <w:instrText xml:space="preserve"> ADDIN ZOTERO_ITEM CSL_CITATION {"citationID":"lT36gAW8","properties":{"formattedCitation":"\\super 61\\nosupersub{}","plainCitation":"61","noteIndex":0},"citationItems":[{"id":935,"uris":["http://zotero.org/users/17156447/items/UJ4FXMRW"],"itemData":{"id":935,"type":"article-journal","abstract":"Liquid electrolytes are one of the most important components of Li-ion batteries, which are a critical technology of the modern world. However, we still lack the computational tools required to accurately calculate key properties of these materials (viscosity and ionic diffusivity) from first principles necessary to support improved designs. In this work, we report a machine learning-based force field for liquid electrolyte simulations, which bridges the gap between the accuracy of range-separated hybrid density functional theory and the efficiency of classical force fields. Predictions of material properties made with this force field are quantitatively accurate compared to experimental data. Our model uses the QRNN deep neural network architecture, which includes both long-range interactions and global charge equilibration. The training data set is composed solely of nonperiodic density functional theory (DFT), allowing the practical use of an accurate theory (here, ωB97X-D3BJ/def2-TZVPD), which would be prohibitively expensive for generating large data sets with periodic DFT. In this report, we focus on seven common carbonates and LiPF6, but this methodology has very few assumptions and can be readily applied to any liquid electrolyte system. This provides a promising path forward for large-scale atomistic modeling of many important battery chemistries.","container-title":"Journal of Physical Chemistry B","DOI":"10.1021/acs.jpcb.2c03746","ISSN":"1520-6106, 1520-5207","issue":"33","journalAbbreviation":"J. Phys. Chem. B","language":"en","license":"https://doi.org/10.15223/policy-029","note":"40 citations (Crossref/DOI) [2025-05-22]\n40 citations (Crossref/DOI) [2025-05-21]\nJCR分区: Q3\n5年影响因子: 2.8\nTLDR: A machine learning-based force field for liquid electrolyte simulations is reported, which bridges the gap between the accuracy of range-separated hybrid density functional theory and the efficiency of classical force fields.","page":"6271-6280","source":"DOI.org (Crossref)","title":"High-dimensional neural network potential for liquid electrolyte simulations","volume":"126","author":[{"family":"Dajnowicz","given":"Steven"},{"family":"Agarwal","given":"Garvit"},{"family":"Stevenson","given":"James M."},{"family":"Jacobson","given":"Leif D."},{"family":"Ramezanghorbani","given":"Farhad"},{"family":"Leswing","given":"Karl"},{"family":"Friesner","given":"Richard A."},{"family":"Halls","given":"Mathew D."},{"family":"Abel","given":"Robert"}],"issued":{"date-parts":[["2022",8,25]]}}}],"schema":"https://github.com/citation-style-language/schema/raw/master/csl-citation.json"} </w:instrText>
            </w:r>
            <w:r>
              <w:rPr>
                <w:rFonts w:ascii="Times New Roman" w:hAnsi="Times New Roman" w:eastAsia="等线" w:cs="Times New Roman"/>
                <w:b/>
                <w:bCs/>
                <w:color w:val="000000"/>
                <w:kern w:val="0"/>
                <w:szCs w:val="21"/>
              </w:rPr>
              <w:fldChar w:fldCharType="separate"/>
            </w:r>
            <w:r>
              <w:rPr>
                <w:rFonts w:ascii="Times New Roman" w:hAnsi="Times New Roman" w:eastAsia="等线" w:cs="Times New Roman"/>
                <w:kern w:val="0"/>
                <w:vertAlign w:val="superscript"/>
              </w:rPr>
              <w:t>61</w:t>
            </w:r>
            <w:r>
              <w:rPr>
                <w:rFonts w:ascii="Times New Roman" w:hAnsi="Times New Roman" w:eastAsia="等线" w:cs="Times New Roman"/>
                <w:b/>
                <w:bCs/>
                <w:color w:val="000000"/>
                <w:kern w:val="0"/>
                <w:szCs w:val="21"/>
              </w:rPr>
              <w:fldChar w:fldCharType="end"/>
            </w:r>
          </w:p>
        </w:tc>
        <w:tc>
          <w:tcPr>
            <w:tcW w:w="426" w:type="pct"/>
            <w:noWrap/>
            <w:vAlign w:val="center"/>
          </w:tcPr>
          <w:p w14:paraId="70A96BF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1.1463</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{"citationID":"ag69B90t","properties":{"formattedCitation":"\\super 62\\nosupersub{}","plainCitation":"62","noteIndex":0},"citationItems":[{"id":927,"uris":["http://zotero.org/users/17156447/items/CQ2Q5HSQ"],"itemData":{"id":927,"type":"article-journal","abstract":"SevenNet-0, pretrained on inorganic data, performs surprisingly well on liquid electrolytes—an out-of-distribution system—showing interpolation ability and improving further with fine-tuning.\n          , \n            \n              Achieving higher operational voltages, faster charging, and broader temperature ranges for Li-ion batteries necessitates advancements in electrolyte engineering. However, the complexity of optimizing combinations of solvents, salts, and additives has limited the effectiveness of both experimental and computational screening methods for liquid electrolytes. Recently, pretrained universal machine-learning interatomic potentials (MLIPs) have emerged as promising tools for computational exploration of complex chemical spaces with high accuracy and efficiency. In this study, we evaluated the performance of the state-of-the-art equivariant pretrained MLIP, SevenNet-0, in predicting key properties of liquid electrolytes, including solvation behavior, density, and ion transport. To assess its suitability for extensive material screening, we considered a dataset comprising 20 solvents. Although SevenNet-0 was predominantly trained on inorganic compounds, its predictions for the properties of liquid electrolytes showed good agreement with experimental and\n              ab initio\n              data. However, systematic errors were identified, particularly in the predicted density of liquid electrolytes. To address this limitation, we fine-tuned SevenNet-0, achieving improved accuracy at a significantly reduced computational cost compared to developing bespoke models. Analysis of the training set suggested that the model achieved its accuracy by generalizing across the chemical space rather than memorizing trained configurations. This work highlights the potential of SevenNet-0 as a powerful tool for future engineering of liquid electrolyte systems.","container-title":"Digital Discovery","DOI":"10.1039/D5DD00025D","ISSN":"2635-098X","journalAbbreviation":"Digital Discovery","language":"en","note":"0 citations (Crossref/DOI) [2025-05-22]\n0 citations (Crossref/DOI) [2025-05-21]\n5年影响因子: 6.2","page":"1544-1559","source":"DOI.org (Crossref)","title":"Application of pretrained universal machine-learning interatomic potential for physicochemical simulation of liquid electrolytes in li-ion batteries","volume":"4","author":[{"family":"Ju","given":"Suyeon"},{"family":"You","given":"Jinmu"},{"family":"Kim","given":"Gijin"},{"family":"Park","given":"Yutack"},{"family":"An","given":"Hyungmin"},{"family":"Han","given":"Seungwu"}],"issued":{"date-parts":[["2025"]]}}}],"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62</w:t>
            </w:r>
            <w:r>
              <w:rPr>
                <w:rFonts w:ascii="Times New Roman" w:hAnsi="Times New Roman" w:eastAsia="等线" w:cs="Times New Roman"/>
                <w:color w:val="000000"/>
                <w:kern w:val="0"/>
                <w:szCs w:val="21"/>
              </w:rPr>
              <w:fldChar w:fldCharType="end"/>
            </w:r>
          </w:p>
        </w:tc>
        <w:tc>
          <w:tcPr>
            <w:tcW w:w="488" w:type="pct"/>
            <w:noWrap/>
            <w:vAlign w:val="center"/>
          </w:tcPr>
          <w:p w14:paraId="2EA0F61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r w14:paraId="2F79F6A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noWrap/>
            <w:vAlign w:val="center"/>
          </w:tcPr>
          <w:p w14:paraId="393AEBE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DMC</w:t>
            </w:r>
          </w:p>
        </w:tc>
        <w:tc>
          <w:tcPr>
            <w:tcW w:w="554" w:type="pct"/>
            <w:noWrap/>
            <w:vAlign w:val="center"/>
          </w:tcPr>
          <w:p w14:paraId="247934D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1.0754 </w:t>
            </w:r>
          </w:p>
        </w:tc>
        <w:tc>
          <w:tcPr>
            <w:tcW w:w="730" w:type="pct"/>
            <w:noWrap/>
            <w:vAlign w:val="center"/>
          </w:tcPr>
          <w:p w14:paraId="58EDFFB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1.0870 </w:t>
            </w:r>
          </w:p>
        </w:tc>
        <w:tc>
          <w:tcPr>
            <w:tcW w:w="627" w:type="pct"/>
            <w:noWrap/>
            <w:vAlign w:val="center"/>
          </w:tcPr>
          <w:p w14:paraId="3D77EBD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1.0679 </w:t>
            </w:r>
          </w:p>
        </w:tc>
        <w:tc>
          <w:tcPr>
            <w:tcW w:w="497" w:type="pct"/>
            <w:noWrap/>
            <w:vAlign w:val="center"/>
          </w:tcPr>
          <w:p w14:paraId="3CA07C1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1.0670 </w:t>
            </w:r>
          </w:p>
        </w:tc>
        <w:tc>
          <w:tcPr>
            <w:tcW w:w="516" w:type="pct"/>
            <w:noWrap/>
            <w:vAlign w:val="center"/>
          </w:tcPr>
          <w:p w14:paraId="73C4588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1.063</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{"citationID":"kqPIXStn","properties":{"formattedCitation":"\\super 56\\nosupersub{}","plainCitation":"56","noteIndex":0},"citationItems":[{"id":930,"uris":["http://zotero.org/users/17156447/items/KTDGWAPN"],"itemData":{"id":930,"type":"article-journal","container-title":"Chemical Reviews","DOI":"10.1021/cr030203g","ISSN":"0009-2665, 1520-6890","issue":"10","journalAbbreviation":"Chem. Rev.","language":"en","note":"6340 citations (Crossref/DOI) [2025-05-22]\n6338 citations (Crossref/DOI) [2025-05-21]\nJCR分区: Q1\n5年影响因子: 63.5\nTLDR: The phytochemical properties of Lithium Hexafluoroarsenate and its Derivatives are as follows: 2.2.1.","page":"4303-4418","source":"DOI.org (Crossref)","title":"Nonaqueous liquid electrolytes for lithium-based rechargeable batteries","volume":"104","author":[{"family":"Xu","given":"Kang"}],"issued":{"date-parts":[["2004",10,1]]}}}],"schema":"https://github.com/citation-style-language/schema/raw/master/csl-citation.json"}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56</w:t>
            </w:r>
            <w:r>
              <w:rPr>
                <w:rFonts w:ascii="Times New Roman" w:hAnsi="Times New Roman" w:eastAsia="等线" w:cs="Times New Roman"/>
                <w:color w:val="000000"/>
                <w:kern w:val="0"/>
                <w:szCs w:val="21"/>
              </w:rPr>
              <w:fldChar w:fldCharType="end"/>
            </w:r>
          </w:p>
        </w:tc>
        <w:tc>
          <w:tcPr>
            <w:tcW w:w="474" w:type="pct"/>
            <w:noWrap/>
            <w:vAlign w:val="center"/>
          </w:tcPr>
          <w:p w14:paraId="4E85811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1.060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{"citationID":"OHGdXOak","properties":{"formattedCitation":"\\super 60\\nosupersub{}","plainCitation":"60","noteIndex":0},"citationItems":[{"id":414,"uris":["http://zotero.org/users/17156447/items/B72R3EPE"],"itemData":{"id":414,"type":"article-journal","container-title":"Nature Machine Intelligence","DOI":"10.1038/s42256-025-01009-7","ISSN":"2522-5839","journalAbbreviation":"Nat. Mach. Intell.","language":"en","note":"1 citations (Crossref/DOI) [2025-05-22]\n1 citations (Crossref/DOI) [2025-05-16]\n0 citations (Semantic Scholar/DOI) [2025-05-16]\nJCR分区: Q1\n中科院分区升级版: 计算机科学1区\n影响因子: 18.8\n5年影响因子: 26.4\nEI: 是\n南农高质量: A","page":"543–552","source":"DOI.org (Crossref)","title":"A predictive machine learning force-field framework for liquid electrolyte development","volume":"7","author":[{"family":"Gong","given":"Sheng"},{"family":"Zhang","given":"Yumin"},{"family":"Mu","given":"Zhenliang"},{"family":"Pu","given":"Zhichen"},{"family":"Wang","given":"Hongyi"},{"family":"Han","given":"Xu"},{"family":"Yu","given":"Zhiao"},{"family":"Chen","given":"Mengyi"},{"family":"Zheng","given":"Tianze"},{"family":"Wang","given":"Zhi"},{"family":"Chen","given":"Lifei"},{"family":"Yang","given":"Zhenze"},{"family":"Wu","given":"Xiaojie"},{"family":"Shi","given":"Shaochen"},{"family":"Gao","given":"Weihao"},{"family":"Yan","given":"Wen"},{"family":"Xiang","given":"Liang"}],"issued":{"date-parts":[["2025",4,1]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60</w:t>
            </w:r>
            <w:r>
              <w:rPr>
                <w:rFonts w:ascii="Times New Roman" w:hAnsi="Times New Roman" w:eastAsia="等线" w:cs="Times New Roman"/>
                <w:color w:val="000000"/>
                <w:kern w:val="0"/>
                <w:szCs w:val="21"/>
              </w:rPr>
              <w:fldChar w:fldCharType="end"/>
            </w:r>
          </w:p>
        </w:tc>
        <w:tc>
          <w:tcPr>
            <w:tcW w:w="337" w:type="pct"/>
            <w:noWrap/>
            <w:vAlign w:val="center"/>
          </w:tcPr>
          <w:p w14:paraId="72B6635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1.07</w:t>
            </w:r>
            <w:r>
              <w:rPr>
                <w:rFonts w:ascii="Times New Roman" w:hAnsi="Times New Roman" w:eastAsia="等线" w:cs="Times New Roman"/>
                <w:b/>
                <w:bCs/>
                <w:color w:val="000000"/>
                <w:kern w:val="0"/>
                <w:szCs w:val="21"/>
              </w:rPr>
              <w:fldChar w:fldCharType="begin"/>
            </w:r>
            <w:r>
              <w:rPr>
                <w:rFonts w:ascii="Times New Roman" w:hAnsi="Times New Roman" w:eastAsia="等线" w:cs="Times New Roman"/>
                <w:b/>
                <w:bCs/>
                <w:color w:val="000000"/>
                <w:kern w:val="0"/>
                <w:szCs w:val="21"/>
              </w:rPr>
              <w:instrText xml:space="preserve"> ADDIN ZOTERO_ITEM CSL_CITATION {"citationID":"kTeBMJkl","properties":{"formattedCitation":"\\super 61\\nosupersub{}","plainCitation":"61","noteIndex":0},"citationItems":[{"id":935,"uris":["http://zotero.org/users/17156447/items/UJ4FXMRW"],"itemData":{"id":935,"type":"article-journal","abstract":"Liquid electrolytes are one of the most important components of Li-ion batteries, which are a critical technology of the modern world. However, we still lack the computational tools required to accurately calculate key properties of these materials (viscosity and ionic diffusivity) from first principles necessary to support improved designs. In this work, we report a machine learning-based force field for liquid electrolyte simulations, which bridges the gap between the accuracy of range-separated hybrid density functional theory and the efficiency of classical force fields. Predictions of material properties made with this force field are quantitatively accurate compared to experimental data. Our model uses the QRNN deep neural network architecture, which includes both long-range interactions and global charge equilibration. The training data set is composed solely of nonperiodic density functional theory (DFT), allowing the practical use of an accurate theory (here, ωB97X-D3BJ/def2-TZVPD), which would be prohibitively expensive for generating large data sets with periodic DFT. In this report, we focus on seven common carbonates and LiPF6, but this methodology has very few assumptions and can be readily applied to any liquid electrolyte system. This provides a promising path forward for large-scale atomistic modeling of many important battery chemistries.","container-title":"Journal of Physical Chemistry B","DOI":"10.1021/acs.jpcb.2c03746","ISSN":"1520-6106, 1520-5207","issue":"33","journalAbbreviation":"J. Phys. Chem. B","language":"en","license":"https://doi.org/10.15223/policy-029","note":"40 citations (Crossref/DOI) [2025-05-22]\n40 citations (Crossref/DOI) [2025-05-21]\nJCR分区: Q3\n5年影响因子: 2.8\nTLDR: A machine learning-based force field for liquid electrolyte simulations is reported, which bridges the gap between the accuracy of range-separated hybrid density functional theory and the efficiency of classical force fields.","page":"6271-6280","source":"DOI.org (Crossref)","title":"High-dimensional neural network potential for liquid electrolyte simulations","volume":"126","author":[{"family":"Dajnowicz","given":"Steven"},{"family":"Agarwal","given":"Garvit"},{"family":"Stevenson","given":"James M."},{"family":"Jacobson","given":"Leif D."},{"family":"Ramezanghorbani","given":"Farhad"},{"family":"Leswing","given":"Karl"},{"family":"Friesner","given":"Richard A."},{"family":"Halls","given":"Mathew D."},{"family":"Abel","given":"Robert"}],"issued":{"date-parts":[["2022",8,25]]}}}],"schema":"https://github.com/citation-style-language/schema/raw/master/csl-citation.json"} </w:instrText>
            </w:r>
            <w:r>
              <w:rPr>
                <w:rFonts w:ascii="Times New Roman" w:hAnsi="Times New Roman" w:eastAsia="等线" w:cs="Times New Roman"/>
                <w:b/>
                <w:bCs/>
                <w:color w:val="000000"/>
                <w:kern w:val="0"/>
                <w:szCs w:val="21"/>
              </w:rPr>
              <w:fldChar w:fldCharType="separate"/>
            </w:r>
            <w:r>
              <w:rPr>
                <w:rFonts w:ascii="Times New Roman" w:hAnsi="Times New Roman" w:eastAsia="等线" w:cs="Times New Roman"/>
                <w:kern w:val="0"/>
                <w:vertAlign w:val="superscript"/>
              </w:rPr>
              <w:t>61</w:t>
            </w:r>
            <w:r>
              <w:rPr>
                <w:rFonts w:ascii="Times New Roman" w:hAnsi="Times New Roman" w:eastAsia="等线" w:cs="Times New Roman"/>
                <w:b/>
                <w:bCs/>
                <w:color w:val="000000"/>
                <w:kern w:val="0"/>
                <w:szCs w:val="21"/>
              </w:rPr>
              <w:fldChar w:fldCharType="end"/>
            </w:r>
          </w:p>
        </w:tc>
        <w:tc>
          <w:tcPr>
            <w:tcW w:w="426" w:type="pct"/>
            <w:noWrap/>
            <w:vAlign w:val="center"/>
          </w:tcPr>
          <w:p w14:paraId="5A0DD07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1.2170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{"citationID":"NVCfF1xx","properties":{"formattedCitation":"\\super 62\\nosupersub{}","plainCitation":"62","noteIndex":0},"citationItems":[{"id":927,"uris":["http://zotero.org/users/17156447/items/CQ2Q5HSQ"],"itemData":{"id":927,"type":"article-journal","abstract":"SevenNet-0, pretrained on inorganic data, performs surprisingly well on liquid electrolytes—an out-of-distribution system—showing interpolation ability and improving further with fine-tuning.\n          , \n            \n              Achieving higher operational voltages, faster charging, and broader temperature ranges for Li-ion batteries necessitates advancements in electrolyte engineering. However, the complexity of optimizing combinations of solvents, salts, and additives has limited the effectiveness of both experimental and computational screening methods for liquid electrolytes. Recently, pretrained universal machine-learning interatomic potentials (MLIPs) have emerged as promising tools for computational exploration of complex chemical spaces with high accuracy and efficiency. In this study, we evaluated the performance of the state-of-the-art equivariant pretrained MLIP, SevenNet-0, in predicting key properties of liquid electrolytes, including solvation behavior, density, and ion transport. To assess its suitability for extensive material screening, we considered a dataset comprising 20 solvents. Although SevenNet-0 was predominantly trained on inorganic compounds, its predictions for the properties of liquid electrolytes showed good agreement with experimental and\n              ab initio\n              data. However, systematic errors were identified, particularly in the predicted density of liquid electrolytes. To address this limitation, we fine-tuned SevenNet-0, achieving improved accuracy at a significantly reduced computational cost compared to developing bespoke models. Analysis of the training set suggested that the model achieved its accuracy by generalizing across the chemical space rather than memorizing trained configurations. This work highlights the potential of SevenNet-0 as a powerful tool for future engineering of liquid electrolyte systems.","container-title":"Digital Discovery","DOI":"10.1039/D5DD00025D","ISSN":"2635-098X","journalAbbreviation":"Digital Discovery","language":"en","note":"0 citations (Crossref/DOI) [2025-05-22]\n0 citations (Crossref/DOI) [2025-05-21]\n5年影响因子: 6.2","page":"1544-1559","source":"DOI.org (Crossref)","title":"Application of pretrained universal machine-learning interatomic potential for physicochemical simulation of liquid electrolytes in li-ion batteries","volume":"4","author":[{"family":"Ju","given":"Suyeon"},{"family":"You","given":"Jinmu"},{"family":"Kim","given":"Gijin"},{"family":"Park","given":"Yutack"},{"family":"An","given":"Hyungmin"},{"family":"Han","given":"Seungwu"}],"issued":{"date-parts":[["2025"]]}}}],"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62</w:t>
            </w:r>
            <w:r>
              <w:rPr>
                <w:rFonts w:ascii="Times New Roman" w:hAnsi="Times New Roman" w:eastAsia="等线" w:cs="Times New Roman"/>
                <w:color w:val="000000"/>
                <w:kern w:val="0"/>
                <w:szCs w:val="21"/>
              </w:rPr>
              <w:fldChar w:fldCharType="end"/>
            </w:r>
          </w:p>
        </w:tc>
        <w:tc>
          <w:tcPr>
            <w:tcW w:w="488" w:type="pct"/>
            <w:noWrap/>
            <w:vAlign w:val="center"/>
          </w:tcPr>
          <w:p w14:paraId="5F03CA6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1.0318</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{"citationID":"ZCzEYErG","properties":{"formattedCitation":"\\super 63\\nosupersub{}","plainCitation":"63","noteIndex":0},"citationItems":[{"id":940,"uris":["http://zotero.org/users/17156447/items/X75J3MHZ"],"itemData":{"id":940,"type":"article-journal","container-title":"Molecular Physics","DOI":"10.1080/00268976.2012.720041","ISSN":"0026-8976, 1362-3028","issue":"2","journalAbbreviation":"Mol. Phys.","language":"en","note":"10 citations (Crossref/DOI) [2025-05-22]\n10 citations (Crossref/DOI) [2025-05-21]\nJCR分区: Q3\n5年影响因子: 1.6","page":"277-285","source":"DOI.org (Crossref)","title":"Dielectric constants of binary mixtures of propylene carbonate with dimethyl carbonate and ethylene carbonate from molecular dynamics simulation: comparison between non-polarizable and polarizable force fields","title-short":"Dielectric constants of binary mixtures of propylene carbonate with dimethyl carbonate and ethylene carbonate from molecular dynamics simulation","volume":"111","author":[{"family":"Lee","given":"Sanghun"},{"family":"Park","given":"Sung Soo"}],"issued":{"date-parts":[["2013",1,15]]}}}],"schema":"https://github.com/citation-style-language/schema/raw/master/csl-citation.json"}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63</w:t>
            </w:r>
            <w:r>
              <w:rPr>
                <w:rFonts w:ascii="Times New Roman" w:hAnsi="Times New Roman" w:eastAsia="等线" w:cs="Times New Roman"/>
                <w:color w:val="000000"/>
                <w:kern w:val="0"/>
                <w:szCs w:val="21"/>
              </w:rPr>
              <w:fldChar w:fldCharType="end"/>
            </w:r>
          </w:p>
        </w:tc>
      </w:tr>
      <w:tr w14:paraId="21375C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noWrap/>
            <w:vAlign w:val="center"/>
          </w:tcPr>
          <w:p w14:paraId="74F8B8A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PSF</w:t>
            </w:r>
          </w:p>
        </w:tc>
        <w:tc>
          <w:tcPr>
            <w:tcW w:w="554" w:type="pct"/>
            <w:noWrap/>
            <w:vAlign w:val="center"/>
          </w:tcPr>
          <w:p w14:paraId="04D0401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1.3718 </w:t>
            </w:r>
          </w:p>
        </w:tc>
        <w:tc>
          <w:tcPr>
            <w:tcW w:w="730" w:type="pct"/>
            <w:noWrap/>
            <w:vAlign w:val="center"/>
          </w:tcPr>
          <w:p w14:paraId="4437D4B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1.4006 </w:t>
            </w:r>
          </w:p>
        </w:tc>
        <w:tc>
          <w:tcPr>
            <w:tcW w:w="627" w:type="pct"/>
            <w:noWrap/>
            <w:vAlign w:val="center"/>
          </w:tcPr>
          <w:p w14:paraId="2CE8AEA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1.3535 </w:t>
            </w:r>
          </w:p>
        </w:tc>
        <w:tc>
          <w:tcPr>
            <w:tcW w:w="497" w:type="pct"/>
            <w:noWrap/>
            <w:vAlign w:val="center"/>
          </w:tcPr>
          <w:p w14:paraId="7580F04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1.2473 </w:t>
            </w:r>
          </w:p>
        </w:tc>
        <w:tc>
          <w:tcPr>
            <w:tcW w:w="516" w:type="pct"/>
            <w:noWrap/>
            <w:vAlign w:val="center"/>
          </w:tcPr>
          <w:p w14:paraId="6E8F4CD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1.314</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{"citationID":"F7sACmCK","properties":{"formattedCitation":"\\super 26\\nosupersub{}","plainCitation":"26","noteIndex":0},"citationItems":[{"id":1319,"uris":["http://zotero.org/users/17156447/items/5ILW38C5"],"itemData":{"id":1319,"type":"article-journal","abstract":"Abstract\n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26</w:t>
            </w:r>
            <w:r>
              <w:rPr>
                <w:rFonts w:ascii="Times New Roman" w:hAnsi="Times New Roman" w:eastAsia="等线" w:cs="Times New Roman"/>
                <w:color w:val="000000"/>
                <w:kern w:val="0"/>
                <w:szCs w:val="21"/>
              </w:rPr>
              <w:fldChar w:fldCharType="end"/>
            </w:r>
          </w:p>
        </w:tc>
        <w:tc>
          <w:tcPr>
            <w:tcW w:w="474" w:type="pct"/>
            <w:noWrap/>
            <w:vAlign w:val="center"/>
          </w:tcPr>
          <w:p w14:paraId="0A843EB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337" w:type="pct"/>
            <w:noWrap/>
            <w:vAlign w:val="center"/>
          </w:tcPr>
          <w:p w14:paraId="0E6674C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26" w:type="pct"/>
            <w:noWrap/>
            <w:vAlign w:val="center"/>
          </w:tcPr>
          <w:p w14:paraId="0B9BCE8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88" w:type="pct"/>
            <w:noWrap/>
            <w:vAlign w:val="center"/>
          </w:tcPr>
          <w:p w14:paraId="734E62F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r w14:paraId="05CF7D6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noWrap/>
            <w:vAlign w:val="center"/>
          </w:tcPr>
          <w:p w14:paraId="63DF7CA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TPSF</w:t>
            </w:r>
          </w:p>
        </w:tc>
        <w:tc>
          <w:tcPr>
            <w:tcW w:w="554" w:type="pct"/>
            <w:noWrap/>
            <w:vAlign w:val="center"/>
          </w:tcPr>
          <w:p w14:paraId="0FBE123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1.4783 </w:t>
            </w:r>
          </w:p>
        </w:tc>
        <w:tc>
          <w:tcPr>
            <w:tcW w:w="730" w:type="pct"/>
            <w:noWrap/>
            <w:vAlign w:val="center"/>
          </w:tcPr>
          <w:p w14:paraId="09CCE7D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1.4995 </w:t>
            </w:r>
          </w:p>
        </w:tc>
        <w:tc>
          <w:tcPr>
            <w:tcW w:w="627" w:type="pct"/>
            <w:noWrap/>
            <w:vAlign w:val="center"/>
          </w:tcPr>
          <w:p w14:paraId="14E747F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1.4616 </w:t>
            </w:r>
          </w:p>
        </w:tc>
        <w:tc>
          <w:tcPr>
            <w:tcW w:w="497" w:type="pct"/>
            <w:noWrap/>
            <w:vAlign w:val="center"/>
          </w:tcPr>
          <w:p w14:paraId="07C0002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1.3683 </w:t>
            </w:r>
          </w:p>
        </w:tc>
        <w:tc>
          <w:tcPr>
            <w:tcW w:w="516" w:type="pct"/>
            <w:noWrap/>
            <w:vAlign w:val="center"/>
          </w:tcPr>
          <w:p w14:paraId="6BD1DD6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1.37698</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{"citationID":"tiITdYoz","properties":{"formattedCitation":"\\super 26\\nosupersub{}","plainCitation":"26","noteIndex":0},"citationItems":[{"id":1319,"uris":["http://zotero.org/users/17156447/items/5ILW38C5"],"itemData":{"id":1319,"type":"article-journal","abstract":"Abstract\n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26</w:t>
            </w:r>
            <w:r>
              <w:rPr>
                <w:rFonts w:ascii="Times New Roman" w:hAnsi="Times New Roman" w:eastAsia="等线" w:cs="Times New Roman"/>
                <w:color w:val="000000"/>
                <w:kern w:val="0"/>
                <w:szCs w:val="21"/>
              </w:rPr>
              <w:fldChar w:fldCharType="end"/>
            </w:r>
          </w:p>
        </w:tc>
        <w:tc>
          <w:tcPr>
            <w:tcW w:w="474" w:type="pct"/>
            <w:noWrap/>
            <w:vAlign w:val="center"/>
          </w:tcPr>
          <w:p w14:paraId="6D28D74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337" w:type="pct"/>
            <w:noWrap/>
            <w:vAlign w:val="center"/>
          </w:tcPr>
          <w:p w14:paraId="52D84EB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26" w:type="pct"/>
            <w:noWrap/>
            <w:vAlign w:val="center"/>
          </w:tcPr>
          <w:p w14:paraId="4F50565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88" w:type="pct"/>
            <w:noWrap/>
            <w:vAlign w:val="center"/>
          </w:tcPr>
          <w:p w14:paraId="580D004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r w14:paraId="0EB888C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noWrap/>
            <w:vAlign w:val="center"/>
          </w:tcPr>
          <w:p w14:paraId="0409BBD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DOL</w:t>
            </w:r>
          </w:p>
        </w:tc>
        <w:tc>
          <w:tcPr>
            <w:tcW w:w="554" w:type="pct"/>
            <w:noWrap/>
            <w:vAlign w:val="center"/>
          </w:tcPr>
          <w:p w14:paraId="0477290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1.0533 </w:t>
            </w:r>
          </w:p>
        </w:tc>
        <w:tc>
          <w:tcPr>
            <w:tcW w:w="730" w:type="pct"/>
            <w:noWrap/>
            <w:vAlign w:val="center"/>
          </w:tcPr>
          <w:p w14:paraId="6A6CCA4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1.0766 </w:t>
            </w:r>
          </w:p>
        </w:tc>
        <w:tc>
          <w:tcPr>
            <w:tcW w:w="627" w:type="pct"/>
            <w:noWrap/>
            <w:vAlign w:val="center"/>
          </w:tcPr>
          <w:p w14:paraId="6A99DBF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1.0553 </w:t>
            </w:r>
          </w:p>
        </w:tc>
        <w:tc>
          <w:tcPr>
            <w:tcW w:w="497" w:type="pct"/>
            <w:noWrap/>
            <w:vAlign w:val="center"/>
          </w:tcPr>
          <w:p w14:paraId="2B9967F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1.0635 </w:t>
            </w:r>
          </w:p>
        </w:tc>
        <w:tc>
          <w:tcPr>
            <w:tcW w:w="516" w:type="pct"/>
            <w:noWrap/>
            <w:vAlign w:val="center"/>
          </w:tcPr>
          <w:p w14:paraId="3735DCD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1.05862</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{"citationID":"YEaukkxX","properties":{"formattedCitation":"\\super 59\\nosupersub{}","plainCitation":"59","noteIndex":0},"citationItems":[{"id":977,"uris":["http://zotero.org/users/17156447/items/L7BS8FSY"],"itemData":{"id":977,"type":"article-journal","abstract":"Viscosities for the binary mixtures of 1,3-dioxolane or 1,4-dioxane with isomeric chlorobutanes have been determined at 298.15 K and 313.15 K and the kinematic viscosities were correlated by the McAllister equation. From the viscosity data the corresponding viscosity deviations were calculated and they are negative over the whole composition range for all mixtures. Finally the experimental kinematic viscosities were compared with those predicted by the Asfour method.","container-title":"Journal of Molecular Liquids","DOI":"10.1016/j.molliq.2006.03.048","ISSN":"01677322","issue":"3","journalAbbreviation":"J. Mol. Liq.","language":"en","license":"https://www.elsevier.com/tdm/userlicense/1.0/","note":"28 citations (Crossref/DOI) [2025-05-27]\nJCR分区: Q1\n5年影响因子: 5.1","page":"176-180","source":"DOI.org (Crossref)","title":"Viscosities of binary mixtures of 1,3-dioxolane or 1,4-dioxane with isomeric chlorobutanes","volume":"129","author":[{"family":"Giner","given":"B."},{"family":"Artigas","given":"H."},{"family":"Haro","given":"M."},{"family":"Lafuente","given":"C."},{"family":"López","given":"M.C."}],"issued":{"date-parts":[["2006",11]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59</w:t>
            </w:r>
            <w:r>
              <w:rPr>
                <w:rFonts w:ascii="Times New Roman" w:hAnsi="Times New Roman" w:eastAsia="等线" w:cs="Times New Roman"/>
                <w:color w:val="000000"/>
                <w:kern w:val="0"/>
                <w:szCs w:val="21"/>
              </w:rPr>
              <w:fldChar w:fldCharType="end"/>
            </w:r>
          </w:p>
        </w:tc>
        <w:tc>
          <w:tcPr>
            <w:tcW w:w="474" w:type="pct"/>
            <w:noWrap/>
            <w:vAlign w:val="center"/>
          </w:tcPr>
          <w:p w14:paraId="286554A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337" w:type="pct"/>
            <w:noWrap/>
            <w:vAlign w:val="center"/>
          </w:tcPr>
          <w:p w14:paraId="526E82B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26" w:type="pct"/>
            <w:noWrap/>
            <w:vAlign w:val="center"/>
          </w:tcPr>
          <w:p w14:paraId="749A32D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88" w:type="pct"/>
            <w:noWrap/>
            <w:vAlign w:val="center"/>
          </w:tcPr>
          <w:p w14:paraId="5A9E874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r w14:paraId="101F9B6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trPr>
        <w:tc>
          <w:tcPr>
            <w:tcW w:w="351" w:type="pct"/>
            <w:noWrap/>
            <w:vAlign w:val="center"/>
          </w:tcPr>
          <w:p w14:paraId="5864404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TFEO</w:t>
            </w:r>
          </w:p>
        </w:tc>
        <w:tc>
          <w:tcPr>
            <w:tcW w:w="554" w:type="pct"/>
            <w:noWrap/>
            <w:vAlign w:val="center"/>
          </w:tcPr>
          <w:p w14:paraId="190241D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1.5383 </w:t>
            </w:r>
          </w:p>
        </w:tc>
        <w:tc>
          <w:tcPr>
            <w:tcW w:w="730" w:type="pct"/>
            <w:noWrap/>
            <w:vAlign w:val="center"/>
          </w:tcPr>
          <w:p w14:paraId="06A5172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1.5259 </w:t>
            </w:r>
          </w:p>
        </w:tc>
        <w:tc>
          <w:tcPr>
            <w:tcW w:w="627" w:type="pct"/>
            <w:noWrap/>
            <w:vAlign w:val="center"/>
          </w:tcPr>
          <w:p w14:paraId="0676B7B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1.5274 </w:t>
            </w:r>
          </w:p>
        </w:tc>
        <w:tc>
          <w:tcPr>
            <w:tcW w:w="497" w:type="pct"/>
            <w:noWrap/>
            <w:vAlign w:val="center"/>
          </w:tcPr>
          <w:p w14:paraId="1371F0C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1.5281 </w:t>
            </w:r>
          </w:p>
        </w:tc>
        <w:tc>
          <w:tcPr>
            <w:tcW w:w="516" w:type="pct"/>
            <w:noWrap/>
            <w:vAlign w:val="center"/>
          </w:tcPr>
          <w:p w14:paraId="152F806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1.46</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{"citationID":"BrWKQr8M","properties":{"formattedCitation":"\\super 54\\nosupersub{}","plainCitation":"54","noteIndex":0},"citationItems":[{"id":972,"uris":["http://zotero.org/users/17156447/items/3ZTD326N"],"itemData":{"id":972,"type":"article-journal","abstract":"Significance\n            Lithium (Li) metal battery (LMB) is a very promising candidate for the next-generation high-energy-density batteries. However, its practical applications have been impeded by the instability of metallic Li in the state-of-the-art carbonate electrolytes. Localized high-concentration electrolytes (LHCEs) shed light for practical use of LMBs by generating stable, robust solid electrolyte interphase on Li. Here we investigate various types of fluorinated cosolvents as diluents for LHCEs to understand the correlation between the battery performance and the solvation structure and electrode/electrolyte interfacial chemistry. It clearly reveals that the diluent surrounding the highly concentrated salt-solvating solvent clusters accelerates/decelerates anion decomposition, tunes the properties of interphases, and subsequently influences the battery performance. These results can guide further development of advanced electrolytes for LMBs.\n          , \n            \n              Electrolyte is very critical to the performance of the high-voltage lithium (Li) metal battery (LMB), which is one of the most attractive candidates for the next-generation high-density energy-storage systems. Electrolyte formulation and structure determine the physical properties of the electrolytes and their interfacial chemistries on the electrode surfaces. Localized high-concentration electrolytes (LHCEs) outperform state-of-the-art carbonate electrolytes in many aspects in LMBs due to their unique solvation structures. Types of fluorinated cosolvents used in LHCEs are investigated here in searching for the most suitable diluent for high-concentration electrolytes (HCEs). Nonsolvating solvents (including fluorinated ethers, fluorinated borate, and fluorinated orthoformate) added in HCEs enable the formation of LHCEs with high-concentration solvation structures. However, low-solvating fluorinated carbonate will coordinate with Li\n              +\n              ions and form a second solvation shell or a pseudo-LHCE which diminishes the benefits of LHCE. In addition, it is evident that the diluent has significant influence on the electrode/electrolyte interphases (EEIs) beyond retaining the high-concentration solvation structures. Diluent molecules surrounding the high-concentration clusters could accelerate or decelerate the anion decomposition through coparticipation of diluent decomposition in the EEI formation. The varied interphase features lead to significantly different battery performance. This study points out the importance of diluents and their synergetic effects with the conductive salt and the solvating solvent in designing LHCEs. These systematic comparisons and fundamental insights into LHCEs using different types of fluorinated solvents can guide further development of advanced electrolytes for high-voltage LMBs.","container-title":"Proceedings of the National Academy of Sciences","DOI":"10.1073/pnas.2020357118","ISSN":"0027-8424, 1091-6490","issue":"9","journalAbbreviation":"Proc. Natl. Acad. Sci.","language":"en","note":"227 citations (Crossref/DOI) [2025-05-27]\nJCR分区: Q1\n5年影响因子: 10.8\nTLDR: It is evident that the diluent has significant influence on the electrode/electrolyte interphases (EEIs) beyond retaining the high-concentration solvation structures, and can guide further development of advanced electrolytes for high-voltage LMBs.","page":"e2020357118","source":"DOI.org (Crossref)","title":"Effects of fluorinated solvents on electrolyte solvation structures and electrode/electrolyte interphases for lithium metal batteries","volume":"118","author":[{"family":"Cao","given":"Xia"},{"family":"Gao","given":"Peiyuan"},{"family":"Ren","given":"Xiaodi"},{"family":"Zou","given":"Lianfeng"},{"family":"Engelhard","given":"Mark H."},{"family":"Matthews","given":"Bethany E."},{"family":"Hu","given":"Jiangtao"},{"family":"Niu","given":"Chaojiang"},{"family":"Liu","given":"Dianying"},{"family":"Arey","given":"Bruce W."},{"family":"Wang","given":"Chongmin"},{"family":"Xiao","given":"Jie"},{"family":"Liu","given":"Jun"},{"family":"Xu","given":"Wu"},{"family":"Zhang","given":"Ji-Guang"}],"issued":{"date-parts":[["2021",3,2]]}}}],"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54</w:t>
            </w:r>
            <w:r>
              <w:rPr>
                <w:rFonts w:ascii="Times New Roman" w:hAnsi="Times New Roman" w:eastAsia="等线" w:cs="Times New Roman"/>
                <w:color w:val="000000"/>
                <w:kern w:val="0"/>
                <w:szCs w:val="21"/>
              </w:rPr>
              <w:fldChar w:fldCharType="end"/>
            </w:r>
          </w:p>
        </w:tc>
        <w:tc>
          <w:tcPr>
            <w:tcW w:w="474" w:type="pct"/>
            <w:noWrap/>
            <w:vAlign w:val="center"/>
          </w:tcPr>
          <w:p w14:paraId="5A5CBA8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337" w:type="pct"/>
            <w:noWrap/>
            <w:vAlign w:val="center"/>
          </w:tcPr>
          <w:p w14:paraId="326D2DE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26" w:type="pct"/>
            <w:noWrap/>
            <w:vAlign w:val="center"/>
          </w:tcPr>
          <w:p w14:paraId="2186D4B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88" w:type="pct"/>
            <w:noWrap/>
            <w:vAlign w:val="center"/>
          </w:tcPr>
          <w:p w14:paraId="4C9BCD4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bl>
    <w:p w14:paraId="27997A23">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5EF61A3">
      <w:pPr>
        <w:widowControl/>
        <w:adjustRightInd w:val="0"/>
        <w:snapToGrid w:val="0"/>
        <w:spacing w:after="156" w:afterLines="50" w:line="360" w:lineRule="auto"/>
        <w:rPr>
          <w:rFonts w:ascii="Times New Roman" w:hAnsi="Times New Roman" w:eastAsia="宋体" w:cs="Times New Roman"/>
          <w:color w:val="000000"/>
          <w:kern w:val="0"/>
          <w:sz w:val="24"/>
          <w:szCs w:val="24"/>
        </w:rPr>
      </w:pPr>
      <w:bookmarkStart w:id="26" w:name="_Toc221108148"/>
      <w:r>
        <w:rPr>
          <w:rStyle w:val="27"/>
          <w:rFonts w:cs="Times New Roman"/>
          <w:szCs w:val="24"/>
        </w:rPr>
        <w:t>Supplementary Table 13 | Benchmark comparison of calculated self-diffusion coefficients for neat components.</w:t>
      </w:r>
      <w:bookmarkEnd w:id="26"/>
      <w:r>
        <w:rPr>
          <w:rStyle w:val="27"/>
          <w:rFonts w:cs="Times New Roman"/>
          <w:szCs w:val="24"/>
        </w:rPr>
        <w:t xml:space="preserve"> </w:t>
      </w:r>
      <w:r>
        <w:rPr>
          <w:rFonts w:ascii="Times New Roman" w:hAnsi="Times New Roman" w:cs="Times New Roman"/>
          <w:sz w:val="24"/>
          <w:szCs w:val="24"/>
        </w:rPr>
        <w:t>Self-diffusion coefficients (</w:t>
      </w:r>
      <w:r>
        <w:rPr>
          <w:rFonts w:ascii="Times New Roman" w:hAnsi="Times New Roman" w:cs="Times New Roman"/>
          <w:i/>
          <w:iCs/>
          <w:sz w:val="24"/>
          <w:szCs w:val="24"/>
        </w:rPr>
        <w:t>D</w:t>
      </w:r>
      <w:r>
        <w:rPr>
          <w:rFonts w:ascii="Times New Roman" w:hAnsi="Times New Roman" w:eastAsia="宋体" w:cs="Times New Roman"/>
          <w:sz w:val="24"/>
          <w:szCs w:val="24"/>
        </w:rPr>
        <w:t>, 10</w:t>
      </w:r>
      <w:r>
        <w:rPr>
          <w:rFonts w:ascii="Times New Roman" w:hAnsi="Times New Roman" w:eastAsia="宋体" w:cs="Times New Roman"/>
          <w:sz w:val="24"/>
          <w:szCs w:val="24"/>
          <w:vertAlign w:val="superscript"/>
        </w:rPr>
        <w:t>-9</w:t>
      </w:r>
      <w:r>
        <w:rPr>
          <w:rFonts w:ascii="Times New Roman" w:hAnsi="Times New Roman" w:eastAsia="宋体" w:cs="Times New Roman"/>
          <w:sz w:val="24"/>
          <w:szCs w:val="24"/>
        </w:rPr>
        <w:t xml:space="preserve"> m</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·s</w:t>
      </w:r>
      <w:r>
        <w:rPr>
          <w:rFonts w:ascii="Times New Roman" w:hAnsi="Times New Roman" w:eastAsia="宋体" w:cs="Times New Roman"/>
          <w:sz w:val="24"/>
          <w:szCs w:val="24"/>
          <w:vertAlign w:val="superscript"/>
        </w:rPr>
        <w:t>-1</w:t>
      </w:r>
      <w:r>
        <w:rPr>
          <w:rFonts w:ascii="Times New Roman" w:hAnsi="Times New Roman" w:cs="Times New Roman"/>
          <w:sz w:val="24"/>
          <w:szCs w:val="24"/>
        </w:rPr>
        <w:t>)</w:t>
      </w:r>
      <w:r>
        <w:rPr>
          <w:rFonts w:ascii="Times New Roman" w:hAnsi="Times New Roman" w:eastAsia="宋体" w:cs="Times New Roman"/>
          <w:sz w:val="24"/>
          <w:szCs w:val="24"/>
        </w:rPr>
        <w:t xml:space="preserve"> of neat solvents (DME, EC, EMC, DMC, PSF, TPSF, DOL), the additive (FEC), and the diluent (TFEO). Results are benchmarked against internal calculations using the newly developed OPLS&amp;Pol and canonical OPLS-AA with three charge schemes (OPLS-RESP, OPLS-1.14CM1A, OPLS-1.2CM5), as well as reference values retrieved from literature, including experimental data,</w:t>
      </w:r>
      <w:r>
        <w:rPr>
          <w:rFonts w:ascii="Times New Roman" w:hAnsi="Times New Roman" w:eastAsia="等线" w:cs="Times New Roman"/>
          <w:color w:val="000000"/>
          <w:kern w:val="0"/>
          <w:sz w:val="24"/>
          <w:szCs w:val="24"/>
        </w:rPr>
        <w:fldChar w:fldCharType="begin"/>
      </w:r>
      <w:r>
        <w:rPr>
          <w:rFonts w:ascii="Times New Roman" w:hAnsi="Times New Roman" w:eastAsia="等线" w:cs="Times New Roman"/>
          <w:color w:val="000000"/>
          <w:kern w:val="0"/>
          <w:sz w:val="24"/>
          <w:szCs w:val="24"/>
        </w:rPr>
        <w:instrText xml:space="preserve"> ADDIN ZOTERO_ITEM CSL_CITATION {"citationID":"ukiXTq6O","properties":{"formattedCitation":"\\super 16,26,58\\nosupersub{}","plainCitation":"16,26,58","noteIndex":0},"citationItems":[{"id":1319,"uris":["http://zotero.org/users/17156447/items/5ILW38C5"],"itemData":{"id":1319,"type":"article-journal","abstract":"Abstract\n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id":984,"uris":["http://zotero.org/users/17156447/items/SRHVBH99"],"itemData":{"id":984,"type":"article-journal","container-title":"Journal of Physical Chemistry B","DOI":"10.1021/jp9825664","ISSN":"1520-6106, 1520-5207","issue":"3","journalAbbreviation":"J. Phys. Chem. B","language":"en","note":"343 citations (Crossref/DOI) [2025-05-29]\nJCR分区: Q3\n5年影响因子: 2.8\nTLDR: The relationship between the ionic conductivity and the sum of the diffusion coefficients of the lithium ion and the anion gives the degree of ion-pair formation and permits the roles of the solvents in the electrolytes to be clearly explained.","page":"519-524","source":"DOI.org (Crossref)","title":"Pulse-gradient spin-Echo&lt;sup&gt;1&lt;/sup&gt; H,&lt;sup&gt;7&lt;/sup&gt; li, and&lt;sup&gt;19&lt;/sup&gt; F NMR diffusion and ionic conductivity measurements of 14 organic electrolytes containing LiN(SO&lt;sub&gt;2&lt;/sub&gt; CF&lt;sub&gt;3&lt;/sub&gt; )&lt;sub&gt;2&lt;/sub&gt;","volume":"103","author":[{"family":"Hayamizu","given":"Kikuko"},{"family":"Aihara","given":"Yuichi"},{"family":"Arai","given":"Shigemasa"},{"family":"Martinez","given":"Cirilo Garcia"}],"issued":{"date-parts":[["1999",1,1]]}}},{"id":944,"uris":["http://zotero.org/users/17156447/items/GWDINLQB"],"itemData":{"id":944,"type":"article-journal","abstract":"Abstract\n            \n              Micro-sized silicon anodes can significantly increase the energy density of lithium-ion batteries with low cost. However, the large silicon volume changes during cycling cause cracks for both organic-inorganic interphases and silicon particles. The liquid electrolytes further penetrate the cracked silicon particles and reform the interphases, resulting in huge electrode swelling and quick capacity decay. Here we resolve these challenges by designing a high-voltage electrolyte that forms silicon-phobic interphases with weak bonding to lithium-silicon alloys. The designed electrolyte enables micro-sized silicon anodes (5 µm, 4.1 mAh cm\n              −2\n              ) to achieve a Coulombic efficiency of 99.8% and capacity of 2175 mAh g\n              −1\n              for &gt;250 cycles and enable 100 mAh LiNi\n              0.8\n              Co\n              0.15\n              Al\n              0.05\n              O\n              2\n              pouch full cells to deliver a high capacity of 172 mAh g\n              −1\n              for 120 cycles with Coulombic efficiency of &gt;99.9%. The high-voltage electrolytes that are capable of forming silicon-phobic interphases pave new ways for the commercialization of lithium-ion batteries using micro-sized silicon anodes.","container-title":"Nature Communications","DOI":"10.1038/s41467-024-45374-0","ISSN":"2041-1723","issue":"1","journalAbbreviation":"Nat. Commun.","language":"en","note":"48 citations (Crossref/DOI) [2025-05-22]\n48 citations (Crossref/DOI) [2025-05-21]\nJCR分区: Q1\n5年影响因子: 16.1","page":"1206","source":"DOI.org (Crossref)","title":"High voltage electrolytes for lithium-ion batteries with micro-sized silicon anodes","volume":"15","author":[{"family":"Li","given":"Ai-Min"},{"family":"Wang","given":"Zeyi"},{"family":"Pollard","given":"Travis P."},{"family":"Zhang","given":"Weiran"},{"family":"Tan","given":"Sha"},{"family":"Li","given":"Tianyu"},{"family":"Jayawardana","given":"Chamithri"},{"family":"Liou","given":"Sz-Chian"},{"family":"Rao","given":"Jiancun"},{"family":"Lucht","given":"Brett L."},{"family":"Hu","given":"Enyuan"},{"family":"Yang","given":"Xiao-Qing"},{"family":"Borodin","given":"Oleg"},{"family":"Wang","given":"Chunsheng"}],"issued":{"date-parts":[["2024",2,8]]}}}],"schema":"https://github.com/citation-style-language/schema/raw/master/csl-citation.json"} </w:instrText>
      </w:r>
      <w:r>
        <w:rPr>
          <w:rFonts w:ascii="Times New Roman" w:hAnsi="Times New Roman" w:eastAsia="等线" w:cs="Times New Roman"/>
          <w:color w:val="000000"/>
          <w:kern w:val="0"/>
          <w:sz w:val="24"/>
          <w:szCs w:val="24"/>
        </w:rPr>
        <w:fldChar w:fldCharType="separate"/>
      </w:r>
      <w:r>
        <w:rPr>
          <w:rFonts w:ascii="Times New Roman" w:hAnsi="Times New Roman" w:eastAsia="等线" w:cs="Times New Roman"/>
          <w:kern w:val="0"/>
          <w:sz w:val="24"/>
          <w:vertAlign w:val="superscript"/>
        </w:rPr>
        <w:t>16,26,58</w:t>
      </w:r>
      <w:r>
        <w:rPr>
          <w:rFonts w:ascii="Times New Roman" w:hAnsi="Times New Roman" w:eastAsia="等线" w:cs="Times New Roman"/>
          <w:color w:val="000000"/>
          <w:kern w:val="0"/>
          <w:sz w:val="24"/>
          <w:szCs w:val="24"/>
        </w:rPr>
        <w:fldChar w:fldCharType="end"/>
      </w:r>
      <w:r>
        <w:rPr>
          <w:rFonts w:ascii="Times New Roman" w:hAnsi="Times New Roman" w:eastAsia="宋体" w:cs="Times New Roman"/>
          <w:sz w:val="24"/>
          <w:szCs w:val="24"/>
        </w:rPr>
        <w:t xml:space="preserve"> QRNN,</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ADDIN ZOTERO_ITEM CSL_CITATION {"citationID":"xevn6PDg","properties":{"formattedCitation":"\\super 61\\nosupersub{}","plainCitation":"61","noteIndex":0},"citationItems":[{"id":935,"uris":["http://zotero.org/users/17156447/items/UJ4FXMRW"],"itemData":{"id":935,"type":"article-journal","abstract":"Liquid electrolytes are one of the most important components of Li-ion batteries, which are a critical technology of the modern world. However, we still lack the computational tools required to accurately calculate key properties of these materials (viscosity and ionic diffusivity) from first principles necessary to support improved designs. In this work, we report a machine learning-based force field for liquid electrolyte simulations, which bridges the gap between the accuracy of range-separated hybrid density functional theory and the efficiency of classical force fields. Predictions of material properties made with this force field are quantitatively accurate compared to experimental data. Our model uses the QRNN deep neural network architecture, which includes both long-range interactions and global charge equilibration. The training data set is composed solely of nonperiodic density functional theory (DFT), allowing the practical use of an accurate theory (here, ωB97X-D3BJ/def2-TZVPD), which would be prohibitively expensive for generating large data sets with periodic DFT. In this report, we focus on seven common carbonates and LiPF6, but this methodology has very few assumptions and can be readily applied to any liquid electrolyte system. This provides a promising path forward for large-scale atomistic modeling of many important battery chemistries.","container-title":"Journal of Physical Chemistry B","DOI":"10.1021/acs.jpcb.2c03746","ISSN":"1520-6106, 1520-5207","issue":"33","journalAbbreviation":"J. Phys. Chem. B","language":"en","license":"https://doi.org/10.15223/policy-029","note":"40 citations (Crossref/DOI) [2025-05-22]\n40 citations (Crossref/DOI) [2025-05-21]\nJCR分区: Q3\n5年影响因子: 2.8\nTLDR: A machine learning-based force field for liquid electrolyte simulations is reported, which bridges the gap between the accuracy of range-separated hybrid density functional theory and the efficiency of classical force fields.","page":"6271-6280","source":"DOI.org (Crossref)","title":"High-dimensional neural network potential for liquid electrolyte simulations","volume":"126","author":[{"family":"Dajnowicz","given":"Steven"},{"family":"Agarwal","given":"Garvit"},{"family":"Stevenson","given":"James M."},{"family":"Jacobson","given":"Leif D."},{"family":"Ramezanghorbani","given":"Farhad"},{"family":"Leswing","given":"Karl"},{"family":"Friesner","given":"Richard A."},{"family":"Halls","given":"Mathew D."},{"family":"Abel","given":"Robert"}],"issued":{"date-parts":[["2022",8,25]]}}}],"schema":"https://github.com/citation-style-language/schema/raw/master/csl-citation.json"} </w:instrText>
      </w:r>
      <w:r>
        <w:rPr>
          <w:rFonts w:ascii="Times New Roman" w:hAnsi="Times New Roman" w:eastAsia="宋体" w:cs="Times New Roman"/>
          <w:sz w:val="24"/>
          <w:szCs w:val="24"/>
        </w:rPr>
        <w:fldChar w:fldCharType="separate"/>
      </w:r>
      <w:r>
        <w:rPr>
          <w:rFonts w:ascii="Times New Roman" w:hAnsi="Times New Roman" w:eastAsia="等线" w:cs="Times New Roman"/>
          <w:kern w:val="0"/>
          <w:sz w:val="24"/>
          <w:vertAlign w:val="superscript"/>
        </w:rPr>
        <w:t>61</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and APPLE&amp;P.</w:t>
      </w:r>
      <w:r>
        <w:rPr>
          <w:rFonts w:ascii="Times New Roman" w:hAnsi="Times New Roman" w:eastAsia="宋体" w:cs="Times New Roman"/>
          <w:color w:val="000000"/>
          <w:kern w:val="0"/>
          <w:sz w:val="24"/>
          <w:szCs w:val="24"/>
        </w:rPr>
        <w:fldChar w:fldCharType="begin"/>
      </w:r>
      <w:r>
        <w:rPr>
          <w:rFonts w:ascii="Times New Roman" w:hAnsi="Times New Roman" w:eastAsia="宋体" w:cs="Times New Roman"/>
          <w:color w:val="000000"/>
          <w:kern w:val="0"/>
          <w:sz w:val="24"/>
          <w:szCs w:val="24"/>
        </w:rPr>
        <w:instrText xml:space="preserve"> ADDIN ZOTERO_ITEM CSL_CITATION {"citationID":"YkuhEVvz","properties":{"formattedCitation":"\\super 64\\nosupersub{}","plainCitation":"64","noteIndex":0},"citationItems":[{"id":982,"uris":["http://zotero.org/users/17156447/items/BNH2X55D"],"itemData":{"id":982,"type":"article-journal","container-title":"Journal of Physical Chemistry B","DOI":"10.1021/jp905220k","ISSN":"1520-6106, 1520-5207","issue":"33","journalAbbreviation":"J. Phys. Chem. B","language":"en","note":"601 citations (Crossref/DOI) [2025-05-28]\nJCR分区: Q3\n5年影响因子: 2.8\nTLDR: A connection between the structural changes in IL resulting from turning off polarization and slowing down of ion dynamics has been found and accurate description/prediction of thermodynamic and transport properties of alkanes, fluoroalkanes, oligoethers and dimethyl ketone is provided.","page":"11463-11478","source":"DOI.org (Crossref)","title":"Polarizable force field development and molecular dynamics simulations of ionic liquids","volume":"113","author":[{"family":"Borodin","given":"Oleg"}],"issued":{"date-parts":[["2009",8,20]]}}}],"schema":"https://github.com/citation-style-language/schema/raw/master/csl-citation.json"} </w:instrText>
      </w:r>
      <w:r>
        <w:rPr>
          <w:rFonts w:ascii="Times New Roman" w:hAnsi="Times New Roman" w:eastAsia="宋体" w:cs="Times New Roman"/>
          <w:color w:val="000000"/>
          <w:kern w:val="0"/>
          <w:sz w:val="24"/>
          <w:szCs w:val="24"/>
        </w:rPr>
        <w:fldChar w:fldCharType="separate"/>
      </w:r>
      <w:r>
        <w:rPr>
          <w:rFonts w:ascii="Times New Roman" w:hAnsi="Times New Roman" w:eastAsia="等线" w:cs="Times New Roman"/>
          <w:kern w:val="0"/>
          <w:sz w:val="24"/>
          <w:vertAlign w:val="superscript"/>
        </w:rPr>
        <w:t>64</w:t>
      </w:r>
      <w:r>
        <w:rPr>
          <w:rFonts w:ascii="Times New Roman" w:hAnsi="Times New Roman" w:eastAsia="宋体" w:cs="Times New Roman"/>
          <w:color w:val="000000"/>
          <w:kern w:val="0"/>
          <w:sz w:val="24"/>
          <w:szCs w:val="24"/>
        </w:rPr>
        <w:fldChar w:fldCharType="end"/>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1779"/>
        <w:gridCol w:w="2348"/>
        <w:gridCol w:w="2014"/>
        <w:gridCol w:w="1600"/>
        <w:gridCol w:w="1658"/>
        <w:gridCol w:w="1083"/>
        <w:gridCol w:w="1568"/>
      </w:tblGrid>
      <w:tr w14:paraId="60A55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vMerge w:val="restart"/>
            <w:vAlign w:val="center"/>
          </w:tcPr>
          <w:p w14:paraId="0B818AA7">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Species</w:t>
            </w:r>
          </w:p>
        </w:tc>
        <w:tc>
          <w:tcPr>
            <w:tcW w:w="2937" w:type="pct"/>
            <w:gridSpan w:val="4"/>
            <w:vAlign w:val="center"/>
          </w:tcPr>
          <w:p w14:paraId="03B0D362">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This Work</w:t>
            </w:r>
          </w:p>
        </w:tc>
        <w:tc>
          <w:tcPr>
            <w:tcW w:w="1635" w:type="pct"/>
            <w:gridSpan w:val="3"/>
            <w:vAlign w:val="center"/>
          </w:tcPr>
          <w:p w14:paraId="31A9F83F">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Published Benchmarks</w:t>
            </w:r>
          </w:p>
        </w:tc>
      </w:tr>
      <w:tr w14:paraId="55A27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vMerge w:val="continue"/>
            <w:vAlign w:val="center"/>
          </w:tcPr>
          <w:p w14:paraId="413CC899">
            <w:pPr>
              <w:widowControl/>
              <w:jc w:val="left"/>
              <w:rPr>
                <w:rFonts w:ascii="Times New Roman" w:hAnsi="Times New Roman" w:eastAsia="等线" w:cs="Times New Roman"/>
                <w:b/>
                <w:bCs/>
                <w:color w:val="000000"/>
                <w:kern w:val="0"/>
                <w:szCs w:val="21"/>
              </w:rPr>
            </w:pPr>
          </w:p>
        </w:tc>
        <w:tc>
          <w:tcPr>
            <w:tcW w:w="675" w:type="pct"/>
            <w:vAlign w:val="center"/>
          </w:tcPr>
          <w:p w14:paraId="53E87DBB">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OPLS-RESP</w:t>
            </w:r>
          </w:p>
        </w:tc>
        <w:tc>
          <w:tcPr>
            <w:tcW w:w="891" w:type="pct"/>
            <w:vAlign w:val="center"/>
          </w:tcPr>
          <w:p w14:paraId="192C5B35">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OPLS-1.14CM1A</w:t>
            </w:r>
          </w:p>
        </w:tc>
        <w:tc>
          <w:tcPr>
            <w:tcW w:w="764" w:type="pct"/>
            <w:vAlign w:val="center"/>
          </w:tcPr>
          <w:p w14:paraId="55B3C5C9">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OPLS-1.2CM5</w:t>
            </w:r>
          </w:p>
        </w:tc>
        <w:tc>
          <w:tcPr>
            <w:tcW w:w="607" w:type="pct"/>
            <w:vAlign w:val="center"/>
          </w:tcPr>
          <w:p w14:paraId="6CB79F6F">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OPLS&amp;Pol</w:t>
            </w:r>
          </w:p>
        </w:tc>
        <w:tc>
          <w:tcPr>
            <w:tcW w:w="629" w:type="pct"/>
            <w:vAlign w:val="center"/>
          </w:tcPr>
          <w:p w14:paraId="5B6C6959">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Experiment</w:t>
            </w:r>
          </w:p>
        </w:tc>
        <w:tc>
          <w:tcPr>
            <w:tcW w:w="411" w:type="pct"/>
            <w:vAlign w:val="center"/>
          </w:tcPr>
          <w:p w14:paraId="69125744">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QRNN</w:t>
            </w:r>
          </w:p>
        </w:tc>
        <w:tc>
          <w:tcPr>
            <w:tcW w:w="595" w:type="pct"/>
            <w:vAlign w:val="center"/>
          </w:tcPr>
          <w:p w14:paraId="7FAAC708">
            <w:pPr>
              <w:widowControl/>
              <w:jc w:val="center"/>
              <w:rPr>
                <w:rFonts w:ascii="Times New Roman" w:hAnsi="Times New Roman" w:eastAsia="等线" w:cs="Times New Roman"/>
                <w:b/>
                <w:bCs/>
                <w:color w:val="000000"/>
                <w:kern w:val="0"/>
                <w:szCs w:val="21"/>
              </w:rPr>
            </w:pPr>
            <w:r>
              <w:rPr>
                <w:rFonts w:ascii="Times New Roman" w:hAnsi="Times New Roman" w:eastAsia="等线" w:cs="Times New Roman"/>
                <w:b/>
                <w:bCs/>
                <w:color w:val="000000"/>
                <w:kern w:val="0"/>
                <w:szCs w:val="21"/>
              </w:rPr>
              <w:t>APPLE&amp;P</w:t>
            </w:r>
          </w:p>
        </w:tc>
      </w:tr>
      <w:tr w14:paraId="4A1C0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noWrap/>
            <w:vAlign w:val="center"/>
          </w:tcPr>
          <w:p w14:paraId="55B00B3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DME</w:t>
            </w:r>
          </w:p>
        </w:tc>
        <w:tc>
          <w:tcPr>
            <w:tcW w:w="675" w:type="pct"/>
            <w:noWrap/>
            <w:vAlign w:val="center"/>
          </w:tcPr>
          <w:p w14:paraId="5DAAF9D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1.7170 </w:t>
            </w:r>
          </w:p>
        </w:tc>
        <w:tc>
          <w:tcPr>
            <w:tcW w:w="891" w:type="pct"/>
            <w:noWrap/>
            <w:vAlign w:val="center"/>
          </w:tcPr>
          <w:p w14:paraId="033EDA0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1.2190 </w:t>
            </w:r>
          </w:p>
        </w:tc>
        <w:tc>
          <w:tcPr>
            <w:tcW w:w="764" w:type="pct"/>
            <w:noWrap/>
            <w:vAlign w:val="center"/>
          </w:tcPr>
          <w:p w14:paraId="1D3E6E1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1.4320 </w:t>
            </w:r>
          </w:p>
        </w:tc>
        <w:tc>
          <w:tcPr>
            <w:tcW w:w="607" w:type="pct"/>
            <w:noWrap/>
            <w:vAlign w:val="center"/>
          </w:tcPr>
          <w:p w14:paraId="7F117F3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1.4240 </w:t>
            </w:r>
          </w:p>
        </w:tc>
        <w:tc>
          <w:tcPr>
            <w:tcW w:w="629" w:type="pct"/>
            <w:noWrap/>
            <w:vAlign w:val="center"/>
          </w:tcPr>
          <w:p w14:paraId="5D4AF15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3.150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{"citationID":"w70rpWXC","properties":{"formattedCitation":"\\super 16\\nosupersub{}","plainCitation":"16","noteIndex":0},"citationItems":[{"id":984,"uris":["http://zotero.org/users/17156447/items/SRHVBH99"],"itemData":{"id":984,"type":"article-journal","container-title":"Journal of Physical Chemistry B","DOI":"10.1021/jp9825664","ISSN":"1520-6106, 1520-5207","issue":"3","journalAbbreviation":"J. Phys. Chem. B","language":"en","note":"343 citations (Crossref/DOI) [2025-05-29]\nJCR分区: Q3\n5年影响因子: 2.8\nTLDR: The relationship between the ionic conductivity and the sum of the diffusion coefficients of the lithium ion and the anion gives the degree of ion-pair formation and permits the roles of the solvents in the electrolytes to be clearly explained.","page":"519-524","source":"DOI.org (Crossref)","title":"Pulse-gradient spin-Echo&lt;sup&gt;1&lt;/sup&gt; H,&lt;sup&gt;7&lt;/sup&gt; li, and&lt;sup&gt;19&lt;/sup&gt; F NMR diffusion and ionic conductivity measurements of 14 organic electrolytes containing LiN(SO&lt;sub&gt;2&lt;/sub&gt; CF&lt;sub&gt;3&lt;/sub&gt; )&lt;sub&gt;2&lt;/sub&gt;","volume":"103","author":[{"family":"Hayamizu","given":"Kikuko"},{"family":"Aihara","given":"Yuichi"},{"family":"Arai","given":"Shigemasa"},{"family":"Martinez","given":"Cirilo Garcia"}],"issued":{"date-parts":[["1999",1,1]]}}}],"schema":"https://github.com/citation-style-language/schema/raw/master/csl-citation.json"}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16</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411" w:type="pct"/>
            <w:noWrap/>
            <w:vAlign w:val="center"/>
          </w:tcPr>
          <w:p w14:paraId="1F19A10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595" w:type="pct"/>
            <w:noWrap/>
            <w:vAlign w:val="center"/>
          </w:tcPr>
          <w:p w14:paraId="3542434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3.290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{"citationID":"G2R6bE20","properties":{"formattedCitation":"\\super 64\\nosupersub{}","plainCitation":"64","noteIndex":0},"citationItems":[{"id":982,"uris":["http://zotero.org/users/17156447/items/BNH2X55D"],"itemData":{"id":982,"type":"article-journal","container-title":"Journal of Physical Chemistry B","DOI":"10.1021/jp905220k","ISSN":"1520-6106, 1520-5207","issue":"33","journalAbbreviation":"J. Phys. Chem. B","language":"en","note":"601 citations (Crossref/DOI) [2025-05-28]\nJCR分区: Q3\n5年影响因子: 2.8\nTLDR: A connection between the structural changes in IL resulting from turning off polarization and slowing down of ion dynamics has been found and accurate description/prediction of thermodynamic and transport properties of alkanes, fluoroalkanes, oligoethers and dimethyl ketone is provided.","page":"11463-11478","source":"DOI.org (Crossref)","title":"Polarizable force field development and molecular dynamics simulations of ionic liquids","volume":"113","author":[{"family":"Borodin","given":"Oleg"}],"issued":{"date-parts":[["2009",8,20]]}}}],"schema":"https://github.com/citation-style-language/schema/raw/master/csl-citation.json"}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64</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r>
      <w:tr w14:paraId="0E029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noWrap/>
            <w:vAlign w:val="center"/>
          </w:tcPr>
          <w:p w14:paraId="30A6813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EC</w:t>
            </w:r>
          </w:p>
        </w:tc>
        <w:tc>
          <w:tcPr>
            <w:tcW w:w="675" w:type="pct"/>
            <w:noWrap/>
            <w:vAlign w:val="center"/>
          </w:tcPr>
          <w:p w14:paraId="7EB820E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0.0604 </w:t>
            </w:r>
          </w:p>
        </w:tc>
        <w:tc>
          <w:tcPr>
            <w:tcW w:w="891" w:type="pct"/>
            <w:noWrap/>
            <w:vAlign w:val="center"/>
          </w:tcPr>
          <w:p w14:paraId="78D221E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0.4375 </w:t>
            </w:r>
          </w:p>
        </w:tc>
        <w:tc>
          <w:tcPr>
            <w:tcW w:w="764" w:type="pct"/>
            <w:noWrap/>
            <w:vAlign w:val="center"/>
          </w:tcPr>
          <w:p w14:paraId="306C079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0.2938 </w:t>
            </w:r>
          </w:p>
        </w:tc>
        <w:tc>
          <w:tcPr>
            <w:tcW w:w="607" w:type="pct"/>
            <w:noWrap/>
            <w:vAlign w:val="center"/>
          </w:tcPr>
          <w:p w14:paraId="3B6D0AB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0.3164 </w:t>
            </w:r>
          </w:p>
        </w:tc>
        <w:tc>
          <w:tcPr>
            <w:tcW w:w="629" w:type="pct"/>
            <w:noWrap/>
            <w:vAlign w:val="center"/>
          </w:tcPr>
          <w:p w14:paraId="61420CC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0.800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{"citationID":"FfPJQVSS","properties":{"formattedCitation":"\\super 16\\nosupersub{}","plainCitation":"16","noteIndex":0},"citationItems":[{"id":984,"uris":["http://zotero.org/users/17156447/items/SRHVBH99"],"itemData":{"id":984,"type":"article-journal","container-title":"Journal of Physical Chemistry B","DOI":"10.1021/jp9825664","ISSN":"1520-6106, 1520-5207","issue":"3","journalAbbreviation":"J. Phys. Chem. B","language":"en","note":"343 citations (Crossref/DOI) [2025-05-29]\nJCR分区: Q3\n5年影响因子: 2.8\nTLDR: The relationship between the ionic conductivity and the sum of the diffusion coefficients of the lithium ion and the anion gives the degree of ion-pair formation and permits the roles of the solvents in the electrolytes to be clearly explained.","page":"519-524","source":"DOI.org (Crossref)","title":"Pulse-gradient spin-Echo&lt;sup&gt;1&lt;/sup&gt; H,&lt;sup&gt;7&lt;/sup&gt; li, and&lt;sup&gt;19&lt;/sup&gt; F NMR diffusion and ionic conductivity measurements of 14 organic electrolytes containing LiN(SO&lt;sub&gt;2&lt;/sub&gt; CF&lt;sub&gt;3&lt;/sub&gt; )&lt;sub&gt;2&lt;/sub&gt;","volume":"103","author":[{"family":"Hayamizu","given":"Kikuko"},{"family":"Aihara","given":"Yuichi"},{"family":"Arai","given":"Shigemasa"},{"family":"Martinez","given":"Cirilo Garcia"}],"issued":{"date-parts":[["1999",1,1]]}}}],"schema":"https://github.com/citation-style-language/schema/raw/master/csl-citation.json"}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16</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411" w:type="pct"/>
            <w:noWrap/>
            <w:vAlign w:val="center"/>
          </w:tcPr>
          <w:p w14:paraId="3DF08AB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0.482</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{"citationID":"ycVllMeK","properties":{"formattedCitation":"\\super 61\\nosupersub{}","plainCitation":"61","noteIndex":0},"citationItems":[{"id":935,"uris":["http://zotero.org/users/17156447/items/UJ4FXMRW"],"itemData":{"id":935,"type":"article-journal","abstract":"Liquid electrolytes are one of the most important components of Li-ion batteries, which are a critical technology of the modern world. However, we still lack the computational tools required to accurately calculate key properties of these materials (viscosity and ionic diffusivity) from first principles necessary to support improved designs. In this work, we report a machine learning-based force field for liquid electrolyte simulations, which bridges the gap between the accuracy of range-separated hybrid density functional theory and the efficiency of classical force fields. Predictions of material properties made with this force field are quantitatively accurate compared to experimental data. Our model uses the QRNN deep neural network architecture, which includes both long-range interactions and global charge equilibration. The training data set is composed solely of nonperiodic density functional theory (DFT), allowing the practical use of an accurate theory (here, ωB97X-D3BJ/def2-TZVPD), which would be prohibitively expensive for generating large data sets with periodic DFT. In this report, we focus on seven common carbonates and LiPF6, but this methodology has very few assumptions and can be readily applied to any liquid electrolyte system. This provides a promising path forward for large-scale atomistic modeling of many important battery chemistries.","container-title":"Journal of Physical Chemistry B","DOI":"10.1021/acs.jpcb.2c03746","ISSN":"1520-6106, 1520-5207","issue":"33","journalAbbreviation":"J. Phys. Chem. B","language":"en","license":"https://doi.org/10.15223/policy-029","note":"40 citations (Crossref/DOI) [2025-05-22]\n40 citations (Crossref/DOI) [2025-05-21]\nJCR分区: Q3\n5年影响因子: 2.8\nTLDR: A machine learning-based force field for liquid electrolyte simulations is reported, which bridges the gap between the accuracy of range-separated hybrid density functional theory and the efficiency of classical force fields.","page":"6271-6280","source":"DOI.org (Crossref)","title":"High-dimensional neural network potential for liquid electrolyte simulations","volume":"126","author":[{"family":"Dajnowicz","given":"Steven"},{"family":"Agarwal","given":"Garvit"},{"family":"Stevenson","given":"James M."},{"family":"Jacobson","given":"Leif D."},{"family":"Ramezanghorbani","given":"Farhad"},{"family":"Leswing","given":"Karl"},{"family":"Friesner","given":"Richard A."},{"family":"Halls","given":"Mathew D."},{"family":"Abel","given":"Robert"}],"issued":{"date-parts":[["2022",8,25]]}}}],"schema":"https://github.com/citation-style-language/schema/raw/master/csl-citation.json"}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61</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595" w:type="pct"/>
            <w:noWrap/>
            <w:vAlign w:val="center"/>
          </w:tcPr>
          <w:p w14:paraId="5005EA8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0.780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{"citationID":"YLvuC9IX","properties":{"formattedCitation":"\\super 64\\nosupersub{}","plainCitation":"64","noteIndex":0},"citationItems":[{"id":982,"uris":["http://zotero.org/users/17156447/items/BNH2X55D"],"itemData":{"id":982,"type":"article-journal","container-title":"Journal of Physical Chemistry B","DOI":"10.1021/jp905220k","ISSN":"1520-6106, 1520-5207","issue":"33","journalAbbreviation":"J. Phys. Chem. B","language":"en","note":"601 citations (Crossref/DOI) [2025-05-28]\nJCR分区: Q3\n5年影响因子: 2.8\nTLDR: A connection between the structural changes in IL resulting from turning off polarization and slowing down of ion dynamics has been found and accurate description/prediction of thermodynamic and transport properties of alkanes, fluoroalkanes, oligoethers and dimethyl ketone is provided.","page":"11463-11478","source":"DOI.org (Crossref)","title":"Polarizable force field development and molecular dynamics simulations of ionic liquids","volume":"113","author":[{"family":"Borodin","given":"Oleg"}],"issued":{"date-parts":[["2009",8,20]]}}}],"schema":"https://github.com/citation-style-language/schema/raw/master/csl-citation.json"}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64</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r>
      <w:tr w14:paraId="1C62D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noWrap/>
            <w:vAlign w:val="center"/>
          </w:tcPr>
          <w:p w14:paraId="153E80D6">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FEC</w:t>
            </w:r>
          </w:p>
        </w:tc>
        <w:tc>
          <w:tcPr>
            <w:tcW w:w="675" w:type="pct"/>
            <w:noWrap/>
            <w:vAlign w:val="center"/>
          </w:tcPr>
          <w:p w14:paraId="19E150C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0.0781 </w:t>
            </w:r>
          </w:p>
        </w:tc>
        <w:tc>
          <w:tcPr>
            <w:tcW w:w="891" w:type="pct"/>
            <w:noWrap/>
            <w:vAlign w:val="center"/>
          </w:tcPr>
          <w:p w14:paraId="73E3F31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0.4167 </w:t>
            </w:r>
          </w:p>
        </w:tc>
        <w:tc>
          <w:tcPr>
            <w:tcW w:w="764" w:type="pct"/>
            <w:noWrap/>
            <w:vAlign w:val="center"/>
          </w:tcPr>
          <w:p w14:paraId="0AF1F10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0.3131 </w:t>
            </w:r>
          </w:p>
        </w:tc>
        <w:tc>
          <w:tcPr>
            <w:tcW w:w="607" w:type="pct"/>
            <w:noWrap/>
            <w:vAlign w:val="center"/>
          </w:tcPr>
          <w:p w14:paraId="7EB794F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0.1987 </w:t>
            </w:r>
          </w:p>
        </w:tc>
        <w:tc>
          <w:tcPr>
            <w:tcW w:w="629" w:type="pct"/>
            <w:noWrap/>
            <w:vAlign w:val="center"/>
          </w:tcPr>
          <w:p w14:paraId="63DBC81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0.127</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{"citationID":"UNEW2th2","properties":{"formattedCitation":"\\super 58\\nosupersub{}","plainCitation":"58","noteIndex":0},"citationItems":[{"id":944,"uris":["http://zotero.org/users/17156447/items/GWDINLQB"],"itemData":{"id":944,"type":"article-journal","abstract":"Abstract\n            \n              Micro-sized silicon anodes can significantly increase the energy density of lithium-ion batteries with low cost. However, the large silicon volume changes during cycling cause cracks for both organic-inorganic interphases and silicon particles. The liquid electrolytes further penetrate the cracked silicon particles and reform the interphases, resulting in huge electrode swelling and quick capacity decay. Here we resolve these challenges by designing a high-voltage electrolyte that forms silicon-phobic interphases with weak bonding to lithium-silicon alloys. The designed electrolyte enables micro-sized silicon anodes (5 µm, 4.1 mAh cm\n              −2\n              ) to achieve a Coulombic efficiency of 99.8% and capacity of 2175 mAh g\n              −1\n              for &gt;250 cycles and enable 100 mAh LiNi\n              0.8\n              Co\n              0.15\n              Al\n              0.05\n              O\n              2\n              pouch full cells to deliver a high capacity of 172 mAh g\n              −1\n              for 120 cycles with Coulombic efficiency of &gt;99.9%. The high-voltage electrolytes that are capable of forming silicon-phobic interphases pave new ways for the commercialization of lithium-ion batteries using micro-sized silicon anodes.","container-title":"Nature Communications","DOI":"10.1038/s41467-024-45374-0","ISSN":"2041-1723","issue":"1","journalAbbreviation":"Nat. Commun.","language":"en","note":"48 citations (Crossref/DOI) [2025-05-22]\n48 citations (Crossref/DOI) [2025-05-21]\nJCR分区: Q1\n5年影响因子: 16.1","page":"1206","source":"DOI.org (Crossref)","title":"High voltage electrolytes for lithium-ion batteries with micro-sized silicon anodes","volume":"15","author":[{"family":"Li","given":"Ai-Min"},{"family":"Wang","given":"Zeyi"},{"family":"Pollard","given":"Travis P."},{"family":"Zhang","given":"Weiran"},{"family":"Tan","given":"Sha"},{"family":"Li","given":"Tianyu"},{"family":"Jayawardana","given":"Chamithri"},{"family":"Liou","given":"Sz-Chian"},{"family":"Rao","given":"Jiancun"},{"family":"Lucht","given":"Brett L."},{"family":"Hu","given":"Enyuan"},{"family":"Yang","given":"Xiao-Qing"},{"family":"Borodin","given":"Oleg"},{"family":"Wang","given":"Chunsheng"}],"issued":{"date-parts":[["2024",2,8]]}}}],"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58</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411" w:type="pct"/>
            <w:noWrap/>
            <w:vAlign w:val="center"/>
          </w:tcPr>
          <w:p w14:paraId="0198D37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0.365</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{"citationID":"VAVl9o9Y","properties":{"formattedCitation":"\\super 61\\nosupersub{}","plainCitation":"61","noteIndex":0},"citationItems":[{"id":935,"uris":["http://zotero.org/users/17156447/items/UJ4FXMRW"],"itemData":{"id":935,"type":"article-journal","abstract":"Liquid electrolytes are one of the most important components of Li-ion batteries, which are a critical technology of the modern world. However, we still lack the computational tools required to accurately calculate key properties of these materials (viscosity and ionic diffusivity) from first principles necessary to support improved designs. In this work, we report a machine learning-based force field for liquid electrolyte simulations, which bridges the gap between the accuracy of range-separated hybrid density functional theory and the efficiency of classical force fields. Predictions of material properties made with this force field are quantitatively accurate compared to experimental data. Our model uses the QRNN deep neural network architecture, which includes both long-range interactions and global charge equilibration. The training data set is composed solely of nonperiodic density functional theory (DFT), allowing the practical use of an accurate theory (here, ωB97X-D3BJ/def2-TZVPD), which would be prohibitively expensive for generating large data sets with periodic DFT. In this report, we focus on seven common carbonates and LiPF6, but this methodology has very few assumptions and can be readily applied to any liquid electrolyte system. This provides a promising path forward for large-scale atomistic modeling of many important battery chemistries.","container-title":"Journal of Physical Chemistry B","DOI":"10.1021/acs.jpcb.2c03746","ISSN":"1520-6106, 1520-5207","issue":"33","journalAbbreviation":"J. Phys. Chem. B","language":"en","license":"https://doi.org/10.15223/policy-029","note":"40 citations (Crossref/DOI) [2025-05-22]\n40 citations (Crossref/DOI) [2025-05-21]\nJCR分区: Q3\n5年影响因子: 2.8\nTLDR: A machine learning-based force field for liquid electrolyte simulations is reported, which bridges the gap between the accuracy of range-separated hybrid density functional theory and the efficiency of classical force fields.","page":"6271-6280","source":"DOI.org (Crossref)","title":"High-dimensional neural network potential for liquid electrolyte simulations","volume":"126","author":[{"family":"Dajnowicz","given":"Steven"},{"family":"Agarwal","given":"Garvit"},{"family":"Stevenson","given":"James M."},{"family":"Jacobson","given":"Leif D."},{"family":"Ramezanghorbani","given":"Farhad"},{"family":"Leswing","given":"Karl"},{"family":"Friesner","given":"Richard A."},{"family":"Halls","given":"Mathew D."},{"family":"Abel","given":"Robert"}],"issued":{"date-parts":[["2022",8,25]]}}}],"schema":"https://github.com/citation-style-language/schema/raw/master/csl-citation.json"}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61</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595" w:type="pct"/>
            <w:noWrap/>
            <w:vAlign w:val="center"/>
          </w:tcPr>
          <w:p w14:paraId="5EF5F27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r w14:paraId="4BC98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noWrap/>
            <w:vAlign w:val="center"/>
          </w:tcPr>
          <w:p w14:paraId="1677B84A">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EMC</w:t>
            </w:r>
          </w:p>
        </w:tc>
        <w:tc>
          <w:tcPr>
            <w:tcW w:w="675" w:type="pct"/>
            <w:noWrap/>
            <w:vAlign w:val="center"/>
          </w:tcPr>
          <w:p w14:paraId="09E59D5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0.5460 </w:t>
            </w:r>
          </w:p>
        </w:tc>
        <w:tc>
          <w:tcPr>
            <w:tcW w:w="891" w:type="pct"/>
            <w:noWrap/>
            <w:vAlign w:val="center"/>
          </w:tcPr>
          <w:p w14:paraId="48D1DDC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0.4137 </w:t>
            </w:r>
          </w:p>
        </w:tc>
        <w:tc>
          <w:tcPr>
            <w:tcW w:w="764" w:type="pct"/>
            <w:noWrap/>
            <w:vAlign w:val="center"/>
          </w:tcPr>
          <w:p w14:paraId="36353C6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0.5822 </w:t>
            </w:r>
          </w:p>
        </w:tc>
        <w:tc>
          <w:tcPr>
            <w:tcW w:w="607" w:type="pct"/>
            <w:noWrap/>
            <w:vAlign w:val="center"/>
          </w:tcPr>
          <w:p w14:paraId="335C49D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0.9150 </w:t>
            </w:r>
          </w:p>
        </w:tc>
        <w:tc>
          <w:tcPr>
            <w:tcW w:w="629" w:type="pct"/>
            <w:noWrap/>
            <w:vAlign w:val="center"/>
          </w:tcPr>
          <w:p w14:paraId="7688821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11" w:type="pct"/>
            <w:noWrap/>
            <w:vAlign w:val="center"/>
          </w:tcPr>
          <w:p w14:paraId="6DF3517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1.950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{"citationID":"GjrL8arZ","properties":{"formattedCitation":"\\super 61\\nosupersub{}","plainCitation":"61","noteIndex":0},"citationItems":[{"id":935,"uris":["http://zotero.org/users/17156447/items/UJ4FXMRW"],"itemData":{"id":935,"type":"article-journal","abstract":"Liquid electrolytes are one of the most important components of Li-ion batteries, which are a critical technology of the modern world. However, we still lack the computational tools required to accurately calculate key properties of these materials (viscosity and ionic diffusivity) from first principles necessary to support improved designs. In this work, we report a machine learning-based force field for liquid electrolyte simulations, which bridges the gap between the accuracy of range-separated hybrid density functional theory and the efficiency of classical force fields. Predictions of material properties made with this force field are quantitatively accurate compared to experimental data. Our model uses the QRNN deep neural network architecture, which includes both long-range interactions and global charge equilibration. The training data set is composed solely of nonperiodic density functional theory (DFT), allowing the practical use of an accurate theory (here, ωB97X-D3BJ/def2-TZVPD), which would be prohibitively expensive for generating large data sets with periodic DFT. In this report, we focus on seven common carbonates and LiPF6, but this methodology has very few assumptions and can be readily applied to any liquid electrolyte system. This provides a promising path forward for large-scale atomistic modeling of many important battery chemistries.","container-title":"Journal of Physical Chemistry B","DOI":"10.1021/acs.jpcb.2c03746","ISSN":"1520-6106, 1520-5207","issue":"33","journalAbbreviation":"J. Phys. Chem. B","language":"en","license":"https://doi.org/10.15223/policy-029","note":"40 citations (Crossref/DOI) [2025-05-22]\n40 citations (Crossref/DOI) [2025-05-21]\nJCR分区: Q3\n5年影响因子: 2.8\nTLDR: A machine learning-based force field for liquid electrolyte simulations is reported, which bridges the gap between the accuracy of range-separated hybrid density functional theory and the efficiency of classical force fields.","page":"6271-6280","source":"DOI.org (Crossref)","title":"High-dimensional neural network potential for liquid electrolyte simulations","volume":"126","author":[{"family":"Dajnowicz","given":"Steven"},{"family":"Agarwal","given":"Garvit"},{"family":"Stevenson","given":"James M."},{"family":"Jacobson","given":"Leif D."},{"family":"Ramezanghorbani","given":"Farhad"},{"family":"Leswing","given":"Karl"},{"family":"Friesner","given":"Richard A."},{"family":"Halls","given":"Mathew D."},{"family":"Abel","given":"Robert"}],"issued":{"date-parts":[["2022",8,25]]}}}],"schema":"https://github.com/citation-style-language/schema/raw/master/csl-citation.json"}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61</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595" w:type="pct"/>
            <w:noWrap/>
            <w:vAlign w:val="center"/>
          </w:tcPr>
          <w:p w14:paraId="2A8858F5">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r w14:paraId="5109B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noWrap/>
            <w:vAlign w:val="center"/>
          </w:tcPr>
          <w:p w14:paraId="0C68A59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DMC</w:t>
            </w:r>
          </w:p>
        </w:tc>
        <w:tc>
          <w:tcPr>
            <w:tcW w:w="675" w:type="pct"/>
            <w:noWrap/>
            <w:vAlign w:val="center"/>
          </w:tcPr>
          <w:p w14:paraId="25A571D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1.0320 </w:t>
            </w:r>
          </w:p>
        </w:tc>
        <w:tc>
          <w:tcPr>
            <w:tcW w:w="891" w:type="pct"/>
            <w:noWrap/>
            <w:vAlign w:val="center"/>
          </w:tcPr>
          <w:p w14:paraId="570D12B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0.6016 </w:t>
            </w:r>
          </w:p>
        </w:tc>
        <w:tc>
          <w:tcPr>
            <w:tcW w:w="764" w:type="pct"/>
            <w:noWrap/>
            <w:vAlign w:val="center"/>
          </w:tcPr>
          <w:p w14:paraId="2B9470A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0.7617 </w:t>
            </w:r>
          </w:p>
        </w:tc>
        <w:tc>
          <w:tcPr>
            <w:tcW w:w="607" w:type="pct"/>
            <w:noWrap/>
            <w:vAlign w:val="center"/>
          </w:tcPr>
          <w:p w14:paraId="78B316B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1.5730 </w:t>
            </w:r>
          </w:p>
        </w:tc>
        <w:tc>
          <w:tcPr>
            <w:tcW w:w="629" w:type="pct"/>
            <w:noWrap/>
            <w:vAlign w:val="center"/>
          </w:tcPr>
          <w:p w14:paraId="097AD54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2.600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{"citationID":"h48K2B9l","properties":{"formattedCitation":"\\super 16\\nosupersub{}","plainCitation":"16","noteIndex":0},"citationItems":[{"id":984,"uris":["http://zotero.org/users/17156447/items/SRHVBH99"],"itemData":{"id":984,"type":"article-journal","container-title":"Journal of Physical Chemistry B","DOI":"10.1021/jp9825664","ISSN":"1520-6106, 1520-5207","issue":"3","journalAbbreviation":"J. Phys. Chem. B","language":"en","note":"343 citations (Crossref/DOI) [2025-05-29]\nJCR分区: Q3\n5年影响因子: 2.8\nTLDR: The relationship between the ionic conductivity and the sum of the diffusion coefficients of the lithium ion and the anion gives the degree of ion-pair formation and permits the roles of the solvents in the electrolytes to be clearly explained.","page":"519-524","source":"DOI.org (Crossref)","title":"Pulse-gradient spin-Echo&lt;sup&gt;1&lt;/sup&gt; H,&lt;sup&gt;7&lt;/sup&gt; li, and&lt;sup&gt;19&lt;/sup&gt; F NMR diffusion and ionic conductivity measurements of 14 organic electrolytes containing LiN(SO&lt;sub&gt;2&lt;/sub&gt; CF&lt;sub&gt;3&lt;/sub&gt; )&lt;sub&gt;2&lt;/sub&gt;","volume":"103","author":[{"family":"Hayamizu","given":"Kikuko"},{"family":"Aihara","given":"Yuichi"},{"family":"Arai","given":"Shigemasa"},{"family":"Martinez","given":"Cirilo Garcia"}],"issued":{"date-parts":[["1999",1,1]]}}}],"schema":"https://github.com/citation-style-language/schema/raw/master/csl-citation.json"}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16</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411" w:type="pct"/>
            <w:noWrap/>
            <w:vAlign w:val="center"/>
          </w:tcPr>
          <w:p w14:paraId="4854CF3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2.320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{"citationID":"4it8p7aR","properties":{"formattedCitation":"\\super 61\\nosupersub{}","plainCitation":"61","noteIndex":0},"citationItems":[{"id":935,"uris":["http://zotero.org/users/17156447/items/UJ4FXMRW"],"itemData":{"id":935,"type":"article-journal","abstract":"Liquid electrolytes are one of the most important components of Li-ion batteries, which are a critical technology of the modern world. However, we still lack the computational tools required to accurately calculate key properties of these materials (viscosity and ionic diffusivity) from first principles necessary to support improved designs. In this work, we report a machine learning-based force field for liquid electrolyte simulations, which bridges the gap between the accuracy of range-separated hybrid density functional theory and the efficiency of classical force fields. Predictions of material properties made with this force field are quantitatively accurate compared to experimental data. Our model uses the QRNN deep neural network architecture, which includes both long-range interactions and global charge equilibration. The training data set is composed solely of nonperiodic density functional theory (DFT), allowing the practical use of an accurate theory (here, ωB97X-D3BJ/def2-TZVPD), which would be prohibitively expensive for generating large data sets with periodic DFT. In this report, we focus on seven common carbonates and LiPF6, but this methodology has very few assumptions and can be readily applied to any liquid electrolyte system. This provides a promising path forward for large-scale atomistic modeling of many important battery chemistries.","container-title":"Journal of Physical Chemistry B","DOI":"10.1021/acs.jpcb.2c03746","ISSN":"1520-6106, 1520-5207","issue":"33","journalAbbreviation":"J. Phys. Chem. B","language":"en","license":"https://doi.org/10.15223/policy-029","note":"40 citations (Crossref/DOI) [2025-05-22]\n40 citations (Crossref/DOI) [2025-05-21]\nJCR分区: Q3\n5年影响因子: 2.8\nTLDR: A machine learning-based force field for liquid electrolyte simulations is reported, which bridges the gap between the accuracy of range-separated hybrid density functional theory and the efficiency of classical force fields.","page":"6271-6280","source":"DOI.org (Crossref)","title":"High-dimensional neural network potential for liquid electrolyte simulations","volume":"126","author":[{"family":"Dajnowicz","given":"Steven"},{"family":"Agarwal","given":"Garvit"},{"family":"Stevenson","given":"James M."},{"family":"Jacobson","given":"Leif D."},{"family":"Ramezanghorbani","given":"Farhad"},{"family":"Leswing","given":"Karl"},{"family":"Friesner","given":"Richard A."},{"family":"Halls","given":"Mathew D."},{"family":"Abel","given":"Robert"}],"issued":{"date-parts":[["2022",8,25]]}}}],"schema":"https://github.com/citation-style-language/schema/raw/master/csl-citation.json"}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61</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595" w:type="pct"/>
            <w:noWrap/>
            <w:vAlign w:val="center"/>
          </w:tcPr>
          <w:p w14:paraId="789D992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2.200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{"citationID":"nzvBn6o4","properties":{"formattedCitation":"\\super 64\\nosupersub{}","plainCitation":"64","noteIndex":0},"citationItems":[{"id":982,"uris":["http://zotero.org/users/17156447/items/BNH2X55D"],"itemData":{"id":982,"type":"article-journal","container-title":"Journal of Physical Chemistry B","DOI":"10.1021/jp905220k","ISSN":"1520-6106, 1520-5207","issue":"33","journalAbbreviation":"J. Phys. Chem. B","language":"en","note":"601 citations (Crossref/DOI) [2025-05-28]\nJCR分区: Q3\n5年影响因子: 2.8\nTLDR: A connection between the structural changes in IL resulting from turning off polarization and slowing down of ion dynamics has been found and accurate description/prediction of thermodynamic and transport properties of alkanes, fluoroalkanes, oligoethers and dimethyl ketone is provided.","page":"11463-11478","source":"DOI.org (Crossref)","title":"Polarizable force field development and molecular dynamics simulations of ionic liquids","volume":"113","author":[{"family":"Borodin","given":"Oleg"}],"issued":{"date-parts":[["2009",8,20]]}}}],"schema":"https://github.com/citation-style-language/schema/raw/master/csl-citation.json"}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64</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r>
      <w:tr w14:paraId="2286A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noWrap/>
            <w:vAlign w:val="center"/>
          </w:tcPr>
          <w:p w14:paraId="7DE19B1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PSF</w:t>
            </w:r>
          </w:p>
        </w:tc>
        <w:tc>
          <w:tcPr>
            <w:tcW w:w="675" w:type="pct"/>
            <w:noWrap/>
            <w:vAlign w:val="center"/>
          </w:tcPr>
          <w:p w14:paraId="5306D0D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0.0246 </w:t>
            </w:r>
          </w:p>
        </w:tc>
        <w:tc>
          <w:tcPr>
            <w:tcW w:w="891" w:type="pct"/>
            <w:noWrap/>
            <w:vAlign w:val="center"/>
          </w:tcPr>
          <w:p w14:paraId="47859C4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0.0084 </w:t>
            </w:r>
          </w:p>
        </w:tc>
        <w:tc>
          <w:tcPr>
            <w:tcW w:w="764" w:type="pct"/>
            <w:noWrap/>
            <w:vAlign w:val="center"/>
          </w:tcPr>
          <w:p w14:paraId="6BC9D63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0.0717 </w:t>
            </w:r>
          </w:p>
        </w:tc>
        <w:tc>
          <w:tcPr>
            <w:tcW w:w="607" w:type="pct"/>
            <w:noWrap/>
            <w:vAlign w:val="center"/>
          </w:tcPr>
          <w:p w14:paraId="392AF3B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0.5288 </w:t>
            </w:r>
          </w:p>
        </w:tc>
        <w:tc>
          <w:tcPr>
            <w:tcW w:w="629" w:type="pct"/>
            <w:noWrap/>
            <w:vAlign w:val="center"/>
          </w:tcPr>
          <w:p w14:paraId="3FD3715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0.431</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{"citationID":"sXwUgBSj","properties":{"formattedCitation":"\\super 26\\nosupersub{}","plainCitation":"26","noteIndex":0},"citationItems":[{"id":1319,"uris":["http://zotero.org/users/17156447/items/5ILW38C5"],"itemData":{"id":1319,"type":"article-journal","abstract":"Abstract\n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26</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411" w:type="pct"/>
            <w:noWrap/>
            <w:vAlign w:val="center"/>
          </w:tcPr>
          <w:p w14:paraId="2DAFFE9B">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595" w:type="pct"/>
            <w:noWrap/>
            <w:vAlign w:val="center"/>
          </w:tcPr>
          <w:p w14:paraId="53C75EA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r w14:paraId="54951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noWrap/>
            <w:vAlign w:val="center"/>
          </w:tcPr>
          <w:p w14:paraId="23C3342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TPSF</w:t>
            </w:r>
          </w:p>
        </w:tc>
        <w:tc>
          <w:tcPr>
            <w:tcW w:w="675" w:type="pct"/>
            <w:noWrap/>
            <w:vAlign w:val="center"/>
          </w:tcPr>
          <w:p w14:paraId="12B47A8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0.0357 </w:t>
            </w:r>
          </w:p>
        </w:tc>
        <w:tc>
          <w:tcPr>
            <w:tcW w:w="891" w:type="pct"/>
            <w:noWrap/>
            <w:vAlign w:val="center"/>
          </w:tcPr>
          <w:p w14:paraId="30CCABD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0.0048 </w:t>
            </w:r>
          </w:p>
        </w:tc>
        <w:tc>
          <w:tcPr>
            <w:tcW w:w="764" w:type="pct"/>
            <w:noWrap/>
            <w:vAlign w:val="center"/>
          </w:tcPr>
          <w:p w14:paraId="36EA009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0.0744 </w:t>
            </w:r>
          </w:p>
        </w:tc>
        <w:tc>
          <w:tcPr>
            <w:tcW w:w="607" w:type="pct"/>
            <w:noWrap/>
            <w:vAlign w:val="center"/>
          </w:tcPr>
          <w:p w14:paraId="4A24BF3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0.4440 </w:t>
            </w:r>
          </w:p>
        </w:tc>
        <w:tc>
          <w:tcPr>
            <w:tcW w:w="629" w:type="pct"/>
            <w:noWrap/>
            <w:vAlign w:val="center"/>
          </w:tcPr>
          <w:p w14:paraId="7EC8D3E8">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0.150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{"citationID":"OOs42A1H","properties":{"formattedCitation":"\\super 26\\nosupersub{}","plainCitation":"26","noteIndex":0},"citationItems":[{"id":1319,"uris":["http://zotero.org/users/17156447/items/5ILW38C5"],"itemData":{"id":1319,"type":"article-journal","abstract":"Abstract\n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26</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411" w:type="pct"/>
            <w:noWrap/>
            <w:vAlign w:val="center"/>
          </w:tcPr>
          <w:p w14:paraId="79766230">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595" w:type="pct"/>
            <w:noWrap/>
            <w:vAlign w:val="center"/>
          </w:tcPr>
          <w:p w14:paraId="4DA1D5D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r w14:paraId="284A9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noWrap/>
            <w:vAlign w:val="center"/>
          </w:tcPr>
          <w:p w14:paraId="75FCA5A3">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DOL</w:t>
            </w:r>
          </w:p>
        </w:tc>
        <w:tc>
          <w:tcPr>
            <w:tcW w:w="675" w:type="pct"/>
            <w:noWrap/>
            <w:vAlign w:val="center"/>
          </w:tcPr>
          <w:p w14:paraId="786B5B44">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1.3800 </w:t>
            </w:r>
          </w:p>
        </w:tc>
        <w:tc>
          <w:tcPr>
            <w:tcW w:w="891" w:type="pct"/>
            <w:noWrap/>
            <w:vAlign w:val="center"/>
          </w:tcPr>
          <w:p w14:paraId="4999460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0.9803 </w:t>
            </w:r>
          </w:p>
        </w:tc>
        <w:tc>
          <w:tcPr>
            <w:tcW w:w="764" w:type="pct"/>
            <w:noWrap/>
            <w:vAlign w:val="center"/>
          </w:tcPr>
          <w:p w14:paraId="18212E6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1.2980 </w:t>
            </w:r>
          </w:p>
        </w:tc>
        <w:tc>
          <w:tcPr>
            <w:tcW w:w="607" w:type="pct"/>
            <w:noWrap/>
            <w:vAlign w:val="center"/>
          </w:tcPr>
          <w:p w14:paraId="4BFECCEF">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1.3750 </w:t>
            </w:r>
          </w:p>
        </w:tc>
        <w:tc>
          <w:tcPr>
            <w:tcW w:w="629" w:type="pct"/>
            <w:noWrap/>
            <w:vAlign w:val="center"/>
          </w:tcPr>
          <w:p w14:paraId="0908D5A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2.550</w:t>
            </w:r>
            <w:r>
              <w:rPr>
                <w:rFonts w:ascii="Times New Roman" w:hAnsi="Times New Roman" w:eastAsia="等线" w:cs="Times New Roman"/>
                <w:color w:val="000000"/>
                <w:kern w:val="0"/>
                <w:szCs w:val="21"/>
              </w:rPr>
              <w:fldChar w:fldCharType="begin"/>
            </w:r>
            <w:r>
              <w:rPr>
                <w:rFonts w:ascii="Times New Roman" w:hAnsi="Times New Roman" w:eastAsia="等线" w:cs="Times New Roman"/>
                <w:color w:val="000000"/>
                <w:kern w:val="0"/>
                <w:szCs w:val="21"/>
              </w:rPr>
              <w:instrText xml:space="preserve"> ADDIN ZOTERO_ITEM CSL_CITATION {"citationID":"do6hCrIE","properties":{"formattedCitation":"\\super 16\\nosupersub{}","plainCitation":"16","noteIndex":0},"citationItems":[{"id":984,"uris":["http://zotero.org/users/17156447/items/SRHVBH99"],"itemData":{"id":984,"type":"article-journal","container-title":"Journal of Physical Chemistry B","DOI":"10.1021/jp9825664","ISSN":"1520-6106, 1520-5207","issue":"3","journalAbbreviation":"J. Phys. Chem. B","language":"en","note":"343 citations (Crossref/DOI) [2025-05-29]\nJCR分区: Q3\n5年影响因子: 2.8\nTLDR: The relationship between the ionic conductivity and the sum of the diffusion coefficients of the lithium ion and the anion gives the degree of ion-pair formation and permits the roles of the solvents in the electrolytes to be clearly explained.","page":"519-524","source":"DOI.org (Crossref)","title":"Pulse-gradient spin-Echo&lt;sup&gt;1&lt;/sup&gt; H,&lt;sup&gt;7&lt;/sup&gt; li, and&lt;sup&gt;19&lt;/sup&gt; F NMR diffusion and ionic conductivity measurements of 14 organic electrolytes containing LiN(SO&lt;sub&gt;2&lt;/sub&gt; CF&lt;sub&gt;3&lt;/sub&gt; )&lt;sub&gt;2&lt;/sub&gt;","volume":"103","author":[{"family":"Hayamizu","given":"Kikuko"},{"family":"Aihara","given":"Yuichi"},{"family":"Arai","given":"Shigemasa"},{"family":"Martinez","given":"Cirilo Garcia"}],"issued":{"date-parts":[["1999",1,1]]}}}],"schema":"https://github.com/citation-style-language/schema/raw/master/csl-citation.json"} </w:instrText>
            </w:r>
            <w:r>
              <w:rPr>
                <w:rFonts w:ascii="Times New Roman" w:hAnsi="Times New Roman" w:eastAsia="等线" w:cs="Times New Roman"/>
                <w:color w:val="000000"/>
                <w:kern w:val="0"/>
                <w:szCs w:val="21"/>
              </w:rPr>
              <w:fldChar w:fldCharType="separate"/>
            </w:r>
            <w:r>
              <w:rPr>
                <w:rFonts w:ascii="Times New Roman" w:hAnsi="Times New Roman" w:eastAsia="等线" w:cs="Times New Roman"/>
                <w:kern w:val="0"/>
                <w:vertAlign w:val="superscript"/>
              </w:rPr>
              <w:t>16</w:t>
            </w:r>
            <w:r>
              <w:rPr>
                <w:rFonts w:ascii="Times New Roman" w:hAnsi="Times New Roman" w:eastAsia="等线" w:cs="Times New Roman"/>
                <w:color w:val="000000"/>
                <w:kern w:val="0"/>
                <w:szCs w:val="21"/>
              </w:rPr>
              <w:fldChar w:fldCharType="end"/>
            </w:r>
            <w:r>
              <w:rPr>
                <w:rFonts w:ascii="Times New Roman" w:hAnsi="Times New Roman" w:eastAsia="等线" w:cs="Times New Roman"/>
                <w:color w:val="000000"/>
                <w:kern w:val="0"/>
                <w:szCs w:val="21"/>
              </w:rPr>
              <w:t xml:space="preserve"> </w:t>
            </w:r>
          </w:p>
        </w:tc>
        <w:tc>
          <w:tcPr>
            <w:tcW w:w="411" w:type="pct"/>
            <w:noWrap/>
            <w:vAlign w:val="center"/>
          </w:tcPr>
          <w:p w14:paraId="32F91F91">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595" w:type="pct"/>
            <w:noWrap/>
            <w:vAlign w:val="center"/>
          </w:tcPr>
          <w:p w14:paraId="1A3CC47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r w14:paraId="4ACD5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8" w:type="pct"/>
            <w:noWrap/>
            <w:vAlign w:val="center"/>
          </w:tcPr>
          <w:p w14:paraId="5055274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TFEO</w:t>
            </w:r>
          </w:p>
        </w:tc>
        <w:tc>
          <w:tcPr>
            <w:tcW w:w="675" w:type="pct"/>
            <w:noWrap/>
            <w:vAlign w:val="center"/>
          </w:tcPr>
          <w:p w14:paraId="6DD0FDAC">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0.1418 </w:t>
            </w:r>
          </w:p>
        </w:tc>
        <w:tc>
          <w:tcPr>
            <w:tcW w:w="891" w:type="pct"/>
            <w:noWrap/>
            <w:vAlign w:val="center"/>
          </w:tcPr>
          <w:p w14:paraId="05A0ADBE">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0.1300 </w:t>
            </w:r>
          </w:p>
        </w:tc>
        <w:tc>
          <w:tcPr>
            <w:tcW w:w="764" w:type="pct"/>
            <w:noWrap/>
            <w:vAlign w:val="center"/>
          </w:tcPr>
          <w:p w14:paraId="0036080D">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0.1286 </w:t>
            </w:r>
          </w:p>
        </w:tc>
        <w:tc>
          <w:tcPr>
            <w:tcW w:w="607" w:type="pct"/>
            <w:noWrap/>
            <w:vAlign w:val="center"/>
          </w:tcPr>
          <w:p w14:paraId="33DF8CC7">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 xml:space="preserve">0.1712 </w:t>
            </w:r>
          </w:p>
        </w:tc>
        <w:tc>
          <w:tcPr>
            <w:tcW w:w="629" w:type="pct"/>
            <w:noWrap/>
            <w:vAlign w:val="center"/>
          </w:tcPr>
          <w:p w14:paraId="22286EA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411" w:type="pct"/>
            <w:noWrap/>
            <w:vAlign w:val="center"/>
          </w:tcPr>
          <w:p w14:paraId="042A0C62">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595" w:type="pct"/>
            <w:noWrap/>
            <w:vAlign w:val="center"/>
          </w:tcPr>
          <w:p w14:paraId="5C29CDE9">
            <w:pPr>
              <w:widowControl/>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r>
    </w:tbl>
    <w:p w14:paraId="430F3DEE">
      <w:pPr>
        <w:widowControl/>
        <w:adjustRightInd w:val="0"/>
        <w:snapToGrid w:val="0"/>
        <w:spacing w:after="156" w:afterLines="50" w:line="360" w:lineRule="auto"/>
        <w:rPr>
          <w:rFonts w:ascii="Times New Roman" w:hAnsi="Times New Roman" w:eastAsia="宋体" w:cs="Times New Roman"/>
          <w:sz w:val="24"/>
          <w:szCs w:val="24"/>
        </w:rPr>
      </w:pPr>
    </w:p>
    <w:p w14:paraId="3AC79F24">
      <w:pPr>
        <w:widowControl/>
        <w:adjustRightInd w:val="0"/>
        <w:snapToGrid w:val="0"/>
        <w:spacing w:after="156" w:afterLines="50" w:line="360" w:lineRule="auto"/>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1730ED17">
      <w:pPr>
        <w:widowControl/>
        <w:adjustRightInd w:val="0"/>
        <w:snapToGrid w:val="0"/>
        <w:spacing w:after="156" w:afterLines="50" w:line="360" w:lineRule="auto"/>
        <w:rPr>
          <w:rFonts w:ascii="Times New Roman" w:hAnsi="Times New Roman" w:eastAsia="宋体" w:cs="Times New Roman"/>
          <w:sz w:val="24"/>
          <w:szCs w:val="24"/>
        </w:rPr>
        <w:sectPr>
          <w:type w:val="continuous"/>
          <w:pgSz w:w="15842" w:h="12242" w:orient="landscape"/>
          <w:pgMar w:top="1797" w:right="1440" w:bottom="1797" w:left="1440" w:header="851" w:footer="992" w:gutter="0"/>
          <w:cols w:space="425" w:num="1"/>
          <w:docGrid w:type="lines" w:linePitch="312" w:charSpace="0"/>
        </w:sectPr>
      </w:pPr>
    </w:p>
    <w:p w14:paraId="1768A846">
      <w:pPr>
        <w:pStyle w:val="2"/>
        <w:spacing w:after="156"/>
        <w:rPr>
          <w:rFonts w:cs="Times New Roman" w:eastAsiaTheme="minorEastAsia"/>
        </w:rPr>
      </w:pPr>
      <w:bookmarkStart w:id="27" w:name="_Toc221108149"/>
      <w:r>
        <w:rPr>
          <w:rFonts w:cs="Times New Roman"/>
        </w:rPr>
        <w:t>Supplementary Note 6 | Polarization-Driven Li</w:t>
      </w:r>
      <w:r>
        <w:rPr>
          <w:rFonts w:cs="Times New Roman"/>
          <w:vertAlign w:val="superscript"/>
        </w:rPr>
        <w:t>+</w:t>
      </w:r>
      <w:r>
        <w:rPr>
          <w:rFonts w:cs="Times New Roman"/>
        </w:rPr>
        <w:t xml:space="preserve"> Solvation across Concentration Regimes</w:t>
      </w:r>
      <w:bookmarkEnd w:id="27"/>
    </w:p>
    <w:p w14:paraId="669E3A33">
      <w:pPr>
        <w:widowControl/>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5039995" cy="1856105"/>
            <wp:effectExtent l="0" t="0" r="8255" b="0"/>
            <wp:docPr id="6" name="图片 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图示&#10;&#10;AI 生成的内容可能不正确。"/>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040000" cy="1856393"/>
                    </a:xfrm>
                    <a:prstGeom prst="rect">
                      <a:avLst/>
                    </a:prstGeom>
                  </pic:spPr>
                </pic:pic>
              </a:graphicData>
            </a:graphic>
          </wp:inline>
        </w:drawing>
      </w:r>
    </w:p>
    <w:p w14:paraId="67420C85">
      <w:pPr>
        <w:widowControl/>
        <w:adjustRightInd w:val="0"/>
        <w:snapToGrid w:val="0"/>
        <w:spacing w:line="360" w:lineRule="auto"/>
        <w:rPr>
          <w:rFonts w:ascii="Times New Roman" w:hAnsi="Times New Roman" w:eastAsia="宋体" w:cs="Times New Roman"/>
          <w:sz w:val="24"/>
          <w:szCs w:val="24"/>
        </w:rPr>
      </w:pPr>
      <w:bookmarkStart w:id="28" w:name="_Toc221108150"/>
      <w:r>
        <w:rPr>
          <w:rStyle w:val="27"/>
          <w:rFonts w:cs="Times New Roman"/>
        </w:rPr>
        <w:t>Supplementary Fig. 7 | Simulation configurations for LiFSI:DME:TFEO ether-based system.</w:t>
      </w:r>
      <w:bookmarkEnd w:id="28"/>
      <w:r>
        <w:rPr>
          <w:rStyle w:val="27"/>
          <w:rFonts w:cs="Times New Roman"/>
        </w:rPr>
        <w:t xml:space="preserve"> </w:t>
      </w:r>
      <w:r>
        <w:rPr>
          <w:rFonts w:ascii="Times New Roman" w:hAnsi="Times New Roman" w:eastAsia="宋体" w:cs="Times New Roman"/>
          <w:sz w:val="24"/>
          <w:szCs w:val="24"/>
        </w:rPr>
        <w:t xml:space="preserve">Comprehensive overview of FF variants and MD simulation configurations for </w:t>
      </w:r>
      <w:r>
        <w:rPr>
          <w:rFonts w:ascii="Times New Roman" w:hAnsi="Times New Roman" w:cs="Times New Roman"/>
          <w:sz w:val="24"/>
          <w:szCs w:val="24"/>
        </w:rPr>
        <w:t>LiFSI:DME:TFEO electrolytes, neat solvent (DME), and neat diluent (TFEO)</w:t>
      </w:r>
      <w:r>
        <w:rPr>
          <w:rFonts w:ascii="Times New Roman" w:hAnsi="Times New Roman" w:eastAsia="宋体" w:cs="Times New Roman"/>
          <w:sz w:val="24"/>
          <w:szCs w:val="24"/>
        </w:rPr>
        <w:t>. This matrix of MD simulations spans 102 unique configurations, with molar ratios adopted from the literature.</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{"citationID":"hbmXOtL1","properties":{"formattedCitation":"\\super 12\\uc0\\u8211{}14\\nosupersub{}","plainCitation":"12–14","noteIndex":0},"citationItems":[{"id":101,"uris":["http://zotero.org/users/17156447/items/LI2VYUQ7"],"itemData":{"id":101,"type":"article-journal","container-title":"Nature Materials","DOI":"10.1038/s41563-023-01700-3","ISSN":"1476-1122, 1476-4660","issue":"12","journalAbbreviation":"Nat. Mater.","language":"en","note":"162 citations (Crossref/DOI) [2025-05-22]\n160 citations (Crossref/DOI) [2025-05-16]\n160 citations (Crossref/DOI) [2025-05-16]\n160 citations (Crossref/DOI) [2025-05-16]\nJCR分区: Q1\n中科院分区升级版: 材料科学1区\n影响因子: 37.2\n5年影响因子: 44.0\nEI: 是\n南农高质量: A","page":"1531-1539","source":"DOI.org (Crossref)","title":"Localized high-concentration electrolytes get more localized through micelle-like structures","volume":"22","author":[{"family":"Efaw","given":"Corey M."},{"family":"Wu","given":"Qisheng"},{"family":"Gao","given":"Ningshengjie"},{"family":"Zhang","given":"Yugang"},{"family":"Zhu","given":"Haoyu"},{"family":"Gering","given":"Kevin"},{"family":"Hurley","given":"Michael F."},{"family":"Xiong","given":"Hui"},{"family":"Hu","given":"Enyuan"},{"family":"Cao","given":"Xia"},{"family":"Xu","given":"Wu"},{"family":"Zhang","given":"Ji-Guang"},{"family":"Dufek","given":"Eric J."},{"family":"Xiao","given":"Jie"},{"family":"Yang","given":"Xiao-Qing"},{"family":"Liu","given":"Jun"},{"family":"Qi","given":"Yue"},{"family":"Li","given":"Bin"}],"issued":{"date-parts":[["2023",12]]}}},{"id":218,"uris":["http://zotero.org/users/17156447/items/Q3TP4JZN"],"itemData":{"id":218,"type":"article-journal","abstract":"Abstract\n            \n              Lithium metal is an ideal battery anode. However, dendrite growth and limited Coulombic efficiency during cycling have prevented its practical application in rechargeable batteries. Herein, we report that the use of highly concentrated electrolytes composed of ether solvents and the lithium bis(fluorosulfonyl)imide salt enables the high-rate cycling of a lithium metal anode at high Coulombic efficiency (up to 99.1%) without dendrite growth. With 4 M lithium bis(fluorosulfonyl)imide in 1,2-dimethoxyethane as the electrolyte, a lithium|lithium cell can be cycled at 10 mA cm\n              −2\n              for more than 6,000 cycles, and a copper|lithium cell can be cycled at 4 mA cm\n              −2\n              for more than 1,000 cycles with an average Coulombic efficiency of 98.4%. These excellent performances can be attributed to the increased solvent coordination and increased availability of lithium ion concentration in the electrolyte. Further development of this electrolyte may enable practical applications for lithium metal anode in rechargeable batteries.","container-title":"Nature Communications","DOI":"10.1038/ncomms7362","ISSN":"2041-1723","issue":"1","journalAbbreviation":"Nat. Commun.","language":"en","note":"2204 citations (Crossref/DOI) [2025-05-22]\n2201 citations (Crossref/DOI) [2025-05-16]\nTLDR: It is reported that the use of highly concentrated electrolytes composed of ether solvents and the lithium bis(fluorosulfonyl)imide salt enables the high-rate cycling of a lithium metal anode at high Coulombic efficiency (up to 99.1%) without dendrite growth.\nJCR分区: Q1\n中科院分区升级版: 综合性期刊1区\n影响因子: 14.7\n5年影响因子: 16.1\n南农高质量: A","page":"6362","source":"DOI.org (Crossref)","title":"High rate and stable cycling of lithium metal anode","volume":"6","author":[{"family":"Qian","given":"Jiangfeng"},{"family":"Henderson","given":"Wesley A."},{"family":"Xu","given":"Wu"},{"family":"Bhattacharya","given":"Priyanka"},{"family":"Engelhard","given":"Mark"},{"family":"Borodin","given":"Oleg"},{"family":"Zhang","given":"Ji-Guang"}],"issued":{"date-parts":[["2015",2,20]]}}},{"id":1015,"uris":["http://zotero.org/users/17156447/items/MUL57ID3"],"itemData":{"id":1015,"type":"article-journal","container-title":"Energy Storage Materials","DOI":"10.1016/j.ensm.2020.08.035","ISSN":"24058297","journalAbbreviation":"Energy Storage Mater.","language":"en","note":"97 citations (Crossref/DOI) [2025-06-11]\nJCR分区: Q1\n5年影响因子: 18.4","page":"76-84","source":"DOI.org (Crossref)","title":"Optimization of fluorinated orthoformate based electrolytes for practical high-voltage lithium metal batteries","volume":"34","author":[{"family":"Cao","given":"Xia"},{"family":"Zou","given":"Lianfeng"},{"family":"Matthews","given":"Bethany E."},{"family":"Zhang","given":"Linchao"},{"family":"He","given":"Xinzi"},{"family":"Ren","given":"Xiaodi"},{"family":"Engelhard","given":"Mark H."},{"family":"Burton","given":"Sarah D."},{"family":"El-Khoury","given":"Patrick Z."},{"family":"Lim","given":"Hyung-Seok"},{"family":"Niu","given":"Chaojiang"},{"family":"Lee","given":"Hongkyung"},{"family":"Wang","given":"Chunsheng"},{"family":"Arey","given":"Bruce W."},{"family":"Wang","given":"Chongmin"},{"family":"Xiao","given":"Jie"},{"family":"Liu","given":"Jun"},{"family":"Xu","given":"Wu"},{"family":"Zhang","given":"Ji-Guang"}],"issued":{"date-parts":[["2021",1]]}}}],"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12–14</w:t>
      </w:r>
      <w:r>
        <w:rPr>
          <w:rFonts w:ascii="Times New Roman" w:hAnsi="Times New Roman" w:cs="Times New Roman"/>
          <w:sz w:val="24"/>
          <w:szCs w:val="24"/>
        </w:rPr>
        <w:fldChar w:fldCharType="end"/>
      </w:r>
      <w:r>
        <w:rPr>
          <w:rFonts w:ascii="Times New Roman" w:hAnsi="Times New Roman" w:eastAsia="宋体" w:cs="Times New Roman"/>
          <w:sz w:val="24"/>
          <w:szCs w:val="24"/>
        </w:rPr>
        <w:t xml:space="preserve"> For the LiFSI:DME systems, we further evaluated different </w:t>
      </w:r>
      <w:r>
        <w:rPr>
          <w:rFonts w:ascii="Times New Roman" w:hAnsi="Times New Roman" w:eastAsia="宋体" w:cs="Times New Roman"/>
          <w:i/>
          <w:iCs/>
          <w:sz w:val="24"/>
          <w:szCs w:val="24"/>
        </w:rPr>
        <w:t>K</w:t>
      </w:r>
      <w:r>
        <w:rPr>
          <w:rFonts w:ascii="Times New Roman" w:hAnsi="Times New Roman" w:eastAsia="宋体" w:cs="Times New Roman"/>
          <w:sz w:val="24"/>
          <w:szCs w:val="24"/>
          <w:vertAlign w:val="subscript"/>
        </w:rPr>
        <w:t>LJ</w:t>
      </w:r>
      <w:r>
        <w:rPr>
          <w:rFonts w:ascii="Times New Roman" w:hAnsi="Times New Roman" w:eastAsia="宋体" w:cs="Times New Roman"/>
          <w:sz w:val="24"/>
          <w:szCs w:val="24"/>
        </w:rPr>
        <w:t xml:space="preserve"> within the published CL&amp;Pol,</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{"citationID":"T808CTk0","properties":{"formattedCitation":"\\super 4\\uc0\\u8211{}6,53\\nosupersub{}","plainCitation":"4–6,53","noteIndex":0},"citationItems":[{"id":1315,"uris":["http://zotero.org/users/17156447/items/6KDBJX4M"],"itemData":{"id":1315,"type":"article-journal","abstract":"One important development in interaction potential models, or atomistic force fields, for molecular simulation is the inclusion of explicit polarisation, which represents the induction effects of charged or polar molecules on polarisable electron clouds. Polarisation can be included through fluctuating charges, induced multipoles, or Drude dipoles. This work uses Drude dipoles and is focused on room-temperature ionic liquids, for which fixed-charge models predict too slow dynamics. The aim of this study is to devise a strategy to adapt existing non-polarisable force fields upon addition of polarisation, because induction was already contained to an extent, implicitly, due to parametrisation against empirical data. Therefore, a fraction of the van der Waals interaction energy should be subtracted so that the Lennard-Jones terms only account for dispersion and the Drude dipoles for induction. Symmetry-adapted perturbation theory is used to resolve the dispersion and induction terms in dimers and to calculate scaling factors to reduce the Lennard-Jones terms from the non-polarisable model. Simply adding Drude dipoles to an existing fixed-charge model already improves the prediction of transport properties, increasing diffusion coefficients, and lowering the viscosity. Scaling down the Lennard-Jones terms leads to still faster dynamics and densities that match experiment extremely well. The concept developed here improves the overall prediction of density and transport properties and can be adapted to other models and systems. In terms of microscopic structure of the ionic liquids, the inclusion of polarisation and the down-scaling of Lennard-Jones terms affect only slightly the ordering of the first shell of counterions, leading to small decreases in coordination numbers. Remarkably, the effect of polarisation is major beyond first neighbours, significantly weakening spatial correlations, a structural effect that is certainly related to the faster dynamics of polarisable models.","container-title":"Journal of Chemical Physics","DOI":"10.1063/1.4983687","ISSN":"0021-9606, 1089-7690","issue":"20","journalAbbreviation":"J. Chem. Phys.","language":"en","note":"52 citations (Crossref/DOI) [2025-10-12]\nTLDR: The aim of this study is to devise a strategy to adapt existing non-polarisable force fields upon addition of polarisation, because induction was already contained to an extent, implicitly, due to parametrisation against empirical data.","page":"204501","source":"DOI.org (Crossref)","title":"Resolving dispersion and induction components for polarisable molecular simulations of ionic liquids","volume":"146","author":[{"family":"Pádua","given":"Agílio A. H."}],"issued":{"date-parts":[["2017",5,28]]}}},{"id":1055,"uris":["http://zotero.org/users/17156447/items/87X24NZM"],"itemData":{"id":1055,"type":"article-journal","abstract":"A general, transferable, polarizable force ﬁeld for molecular simulation of ionic liquids (ILs) and their mixtures with molecular compounds is developed. This polarizable model is derived from the widely used CL&amp;P ﬁxed-charge force ﬁeld that describes most families of ILs, in a form compatible with OPLS-AA, one of the major force ﬁelds for organic compounds. Models for ILs with ﬁxed, integer-ionic charges lead to pathologically slow dynamics, a problem that is corrected when polarization eﬀects are included explicitly. In the model proposed here, Drude-induced dipoles are used with parameters determined from atomic polarizabilities. The CL&amp;P force ﬁeld is modiﬁed upon inclusion of the Drude dipoles to avoid double-counting of polarization eﬀects. This modiﬁcation is based on ﬁrst-principles calculations of the dispersion and induction contributions to the van der Waals interactions using symmetry-adapted perturbation theory (SAPT) for a set of dimers composed of positive, negative, and neutral fragments representative of a wide variety of ILs. The fragment approach provides transferability, allowing the representation of a multitude of cation and anion families, including diﬀerent functional groups, without the need to reparametrize. Because SAPT calculations are expensive, an alternative predictive scheme was devised, requiring only molecular properties with a clear physical meaning, namely, dipole moments and atomic polarizabilities. The new polarizable force ﬁeld, CL&amp;Pol, describes a broad set of ILs and their mixtures with molecular compounds and is validated by comparisons with experimental data on density, ion diﬀusion coeﬃcients, and viscosity. The approaches proposed here can also be applied to the conversion of other ﬁxed-charge force ﬁelds into polarizable versions.","container-title":"Journal of Chemical Theory and Computation","DOI":"10.1021/acs.jctc.9b00689","ISSN":"1549-9618, 1549-9626","issue":"11","journalAbbreviation":"J. Chem. Theory Comput.","language":"en","license":"https://doi.org/10.15223/policy-029","note":"149 citations (Crossref/DOI) [2025-06-19]\nJCR分区: Q1\n5年影响因子: 6.4","page":"5858-5871","source":"DOI.org (Crossref)","title":"Transferable, polarizable force field for ionic liquids","volume":"15","author":[{"family":"Goloviznina","given":"Kateryna"},{"family":"Canongia Lopes","given":"José N."},{"family":"Costa Gomes","given":"Margarida"},{"family":"Pádua","given":"Agílio A. H."}],"issued":{"date-parts":[["2019",11,12]]}}},{"id":722,"uris":["http://zotero.org/users/17156447/items/C6V6N67J"],"itemData":{"id":722,"type":"article-journal","abstract":"Molecular dynamics (MD) simulation, and theoretical chemistry in general, have been central tools in the study of ionic liquids (ILs) and eutectic solvents, both of which are fluid phases dominated by ionic interactions and strong hydrogen bonds. These systems are still relatively recent, so the amount of experimental information given their enormous diversity is still scarce. Computational studies have produced several important discoveries, besides helping in the interpretation of experimental findings. Here we review the latest developments in the models describing the interactions and conformations of IL phases with atomic detail, in particular polarizable force fields. In these allatom models, the response of electron clouds to their electrostatic environment is represented by induced dipoles, therefore moving beyond the pair-wise additivity of fixed-charge force fields. Most of the conceptual framework to develop polarizable force fields has been available and implemented in major MD codes, so the main challenge to develop a useful polarizable model for ILs and eutectic solvents is how to handle their diversity in chemical structures and interactions, in order to build a model that can represent solutions, mixtures and interfaces with materials, and that is not too difficult to extend to new systems. As is often the case, force field development is not only science but it is also an art! The ingredients of successful force fields are often the result of pragmatism and heuristics, rather than mathematical complexity and absolutely rigorous physics (although retaining a sound physical basis in the parameters definitely helps). We focus on the CL&amp;Pol polarizable force field for ILs, protic ionic liquids, and eutectic solvents, improving on previousgeneration fixed charge models. The CL&amp;Pol force field is built as a detailed but extendable and transferable model offering more reliable predictions of thermodynamic, structural, and transport properties, which should contribute to the advancement of the field and towards the design of better solvents, electrolytes, lubricants, and so on.","container-title":"WIREs Computational Molecular Science","DOI":"10.1002/wcms.1572","ISSN":"1759-0876, 1759-0884","issue":"3","journalAbbreviation":"WIREs Comput. Mol. Sci.","language":"en","note":"37 citations (Crossref/DOI) [2025-05-22]\nGSCC: 0000369 2025-05-19T01:53:40.568Z 2.31 \n37 citations (Crossref/DOI) [2025-05-16]","page":"e1572","source":"DOI.org (Crossref)","title":"The CL&amp;pol polarizable force field for the simulation of ionic liquids and eutectic solvents","volume":"12","author":[{"family":"Goloviznina","given":"Kateryna"},{"family":"Gong","given":"Zheng"},{"family":"Padua","given":"Agilio A. H."}],"issued":{"date-parts":[["2022",5]]}}},{"id":1053,"uris":["http://zotero.org/users/17156447/items/FCYUD9JI"],"itemData":{"id":1053,"type":"article-journal","abstract":"The polarizable CL&amp;Pol force ﬁeld presented in our previous study, Transferable, Polarizable Force Field for Ionic Liquids (J. Chem. Theory Comput. 2019, 15, 5858, DOI: http://doi.org/10.1021/acs.jctc.9b0068910.1021/ acs.jctc.9b00689), is extended to electrolytes, protic ionic liquids (PIL), deep eutectic solvents (DES), and glycols. These systems are problematic in polarizable simulations because they contain either small, highly charged ions or strong hydrogen bonds, which cause trajectory instabilities due to the pull exerted on the induced dipoles. We use a Tang−Toennies (TT) function to dampen, or smear, the interactions between charges and induced dipole at a short range involving small, highly charged atoms (such as hydrogen or lithium), thus preventing the “polarization catastrophe”. The new force ﬁeld gives stable trajectories and is validated through comparison with experimental data on density, viscosity, and ion diﬀusion coeﬃcients of liquid systems of the above-mentioned classes. The results also shed light on the hydrogen-bonding pattern in ethylammonium nitrate, a PIL, for which the literature contains conﬂicting views. We describe the implementation of the TT damping function, of the temperature-grouped Nosé−Hoover thermostat for polarizable molecular dynamics (MD) and of the periodic perturbation method for viscosity evaluation from nonequilibrium trajectories in the LAMMPS MD code. The main result of this work is the wider applicability of the CL&amp;Pol polarizable force ﬁeld to new, important classes of ﬂuids, achieving robust trajectories and a good description of equilibrium and transport properties in challenging systems. The fragment-based approach of CL&amp;Pol will allow ready extension to a wide variety of PILs, DES, and electrolytes.","container-title":"Journal of Chemical Theory and Computation","DOI":"10.1021/acs.jctc.0c01002","ISSN":"1549-9618, 1549-9626","issue":"3","journalAbbreviation":"J. Chem. Theory Comput.","language":"en","license":"https://doi.org/10.15223/policy-029","note":"75 citations (Crossref/DOI) [2025-06-19]\nJCR分区: Q1\n5年影响因子: 6.4","page":"1606-1617","source":"DOI.org (Crossref)","title":"Extension of the CL&amp;pol polarizable force field to electrolytes, protic ionic liquids, and deep eutectic solvents","volume":"17","author":[{"family":"Goloviznina","given":"Kateryna"},{"family":"Gong","given":"Zheng"},{"family":"Costa Gomes","given":"Margarida F."},{"family":"Pádua","given":"Agílio A. H."}],"issued":{"date-parts":[["2021",3,9]]}}}],"schema":"https://github.com/citation-style-language/schema/raw/master/csl-citation.json"}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4–6,53</w:t>
      </w:r>
      <w:r>
        <w:rPr>
          <w:rFonts w:ascii="Times New Roman" w:hAnsi="Times New Roman" w:cs="Times New Roman"/>
          <w:sz w:val="24"/>
          <w:szCs w:val="24"/>
        </w:rPr>
        <w:fldChar w:fldCharType="end"/>
      </w:r>
      <w:r>
        <w:rPr>
          <w:rFonts w:ascii="Times New Roman" w:hAnsi="Times New Roman" w:eastAsia="宋体" w:cs="Times New Roman"/>
          <w:sz w:val="24"/>
          <w:szCs w:val="24"/>
        </w:rPr>
        <w:t xml:space="preserve"> including </w:t>
      </w:r>
      <w:r>
        <w:rPr>
          <w:rFonts w:ascii="Times New Roman" w:hAnsi="Times New Roman" w:eastAsia="宋体" w:cs="Times New Roman"/>
          <w:i/>
          <w:iCs/>
          <w:sz w:val="24"/>
          <w:szCs w:val="24"/>
        </w:rPr>
        <w:t>K</w:t>
      </w:r>
      <w:r>
        <w:rPr>
          <w:rFonts w:ascii="Times New Roman" w:hAnsi="Times New Roman" w:eastAsia="宋体" w:cs="Times New Roman"/>
          <w:sz w:val="24"/>
          <w:szCs w:val="24"/>
          <w:vertAlign w:val="subscript"/>
        </w:rPr>
        <w:t>pred</w:t>
      </w:r>
      <w:r>
        <w:rPr>
          <w:rFonts w:ascii="Times New Roman" w:hAnsi="Times New Roman" w:eastAsia="宋体" w:cs="Times New Roman"/>
          <w:sz w:val="24"/>
          <w:szCs w:val="24"/>
        </w:rPr>
        <w:t xml:space="preserve"> as well as </w:t>
      </w:r>
      <w:r>
        <w:rPr>
          <w:rFonts w:ascii="Times New Roman" w:hAnsi="Times New Roman" w:eastAsia="宋体" w:cs="Times New Roman"/>
          <w:i/>
          <w:iCs/>
          <w:sz w:val="24"/>
          <w:szCs w:val="24"/>
        </w:rPr>
        <w:t>K</w:t>
      </w:r>
      <w:r>
        <w:rPr>
          <w:rFonts w:ascii="Times New Roman" w:hAnsi="Times New Roman" w:eastAsia="宋体" w:cs="Times New Roman"/>
          <w:sz w:val="24"/>
          <w:szCs w:val="24"/>
          <w:vertAlign w:val="subscript"/>
        </w:rPr>
        <w:t>SAPT</w:t>
      </w:r>
      <w:r>
        <w:rPr>
          <w:rFonts w:ascii="Times New Roman" w:hAnsi="Times New Roman" w:eastAsia="宋体" w:cs="Times New Roman"/>
          <w:sz w:val="24"/>
          <w:szCs w:val="24"/>
        </w:rPr>
        <w:t>.</w:t>
      </w:r>
    </w:p>
    <w:p w14:paraId="7D6E54A4">
      <w:pPr>
        <w:widowControl/>
        <w:adjustRightInd w:val="0"/>
        <w:snapToGrid w:val="0"/>
        <w:spacing w:line="360" w:lineRule="auto"/>
        <w:rPr>
          <w:rFonts w:ascii="Times New Roman" w:hAnsi="Times New Roman" w:eastAsia="宋体" w:cs="Times New Roman"/>
          <w:sz w:val="24"/>
          <w:szCs w:val="24"/>
        </w:rPr>
      </w:pPr>
    </w:p>
    <w:p w14:paraId="6BE73310">
      <w:pPr>
        <w:widowControl/>
        <w:spacing w:line="360" w:lineRule="auto"/>
        <w:jc w:val="left"/>
        <w:rPr>
          <w:rFonts w:ascii="Times New Roman" w:hAnsi="Times New Roman" w:eastAsia="等线" w:cs="Times New Roman"/>
          <w:sz w:val="24"/>
          <w:szCs w:val="24"/>
        </w:rPr>
      </w:pPr>
      <w:r>
        <w:rPr>
          <w:rFonts w:ascii="Times New Roman" w:hAnsi="Times New Roman" w:cs="Times New Roman"/>
          <w:sz w:val="24"/>
          <w:szCs w:val="24"/>
        </w:rPr>
        <w:br w:type="page"/>
      </w:r>
    </w:p>
    <w:p w14:paraId="2BA135EF">
      <w:pPr>
        <w:widowControl/>
        <w:adjustRightInd w:val="0"/>
        <w:snapToGrid w:val="0"/>
        <w:spacing w:line="360" w:lineRule="auto"/>
        <w:jc w:val="center"/>
        <w:rPr>
          <w:rStyle w:val="26"/>
          <w:rFonts w:cs="Times New Roman" w:eastAsiaTheme="minorEastAsia"/>
          <w:szCs w:val="24"/>
        </w:rPr>
      </w:pPr>
      <w:r>
        <w:rPr>
          <w:rFonts w:ascii="Times New Roman" w:hAnsi="Times New Roman" w:cs="Times New Roman"/>
        </w:rPr>
        <w:drawing>
          <wp:inline distT="0" distB="0" distL="0" distR="0">
            <wp:extent cx="5039995" cy="3860800"/>
            <wp:effectExtent l="0" t="0" r="8255" b="6350"/>
            <wp:docPr id="539878387" name="图片 3"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878387" name="图片 3" descr="图表, 条形图&#10;&#10;AI 生成的内容可能不正确。"/>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040000" cy="3861009"/>
                    </a:xfrm>
                    <a:prstGeom prst="rect">
                      <a:avLst/>
                    </a:prstGeom>
                    <a:noFill/>
                    <a:ln>
                      <a:noFill/>
                    </a:ln>
                  </pic:spPr>
                </pic:pic>
              </a:graphicData>
            </a:graphic>
          </wp:inline>
        </w:drawing>
      </w:r>
    </w:p>
    <w:p w14:paraId="23206F2E">
      <w:pPr>
        <w:widowControl/>
        <w:adjustRightInd w:val="0"/>
        <w:snapToGrid w:val="0"/>
        <w:spacing w:line="360" w:lineRule="auto"/>
        <w:rPr>
          <w:rFonts w:ascii="Times New Roman" w:hAnsi="Times New Roman" w:eastAsia="宋体" w:cs="Times New Roman"/>
          <w:sz w:val="24"/>
          <w:szCs w:val="24"/>
        </w:rPr>
      </w:pPr>
      <w:bookmarkStart w:id="29" w:name="_Toc221108151"/>
      <w:r>
        <w:rPr>
          <w:rStyle w:val="27"/>
          <w:rFonts w:cs="Times New Roman"/>
        </w:rPr>
        <w:t>Supplementary Fig. 8 | Benchmarking Li</w:t>
      </w:r>
      <w:r>
        <w:rPr>
          <w:rStyle w:val="27"/>
          <w:rFonts w:cs="Times New Roman"/>
          <w:vertAlign w:val="superscript"/>
        </w:rPr>
        <w:t>+</w:t>
      </w:r>
      <w:r>
        <w:rPr>
          <w:rStyle w:val="27"/>
          <w:rFonts w:cs="Times New Roman"/>
        </w:rPr>
        <w:t xml:space="preserve"> solvation structures in 1LiFSI:9DME.</w:t>
      </w:r>
      <w:bookmarkEnd w:id="29"/>
      <w:r>
        <w:rPr>
          <w:rStyle w:val="27"/>
          <w:rFonts w:cs="Times New Roman"/>
        </w:rPr>
        <w:t xml:space="preserve"> </w:t>
      </w:r>
      <w:r>
        <w:rPr>
          <w:rFonts w:ascii="Times New Roman" w:hAnsi="Times New Roman" w:eastAsia="宋体" w:cs="Times New Roman"/>
          <w:sz w:val="24"/>
          <w:szCs w:val="24"/>
        </w:rPr>
        <w:t>(a) Coordination numbers (</w:t>
      </w:r>
      <w:r>
        <w:rPr>
          <w:rFonts w:ascii="Times New Roman" w:hAnsi="Times New Roman" w:eastAsia="宋体" w:cs="Times New Roman"/>
          <w:i/>
          <w:iCs/>
          <w:sz w:val="24"/>
          <w:szCs w:val="24"/>
        </w:rPr>
        <w:t>CN</w:t>
      </w:r>
      <w:r>
        <w:rPr>
          <w:rFonts w:ascii="Times New Roman" w:hAnsi="Times New Roman" w:eastAsia="宋体" w:cs="Times New Roman"/>
          <w:sz w:val="24"/>
          <w:szCs w:val="24"/>
        </w:rPr>
        <w:t>s)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with ether oxygen O(DME) and sulfonyl oxygen O(FSI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within the first solvation shell (cutoff distance = 2.80 Å). Predictions computed using 12 FFs at 333.15 K are benchmarked against values from APPLE&amp;P.</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ADDIN ZOTERO_ITEM CSL_CITATION {"citationID":"saviWNXJ","properties":{"formattedCitation":"\\super 13\\nosupersub{}","plainCitation":"13","noteIndex":0},"citationItems":[{"id":218,"uris":["http://zotero.org/users/17156447/items/Q3TP4JZN"],"itemData":{"id":218,"type":"article-journal","abstract":"Abstract\n            \n              Lithium metal is an ideal battery anode. However, dendrite growth and limited Coulombic efficiency during cycling have prevented its practical application in rechargeable batteries. Herein, we report that the use of highly concentrated electrolytes composed of ether solvents and the lithium bis(fluorosulfonyl)imide salt enables the high-rate cycling of a lithium metal anode at high Coulombic efficiency (up to 99.1%) without dendrite growth. With 4 M lithium bis(fluorosulfonyl)imide in 1,2-dimethoxyethane as the electrolyte, a lithium|lithium cell can be cycled at 10 mA cm\n              −2\n              for more than 6,000 cycles, and a copper|lithium cell can be cycled at 4 mA cm\n              −2\n              for more than 1,000 cycles with an average Coulombic efficiency of 98.4%. These excellent performances can be attributed to the increased solvent coordination and increased availability of lithium ion concentration in the electrolyte. Further development of this electrolyte may enable practical applications for lithium metal anode in rechargeable batteries.","container-title":"Nature Communications","DOI":"10.1038/ncomms7362","ISSN":"2041-1723","issue":"1","journalAbbreviation":"Nat. Commun.","language":"en","note":"2204 citations (Crossref/DOI) [2025-05-22]\n2201 citations (Crossref/DOI) [2025-05-16]\nTLDR: It is reported that the use of highly concentrated electrolytes composed of ether solvents and the lithium bis(fluorosulfonyl)imide salt enables the high-rate cycling of a lithium metal anode at high Coulombic efficiency (up to 99.1%) without dendrite growth.\nJCR分区: Q1\n中科院分区升级版: 综合性期刊1区\n影响因子: 14.7\n5年影响因子: 16.1\n南农高质量: A","page":"6362","source":"DOI.org (Crossref)","title":"High rate and stable cycling of lithium metal anode","volume":"6","author":[{"family":"Qian","given":"Jiangfeng"},{"family":"Henderson","given":"Wesley A."},{"family":"Xu","given":"Wu"},{"family":"Bhattacharya","given":"Priyanka"},{"family":"Engelhard","given":"Mark"},{"family":"Borodin","given":"Oleg"},{"family":"Zhang","given":"Ji-Guang"}],"issued":{"date-parts":[["2015",2,20]]}}}],"schema":"https://github.com/citation-style-language/schema/raw/master/csl-citation.json"} </w:instrText>
      </w:r>
      <w:r>
        <w:rPr>
          <w:rFonts w:ascii="Times New Roman" w:hAnsi="Times New Roman" w:eastAsia="宋体" w:cs="Times New Roman"/>
          <w:sz w:val="24"/>
          <w:szCs w:val="24"/>
        </w:rPr>
        <w:fldChar w:fldCharType="separate"/>
      </w:r>
      <w:r>
        <w:rPr>
          <w:rFonts w:ascii="Times New Roman" w:hAnsi="Times New Roman" w:eastAsia="等线" w:cs="Times New Roman"/>
          <w:kern w:val="0"/>
          <w:sz w:val="24"/>
          <w:vertAlign w:val="superscript"/>
        </w:rPr>
        <w:t>13</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(b) Corresponding</w:t>
      </w:r>
      <w:r>
        <w:rPr>
          <w:rFonts w:ascii="Times New Roman" w:hAnsi="Times New Roman" w:eastAsia="宋体" w:cs="Times New Roman"/>
          <w:i/>
          <w:iCs/>
          <w:sz w:val="24"/>
          <w:szCs w:val="24"/>
        </w:rPr>
        <w:t xml:space="preserve"> CN</w:t>
      </w:r>
      <w:r>
        <w:rPr>
          <w:rFonts w:ascii="Times New Roman" w:hAnsi="Times New Roman" w:eastAsia="宋体" w:cs="Times New Roman"/>
          <w:sz w:val="24"/>
          <w:szCs w:val="24"/>
        </w:rPr>
        <w:t>s of Li-O(DME) and Li-O(FSI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pairs predicted by 12 FFs at 298.15 K.</w:t>
      </w:r>
    </w:p>
    <w:p w14:paraId="61A044DF">
      <w:pPr>
        <w:widowControl/>
        <w:adjustRightInd w:val="0"/>
        <w:snapToGrid w:val="0"/>
        <w:spacing w:line="360" w:lineRule="auto"/>
        <w:rPr>
          <w:rFonts w:ascii="Times New Roman" w:hAnsi="Times New Roman" w:eastAsia="宋体" w:cs="Times New Roman"/>
          <w:sz w:val="24"/>
          <w:szCs w:val="24"/>
        </w:rPr>
      </w:pPr>
    </w:p>
    <w:p w14:paraId="0DA99EB4">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6E663B85">
      <w:pPr>
        <w:widowControl/>
        <w:adjustRightInd w:val="0"/>
        <w:snapToGrid w:val="0"/>
        <w:spacing w:line="360" w:lineRule="auto"/>
        <w:jc w:val="center"/>
        <w:rPr>
          <w:rStyle w:val="26"/>
          <w:rFonts w:cs="Times New Roman" w:eastAsiaTheme="minorEastAsia"/>
          <w:szCs w:val="24"/>
        </w:rPr>
      </w:pPr>
      <w:r>
        <w:rPr>
          <w:rFonts w:ascii="Times New Roman" w:hAnsi="Times New Roman" w:cs="Times New Roman"/>
        </w:rPr>
        <w:drawing>
          <wp:inline distT="0" distB="0" distL="0" distR="0">
            <wp:extent cx="5039995" cy="3860800"/>
            <wp:effectExtent l="0" t="0" r="8255" b="6350"/>
            <wp:docPr id="1393589374" name="图片 4"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89374" name="图片 4" descr="图表, 条形图&#10;&#10;AI 生成的内容可能不正确。"/>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040000" cy="3861008"/>
                    </a:xfrm>
                    <a:prstGeom prst="rect">
                      <a:avLst/>
                    </a:prstGeom>
                    <a:noFill/>
                    <a:ln>
                      <a:noFill/>
                    </a:ln>
                  </pic:spPr>
                </pic:pic>
              </a:graphicData>
            </a:graphic>
          </wp:inline>
        </w:drawing>
      </w:r>
    </w:p>
    <w:p w14:paraId="71A075BA">
      <w:pPr>
        <w:widowControl/>
        <w:adjustRightInd w:val="0"/>
        <w:snapToGrid w:val="0"/>
        <w:spacing w:line="360" w:lineRule="auto"/>
        <w:rPr>
          <w:rFonts w:ascii="Times New Roman" w:hAnsi="Times New Roman" w:eastAsia="宋体" w:cs="Times New Roman"/>
          <w:sz w:val="24"/>
          <w:szCs w:val="24"/>
        </w:rPr>
      </w:pPr>
      <w:bookmarkStart w:id="30" w:name="_Toc221108152"/>
      <w:r>
        <w:rPr>
          <w:rStyle w:val="27"/>
          <w:rFonts w:cs="Times New Roman"/>
        </w:rPr>
        <w:t>Supplementary Fig. 9 | Benchmarking Li</w:t>
      </w:r>
      <w:r>
        <w:rPr>
          <w:rStyle w:val="27"/>
          <w:rFonts w:cs="Times New Roman"/>
          <w:vertAlign w:val="superscript"/>
        </w:rPr>
        <w:t>+</w:t>
      </w:r>
      <w:r>
        <w:rPr>
          <w:rStyle w:val="27"/>
          <w:rFonts w:cs="Times New Roman"/>
        </w:rPr>
        <w:t xml:space="preserve"> solvation structures in 1LiFSI:1.4DME.</w:t>
      </w:r>
      <w:bookmarkEnd w:id="30"/>
      <w:r>
        <w:rPr>
          <w:rStyle w:val="27"/>
          <w:rFonts w:cs="Times New Roman"/>
        </w:rPr>
        <w:t xml:space="preserve"> </w:t>
      </w:r>
      <w:r>
        <w:rPr>
          <w:rFonts w:ascii="Times New Roman" w:hAnsi="Times New Roman" w:eastAsia="宋体" w:cs="Times New Roman"/>
          <w:sz w:val="24"/>
          <w:szCs w:val="24"/>
        </w:rPr>
        <w:t xml:space="preserve">(a) </w:t>
      </w:r>
      <w:r>
        <w:rPr>
          <w:rFonts w:ascii="Times New Roman" w:hAnsi="Times New Roman" w:eastAsia="宋体" w:cs="Times New Roman"/>
          <w:i/>
          <w:iCs/>
          <w:sz w:val="24"/>
          <w:szCs w:val="24"/>
        </w:rPr>
        <w:t>CN</w:t>
      </w:r>
      <w:r>
        <w:rPr>
          <w:rFonts w:ascii="Times New Roman" w:hAnsi="Times New Roman" w:eastAsia="宋体" w:cs="Times New Roman"/>
          <w:sz w:val="24"/>
          <w:szCs w:val="24"/>
        </w:rPr>
        <w:t>s of Li-O(DME) and Li-O(FSI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pairs predicted by 12 FFs at 333.15 K are benchmarked against values from APPLE&amp;P.</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ADDIN ZOTERO_ITEM CSL_CITATION {"citationID":"p7PdCuVw","properties":{"formattedCitation":"\\super 13\\nosupersub{}","plainCitation":"13","noteIndex":0},"citationItems":[{"id":218,"uris":["http://zotero.org/users/17156447/items/Q3TP4JZN"],"itemData":{"id":218,"type":"article-journal","abstract":"Abstract\n            \n              Lithium metal is an ideal battery anode. However, dendrite growth and limited Coulombic efficiency during cycling have prevented its practical application in rechargeable batteries. Herein, we report that the use of highly concentrated electrolytes composed of ether solvents and the lithium bis(fluorosulfonyl)imide salt enables the high-rate cycling of a lithium metal anode at high Coulombic efficiency (up to 99.1%) without dendrite growth. With 4 M lithium bis(fluorosulfonyl)imide in 1,2-dimethoxyethane as the electrolyte, a lithium|lithium cell can be cycled at 10 mA cm\n              −2\n              for more than 6,000 cycles, and a copper|lithium cell can be cycled at 4 mA cm\n              −2\n              for more than 1,000 cycles with an average Coulombic efficiency of 98.4%. These excellent performances can be attributed to the increased solvent coordination and increased availability of lithium ion concentration in the electrolyte. Further development of this electrolyte may enable practical applications for lithium metal anode in rechargeable batteries.","container-title":"Nature Communications","DOI":"10.1038/ncomms7362","ISSN":"2041-1723","issue":"1","journalAbbreviation":"Nat. Commun.","language":"en","note":"2204 citations (Crossref/DOI) [2025-05-22]\n2201 citations (Crossref/DOI) [2025-05-16]\nTLDR: It is reported that the use of highly concentrated electrolytes composed of ether solvents and the lithium bis(fluorosulfonyl)imide salt enables the high-rate cycling of a lithium metal anode at high Coulombic efficiency (up to 99.1%) without dendrite growth.\nJCR分区: Q1\n中科院分区升级版: 综合性期刊1区\n影响因子: 14.7\n5年影响因子: 16.1\n南农高质量: A","page":"6362","source":"DOI.org (Crossref)","title":"High rate and stable cycling of lithium metal anode","volume":"6","author":[{"family":"Qian","given":"Jiangfeng"},{"family":"Henderson","given":"Wesley A."},{"family":"Xu","given":"Wu"},{"family":"Bhattacharya","given":"Priyanka"},{"family":"Engelhard","given":"Mark"},{"family":"Borodin","given":"Oleg"},{"family":"Zhang","given":"Ji-Guang"}],"issued":{"date-parts":[["2015",2,20]]}}}],"schema":"https://github.com/citation-style-language/schema/raw/master/csl-citation.json"} </w:instrText>
      </w:r>
      <w:r>
        <w:rPr>
          <w:rFonts w:ascii="Times New Roman" w:hAnsi="Times New Roman" w:eastAsia="宋体" w:cs="Times New Roman"/>
          <w:sz w:val="24"/>
          <w:szCs w:val="24"/>
        </w:rPr>
        <w:fldChar w:fldCharType="separate"/>
      </w:r>
      <w:r>
        <w:rPr>
          <w:rFonts w:ascii="Times New Roman" w:hAnsi="Times New Roman" w:eastAsia="等线" w:cs="Times New Roman"/>
          <w:kern w:val="0"/>
          <w:sz w:val="24"/>
          <w:vertAlign w:val="superscript"/>
        </w:rPr>
        <w:t>13</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(b) Corresponding</w:t>
      </w:r>
      <w:r>
        <w:rPr>
          <w:rFonts w:ascii="Times New Roman" w:hAnsi="Times New Roman" w:eastAsia="宋体" w:cs="Times New Roman"/>
          <w:i/>
          <w:iCs/>
          <w:sz w:val="24"/>
          <w:szCs w:val="24"/>
        </w:rPr>
        <w:t xml:space="preserve"> CN</w:t>
      </w:r>
      <w:r>
        <w:rPr>
          <w:rFonts w:ascii="Times New Roman" w:hAnsi="Times New Roman" w:eastAsia="宋体" w:cs="Times New Roman"/>
          <w:sz w:val="24"/>
          <w:szCs w:val="24"/>
        </w:rPr>
        <w:t>s of Li-O(DME) and Li-O(FSI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pairs predicted by 12 FFs at 298.15 K.</w:t>
      </w:r>
    </w:p>
    <w:p w14:paraId="0410FCB9">
      <w:pPr>
        <w:widowControl/>
        <w:adjustRightInd w:val="0"/>
        <w:snapToGrid w:val="0"/>
        <w:spacing w:line="360" w:lineRule="auto"/>
        <w:rPr>
          <w:rFonts w:ascii="Times New Roman" w:hAnsi="Times New Roman" w:eastAsia="宋体" w:cs="Times New Roman"/>
          <w:sz w:val="24"/>
          <w:szCs w:val="24"/>
        </w:rPr>
      </w:pPr>
    </w:p>
    <w:p w14:paraId="37FEDACF">
      <w:pPr>
        <w:widowControl/>
        <w:adjustRightInd w:val="0"/>
        <w:snapToGrid w:val="0"/>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5C83FA37">
      <w:pPr>
        <w:widowControl/>
        <w:adjustRightInd w:val="0"/>
        <w:snapToGrid w:val="0"/>
        <w:spacing w:line="360" w:lineRule="auto"/>
        <w:jc w:val="center"/>
        <w:rPr>
          <w:rStyle w:val="26"/>
          <w:rFonts w:cs="Times New Roman" w:eastAsiaTheme="minorEastAsia"/>
          <w:szCs w:val="24"/>
        </w:rPr>
      </w:pPr>
      <w:r>
        <w:rPr>
          <w:rFonts w:ascii="Times New Roman" w:hAnsi="Times New Roman" w:cs="Times New Roman"/>
        </w:rPr>
        <w:drawing>
          <wp:inline distT="0" distB="0" distL="0" distR="0">
            <wp:extent cx="5039995" cy="3858895"/>
            <wp:effectExtent l="0" t="0" r="8255" b="8255"/>
            <wp:docPr id="331298970" name="图片 5"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98970" name="图片 5" descr="图表, 条形图&#10;&#10;AI 生成的内容可能不正确。"/>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040000" cy="3859260"/>
                    </a:xfrm>
                    <a:prstGeom prst="rect">
                      <a:avLst/>
                    </a:prstGeom>
                    <a:noFill/>
                    <a:ln>
                      <a:noFill/>
                    </a:ln>
                  </pic:spPr>
                </pic:pic>
              </a:graphicData>
            </a:graphic>
          </wp:inline>
        </w:drawing>
      </w:r>
    </w:p>
    <w:p w14:paraId="2631247F">
      <w:pPr>
        <w:widowControl/>
        <w:adjustRightInd w:val="0"/>
        <w:snapToGrid w:val="0"/>
        <w:spacing w:line="360" w:lineRule="auto"/>
        <w:rPr>
          <w:rFonts w:ascii="Times New Roman" w:hAnsi="Times New Roman" w:eastAsia="宋体" w:cs="Times New Roman"/>
          <w:sz w:val="24"/>
          <w:szCs w:val="24"/>
        </w:rPr>
      </w:pPr>
      <w:bookmarkStart w:id="31" w:name="_Toc221108153"/>
      <w:r>
        <w:rPr>
          <w:rStyle w:val="27"/>
          <w:rFonts w:cs="Times New Roman"/>
        </w:rPr>
        <w:t>Supplementary Fig. 10 | Benchmarking Li</w:t>
      </w:r>
      <w:r>
        <w:rPr>
          <w:rStyle w:val="27"/>
          <w:rFonts w:cs="Times New Roman"/>
          <w:vertAlign w:val="superscript"/>
        </w:rPr>
        <w:t>+</w:t>
      </w:r>
      <w:r>
        <w:rPr>
          <w:rStyle w:val="27"/>
          <w:rFonts w:cs="Times New Roman"/>
        </w:rPr>
        <w:t xml:space="preserve"> solvation structures in 1LiFSI:1.2DME and 1LiFSI:1.2DME:2TFEO.</w:t>
      </w:r>
      <w:bookmarkEnd w:id="31"/>
      <w:r>
        <w:rPr>
          <w:rStyle w:val="27"/>
          <w:rFonts w:cs="Times New Roman"/>
        </w:rPr>
        <w:t xml:space="preserve"> </w:t>
      </w:r>
      <w:r>
        <w:rPr>
          <w:rFonts w:ascii="Times New Roman" w:hAnsi="Times New Roman" w:eastAsia="宋体" w:cs="Times New Roman"/>
          <w:sz w:val="24"/>
          <w:szCs w:val="24"/>
        </w:rPr>
        <w:t xml:space="preserve">(a) </w:t>
      </w:r>
      <w:r>
        <w:rPr>
          <w:rFonts w:ascii="Times New Roman" w:hAnsi="Times New Roman" w:eastAsia="宋体" w:cs="Times New Roman"/>
          <w:i/>
          <w:iCs/>
          <w:sz w:val="24"/>
          <w:szCs w:val="24"/>
        </w:rPr>
        <w:t>CN</w:t>
      </w:r>
      <w:r>
        <w:rPr>
          <w:rFonts w:ascii="Times New Roman" w:hAnsi="Times New Roman" w:eastAsia="宋体" w:cs="Times New Roman"/>
          <w:sz w:val="24"/>
          <w:szCs w:val="24"/>
        </w:rPr>
        <w:t>s of Li-O(DME) and Li-O(FSI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pairs in 1LiFSI:1.2DME, predicted by 12 FFs at 298.15 K. (b) </w:t>
      </w:r>
      <w:r>
        <w:rPr>
          <w:rFonts w:ascii="Times New Roman" w:hAnsi="Times New Roman" w:eastAsia="宋体" w:cs="Times New Roman"/>
          <w:i/>
          <w:iCs/>
          <w:sz w:val="24"/>
          <w:szCs w:val="24"/>
        </w:rPr>
        <w:t>CN</w:t>
      </w:r>
      <w:r>
        <w:rPr>
          <w:rFonts w:ascii="Times New Roman" w:hAnsi="Times New Roman" w:eastAsia="宋体" w:cs="Times New Roman"/>
          <w:sz w:val="24"/>
          <w:szCs w:val="24"/>
        </w:rPr>
        <w:t>s of Li-O(DME) and Li-O(FSI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pairs in 1LiFSI:1.2DME:2TFEO, predicted by 10 FFs at 298.15 K.</w:t>
      </w:r>
    </w:p>
    <w:p w14:paraId="2DD09E17">
      <w:pPr>
        <w:widowControl/>
        <w:adjustRightInd w:val="0"/>
        <w:snapToGrid w:val="0"/>
        <w:spacing w:line="360" w:lineRule="auto"/>
        <w:rPr>
          <w:rFonts w:ascii="Times New Roman" w:hAnsi="Times New Roman" w:eastAsia="宋体" w:cs="Times New Roman"/>
          <w:sz w:val="24"/>
          <w:szCs w:val="24"/>
        </w:rPr>
      </w:pPr>
    </w:p>
    <w:p w14:paraId="4E652B60">
      <w:pPr>
        <w:widowControl/>
        <w:adjustRightInd w:val="0"/>
        <w:snapToGrid w:val="0"/>
        <w:spacing w:line="360" w:lineRule="auto"/>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744BC519">
      <w:pPr>
        <w:widowControl/>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4319905" cy="5514340"/>
            <wp:effectExtent l="0" t="0" r="4445" b="0"/>
            <wp:docPr id="1798959094" name="图片 2"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59094" name="图片 2" descr="图表&#10;&#10;AI 生成的内容可能不正确。"/>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4320000" cy="5514394"/>
                    </a:xfrm>
                    <a:prstGeom prst="rect">
                      <a:avLst/>
                    </a:prstGeom>
                    <a:noFill/>
                    <a:ln>
                      <a:noFill/>
                    </a:ln>
                  </pic:spPr>
                </pic:pic>
              </a:graphicData>
            </a:graphic>
          </wp:inline>
        </w:drawing>
      </w:r>
    </w:p>
    <w:p w14:paraId="741B35F9">
      <w:pPr>
        <w:widowControl/>
        <w:adjustRightInd w:val="0"/>
        <w:snapToGrid w:val="0"/>
        <w:spacing w:line="360" w:lineRule="auto"/>
        <w:rPr>
          <w:rFonts w:ascii="Times New Roman" w:hAnsi="Times New Roman" w:eastAsia="宋体" w:cs="Times New Roman"/>
          <w:sz w:val="24"/>
          <w:szCs w:val="24"/>
        </w:rPr>
      </w:pPr>
      <w:bookmarkStart w:id="32" w:name="_Toc221108154"/>
      <w:r>
        <w:rPr>
          <w:rStyle w:val="27"/>
          <w:rFonts w:cs="Times New Roman"/>
        </w:rPr>
        <w:t>Supplementary Fig. 11 | Benchmarking FSI</w:t>
      </w:r>
      <w:r>
        <w:rPr>
          <w:rStyle w:val="27"/>
          <w:rFonts w:cs="Times New Roman"/>
          <w:vertAlign w:val="superscript"/>
        </w:rPr>
        <w:t>-</w:t>
      </w:r>
      <w:r>
        <w:rPr>
          <w:rStyle w:val="27"/>
          <w:rFonts w:cs="Times New Roman"/>
        </w:rPr>
        <w:t xml:space="preserve"> speciation in 1LiFSI:1.4DME (333.15 K).</w:t>
      </w:r>
      <w:bookmarkEnd w:id="32"/>
      <w:r>
        <w:rPr>
          <w:rStyle w:val="27"/>
          <w:rFonts w:cs="Times New Roman"/>
        </w:rPr>
        <w:t xml:space="preserve"> </w:t>
      </w:r>
      <w:r>
        <w:rPr>
          <w:rFonts w:ascii="Times New Roman" w:hAnsi="Times New Roman" w:eastAsia="宋体" w:cs="Times New Roman"/>
          <w:sz w:val="24"/>
          <w:szCs w:val="24"/>
        </w:rPr>
        <w:t>(a) Population distributions of four 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coordination states (SSIP, CIP, AGG, AGG+) predicted by 12 FFs, benchmarked against experimental Raman spectroscopy data.</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ADDIN ZOTERO_ITEM CSL_CITATION {"citationID":"xiPLC7JJ","properties":{"formattedCitation":"\\super 12\\nosupersub{}","plainCitation":"12","noteIndex":0},"citationItems":[{"id":101,"uris":["http://zotero.org/users/17156447/items/LI2VYUQ7"],"itemData":{"id":101,"type":"article-journal","container-title":"Nature Materials","DOI":"10.1038/s41563-023-01700-3","ISSN":"1476-1122, 1476-4660","issue":"12","journalAbbreviation":"Nat. Mater.","language":"en","note":"162 citations (Crossref/DOI) [2025-05-22]\n160 citations (Crossref/DOI) [2025-05-16]\n160 citations (Crossref/DOI) [2025-05-16]\n160 citations (Crossref/DOI) [2025-05-16]\nJCR分区: Q1\n中科院分区升级版: 材料科学1区\n影响因子: 37.2\n5年影响因子: 44.0\nEI: 是\n南农高质量: A","page":"1531-1539","source":"DOI.org (Crossref)","title":"Localized high-concentration electrolytes get more localized through micelle-like structures","volume":"22","author":[{"family":"Efaw","given":"Corey M."},{"family":"Wu","given":"Qisheng"},{"family":"Gao","given":"Ningshengjie"},{"family":"Zhang","given":"Yugang"},{"family":"Zhu","given":"Haoyu"},{"family":"Gering","given":"Kevin"},{"family":"Hurley","given":"Michael F."},{"family":"Xiong","given":"Hui"},{"family":"Hu","given":"Enyuan"},{"family":"Cao","given":"Xia"},{"family":"Xu","given":"Wu"},{"family":"Zhang","given":"Ji-Guang"},{"family":"Dufek","given":"Eric J."},{"family":"Xiao","given":"Jie"},{"family":"Yang","given":"Xiao-Qing"},{"family":"Liu","given":"Jun"},{"family":"Qi","given":"Yue"},{"family":"Li","given":"Bin"}],"issued":{"date-parts":[["2023",12]]}}}],"schema":"https://github.com/citation-style-language/schema/raw/master/csl-citation.json"} </w:instrText>
      </w:r>
      <w:r>
        <w:rPr>
          <w:rFonts w:ascii="Times New Roman" w:hAnsi="Times New Roman" w:eastAsia="宋体" w:cs="Times New Roman"/>
          <w:sz w:val="24"/>
          <w:szCs w:val="24"/>
        </w:rPr>
        <w:fldChar w:fldCharType="separate"/>
      </w:r>
      <w:r>
        <w:rPr>
          <w:rFonts w:ascii="Times New Roman" w:hAnsi="Times New Roman" w:eastAsia="等线" w:cs="Times New Roman"/>
          <w:kern w:val="0"/>
          <w:sz w:val="24"/>
          <w:vertAlign w:val="superscript"/>
        </w:rPr>
        <w:t>12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(b) Heatmap quantifying the mean absolute error (</w:t>
      </w:r>
      <w:r>
        <w:rPr>
          <w:rFonts w:ascii="Times New Roman" w:hAnsi="Times New Roman" w:eastAsia="宋体" w:cs="Times New Roman"/>
          <w:i/>
          <w:iCs/>
          <w:sz w:val="24"/>
          <w:szCs w:val="24"/>
        </w:rPr>
        <w:t>MAE</w:t>
      </w:r>
      <w:r>
        <w:rPr>
          <w:rFonts w:ascii="Times New Roman" w:hAnsi="Times New Roman" w:eastAsia="宋体" w:cs="Times New Roman"/>
          <w:sz w:val="24"/>
          <w:szCs w:val="24"/>
        </w:rPr>
        <w:t xml:space="preserve">) for individual coordination states, with darker colors indicating larger deviations from experimental values. (c) Statistical evaluation of predictive fidelity </w:t>
      </w:r>
      <w:r>
        <w:rPr>
          <w:rFonts w:ascii="Times New Roman" w:hAnsi="Times New Roman" w:eastAsia="宋体" w:cs="Times New Roman"/>
          <w:i/>
          <w:iCs/>
          <w:sz w:val="24"/>
          <w:szCs w:val="24"/>
        </w:rPr>
        <w:t>via</w:t>
      </w:r>
      <w:r>
        <w:rPr>
          <w:rFonts w:ascii="Times New Roman" w:hAnsi="Times New Roman" w:eastAsia="宋体" w:cs="Times New Roman"/>
          <w:sz w:val="24"/>
          <w:szCs w:val="24"/>
        </w:rPr>
        <w:t xml:space="preserve"> the coefficient of determination (</w:t>
      </w:r>
      <w:r>
        <w:rPr>
          <w:rFonts w:ascii="Times New Roman" w:hAnsi="Times New Roman" w:eastAsia="宋体" w:cs="Times New Roman"/>
          <w:i/>
          <w:iCs/>
          <w:sz w:val="24"/>
          <w:szCs w:val="24"/>
        </w:rPr>
        <w:t>R</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and state-averaged </w:t>
      </w:r>
      <w:r>
        <w:rPr>
          <w:rFonts w:ascii="Times New Roman" w:hAnsi="Times New Roman" w:eastAsia="宋体" w:cs="Times New Roman"/>
          <w:i/>
          <w:iCs/>
          <w:sz w:val="24"/>
          <w:szCs w:val="24"/>
        </w:rPr>
        <w:t>MAE</w:t>
      </w:r>
      <w:r>
        <w:rPr>
          <w:rFonts w:ascii="Times New Roman" w:hAnsi="Times New Roman" w:eastAsia="宋体" w:cs="Times New Roman"/>
          <w:sz w:val="24"/>
          <w:szCs w:val="24"/>
        </w:rPr>
        <w:t xml:space="preserve"> (</w:t>
      </w:r>
      <w:r>
        <w:rPr>
          <w:rFonts w:ascii="Times New Roman" w:hAnsi="Times New Roman" w:eastAsia="宋体" w:cs="Times New Roman"/>
          <w:i/>
          <w:iCs/>
          <w:sz w:val="24"/>
          <w:szCs w:val="24"/>
        </w:rPr>
        <w:t>MAE</w:t>
      </w:r>
      <w:r>
        <w:rPr>
          <w:rFonts w:ascii="Times New Roman" w:hAnsi="Times New Roman" w:eastAsia="宋体" w:cs="Times New Roman"/>
          <w:sz w:val="24"/>
          <w:szCs w:val="24"/>
          <w:vertAlign w:val="subscript"/>
        </w:rPr>
        <w:t>ave</w:t>
      </w:r>
      <w:r>
        <w:rPr>
          <w:rFonts w:ascii="Times New Roman" w:hAnsi="Times New Roman" w:eastAsia="宋体" w:cs="Times New Roman"/>
          <w:sz w:val="24"/>
          <w:szCs w:val="24"/>
        </w:rPr>
        <w:t>).</w:t>
      </w:r>
    </w:p>
    <w:p w14:paraId="2DB73B7F">
      <w:pPr>
        <w:widowControl/>
        <w:spacing w:line="360" w:lineRule="auto"/>
        <w:jc w:val="left"/>
        <w:rPr>
          <w:rFonts w:ascii="Times New Roman" w:hAnsi="Times New Roman" w:eastAsia="宋体" w:cs="Times New Roman"/>
          <w:sz w:val="24"/>
          <w:szCs w:val="24"/>
        </w:rPr>
      </w:pPr>
    </w:p>
    <w:p w14:paraId="2093A6AC">
      <w:pPr>
        <w:widowControl/>
        <w:spacing w:line="360" w:lineRule="auto"/>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2D6AD242">
      <w:pPr>
        <w:widowControl/>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4319905" cy="5512435"/>
            <wp:effectExtent l="0" t="0" r="4445" b="0"/>
            <wp:docPr id="230625680" name="图片 4"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25680" name="图片 4" descr="图表&#10;&#10;AI 生成的内容可能不正确。"/>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4320000" cy="5512895"/>
                    </a:xfrm>
                    <a:prstGeom prst="rect">
                      <a:avLst/>
                    </a:prstGeom>
                    <a:noFill/>
                    <a:ln>
                      <a:noFill/>
                    </a:ln>
                  </pic:spPr>
                </pic:pic>
              </a:graphicData>
            </a:graphic>
          </wp:inline>
        </w:drawing>
      </w:r>
    </w:p>
    <w:p w14:paraId="3E1DD8A2">
      <w:pPr>
        <w:widowControl/>
        <w:adjustRightInd w:val="0"/>
        <w:snapToGrid w:val="0"/>
        <w:spacing w:line="360" w:lineRule="auto"/>
        <w:rPr>
          <w:rFonts w:ascii="Times New Roman" w:hAnsi="Times New Roman" w:eastAsia="宋体" w:cs="Times New Roman"/>
          <w:sz w:val="24"/>
          <w:szCs w:val="24"/>
        </w:rPr>
      </w:pPr>
      <w:bookmarkStart w:id="33" w:name="_Toc221108155"/>
      <w:r>
        <w:rPr>
          <w:rStyle w:val="27"/>
          <w:rFonts w:cs="Times New Roman"/>
        </w:rPr>
        <w:t>Supplementary Fig. 12 | Benchmarking FSI</w:t>
      </w:r>
      <w:r>
        <w:rPr>
          <w:rStyle w:val="27"/>
          <w:rFonts w:cs="Times New Roman"/>
          <w:vertAlign w:val="superscript"/>
        </w:rPr>
        <w:t>-</w:t>
      </w:r>
      <w:r>
        <w:rPr>
          <w:rStyle w:val="27"/>
          <w:rFonts w:cs="Times New Roman"/>
        </w:rPr>
        <w:t xml:space="preserve"> speciation in 1LiFSI:1.4DME (298.15 K).</w:t>
      </w:r>
      <w:bookmarkEnd w:id="33"/>
      <w:r>
        <w:rPr>
          <w:rStyle w:val="27"/>
          <w:rFonts w:cs="Times New Roman"/>
        </w:rPr>
        <w:t xml:space="preserve"> </w:t>
      </w:r>
      <w:r>
        <w:rPr>
          <w:rFonts w:ascii="Times New Roman" w:hAnsi="Times New Roman" w:eastAsia="宋体" w:cs="Times New Roman"/>
          <w:sz w:val="24"/>
          <w:szCs w:val="24"/>
        </w:rPr>
        <w:t>(a) Population distributions of SSIP, CIP, AGG, AGG+ predicted by 12 FFs, benchmarked against experimental Raman spectroscopy data.</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ADDIN ZOTERO_ITEM CSL_CITATION {"citationID":"lgw0qJXx","properties":{"formattedCitation":"\\super 12\\nosupersub{}","plainCitation":"12","noteIndex":0},"citationItems":[{"id":101,"uris":["http://zotero.org/users/17156447/items/LI2VYUQ7"],"itemData":{"id":101,"type":"article-journal","container-title":"Nature Materials","DOI":"10.1038/s41563-023-01700-3","ISSN":"1476-1122, 1476-4660","issue":"12","journalAbbreviation":"Nat. Mater.","language":"en","note":"162 citations (Crossref/DOI) [2025-05-22]\n160 citations (Crossref/DOI) [2025-05-16]\n160 citations (Crossref/DOI) [2025-05-16]\n160 citations (Crossref/DOI) [2025-05-16]\nJCR分区: Q1\n中科院分区升级版: 材料科学1区\n影响因子: 37.2\n5年影响因子: 44.0\nEI: 是\n南农高质量: A","page":"1531-1539","source":"DOI.org (Crossref)","title":"Localized high-concentration electrolytes get more localized through micelle-like structures","volume":"22","author":[{"family":"Efaw","given":"Corey M."},{"family":"Wu","given":"Qisheng"},{"family":"Gao","given":"Ningshengjie"},{"family":"Zhang","given":"Yugang"},{"family":"Zhu","given":"Haoyu"},{"family":"Gering","given":"Kevin"},{"family":"Hurley","given":"Michael F."},{"family":"Xiong","given":"Hui"},{"family":"Hu","given":"Enyuan"},{"family":"Cao","given":"Xia"},{"family":"Xu","given":"Wu"},{"family":"Zhang","given":"Ji-Guang"},{"family":"Dufek","given":"Eric J."},{"family":"Xiao","given":"Jie"},{"family":"Yang","given":"Xiao-Qing"},{"family":"Liu","given":"Jun"},{"family":"Qi","given":"Yue"},{"family":"Li","given":"Bin"}],"issued":{"date-parts":[["2023",12]]}}}],"schema":"https://github.com/citation-style-language/schema/raw/master/csl-citation.json"} </w:instrText>
      </w:r>
      <w:r>
        <w:rPr>
          <w:rFonts w:ascii="Times New Roman" w:hAnsi="Times New Roman" w:eastAsia="宋体" w:cs="Times New Roman"/>
          <w:sz w:val="24"/>
          <w:szCs w:val="24"/>
        </w:rPr>
        <w:fldChar w:fldCharType="separate"/>
      </w:r>
      <w:r>
        <w:rPr>
          <w:rFonts w:ascii="Times New Roman" w:hAnsi="Times New Roman" w:eastAsia="等线" w:cs="Times New Roman"/>
          <w:kern w:val="0"/>
          <w:sz w:val="24"/>
          <w:vertAlign w:val="superscript"/>
        </w:rPr>
        <w:t>12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(b) Heatmap quantifying the </w:t>
      </w:r>
      <w:r>
        <w:rPr>
          <w:rFonts w:ascii="Times New Roman" w:hAnsi="Times New Roman" w:eastAsia="宋体" w:cs="Times New Roman"/>
          <w:i/>
          <w:iCs/>
          <w:sz w:val="24"/>
          <w:szCs w:val="24"/>
        </w:rPr>
        <w:t>MAE</w:t>
      </w:r>
      <w:r>
        <w:rPr>
          <w:rFonts w:ascii="Times New Roman" w:hAnsi="Times New Roman" w:eastAsia="宋体" w:cs="Times New Roman"/>
          <w:sz w:val="24"/>
          <w:szCs w:val="24"/>
        </w:rPr>
        <w:t xml:space="preserve"> for individual coordination states, with darker colors indicating larger deviations from experimental values. (c) Statistical evaluation of predictive fidelity </w:t>
      </w:r>
      <w:r>
        <w:rPr>
          <w:rFonts w:ascii="Times New Roman" w:hAnsi="Times New Roman" w:eastAsia="宋体" w:cs="Times New Roman"/>
          <w:i/>
          <w:iCs/>
          <w:sz w:val="24"/>
          <w:szCs w:val="24"/>
        </w:rPr>
        <w:t>via</w:t>
      </w:r>
      <w:r>
        <w:rPr>
          <w:rFonts w:ascii="Times New Roman" w:hAnsi="Times New Roman" w:eastAsia="宋体" w:cs="Times New Roman"/>
          <w:sz w:val="24"/>
          <w:szCs w:val="24"/>
        </w:rPr>
        <w:t xml:space="preserve"> the </w:t>
      </w:r>
      <w:r>
        <w:rPr>
          <w:rFonts w:ascii="Times New Roman" w:hAnsi="Times New Roman" w:eastAsia="宋体" w:cs="Times New Roman"/>
          <w:i/>
          <w:iCs/>
          <w:sz w:val="24"/>
          <w:szCs w:val="24"/>
        </w:rPr>
        <w:t>R</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and </w:t>
      </w:r>
      <w:r>
        <w:rPr>
          <w:rFonts w:ascii="Times New Roman" w:hAnsi="Times New Roman" w:eastAsia="宋体" w:cs="Times New Roman"/>
          <w:i/>
          <w:iCs/>
          <w:sz w:val="24"/>
          <w:szCs w:val="24"/>
        </w:rPr>
        <w:t>MAE</w:t>
      </w:r>
      <w:r>
        <w:rPr>
          <w:rFonts w:ascii="Times New Roman" w:hAnsi="Times New Roman" w:eastAsia="宋体" w:cs="Times New Roman"/>
          <w:sz w:val="24"/>
          <w:szCs w:val="24"/>
          <w:vertAlign w:val="subscript"/>
        </w:rPr>
        <w:t>ave</w:t>
      </w:r>
      <w:r>
        <w:rPr>
          <w:rFonts w:ascii="Times New Roman" w:hAnsi="Times New Roman" w:eastAsia="宋体" w:cs="Times New Roman"/>
          <w:sz w:val="24"/>
          <w:szCs w:val="24"/>
        </w:rPr>
        <w:t>.</w:t>
      </w:r>
    </w:p>
    <w:p w14:paraId="7B03CD0B">
      <w:pPr>
        <w:widowControl/>
        <w:adjustRightInd w:val="0"/>
        <w:snapToGrid w:val="0"/>
        <w:spacing w:line="360" w:lineRule="auto"/>
        <w:rPr>
          <w:rFonts w:ascii="Times New Roman" w:hAnsi="Times New Roman" w:eastAsia="宋体" w:cs="Times New Roman"/>
          <w:sz w:val="24"/>
          <w:szCs w:val="24"/>
        </w:rPr>
      </w:pPr>
    </w:p>
    <w:p w14:paraId="1A0C8E34">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5045A866">
      <w:pPr>
        <w:widowControl/>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4319905" cy="5512435"/>
            <wp:effectExtent l="0" t="0" r="4445" b="0"/>
            <wp:docPr id="605728970" name="图片 3"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28970" name="图片 3" descr="图表&#10;&#10;AI 生成的内容可能不正确。"/>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320000" cy="5512895"/>
                    </a:xfrm>
                    <a:prstGeom prst="rect">
                      <a:avLst/>
                    </a:prstGeom>
                    <a:noFill/>
                    <a:ln>
                      <a:noFill/>
                    </a:ln>
                  </pic:spPr>
                </pic:pic>
              </a:graphicData>
            </a:graphic>
          </wp:inline>
        </w:drawing>
      </w:r>
    </w:p>
    <w:p w14:paraId="1B5A28F3">
      <w:pPr>
        <w:widowControl/>
        <w:adjustRightInd w:val="0"/>
        <w:snapToGrid w:val="0"/>
        <w:spacing w:line="360" w:lineRule="auto"/>
        <w:rPr>
          <w:rFonts w:ascii="Times New Roman" w:hAnsi="Times New Roman" w:eastAsia="宋体" w:cs="Times New Roman"/>
          <w:sz w:val="24"/>
          <w:szCs w:val="24"/>
        </w:rPr>
      </w:pPr>
      <w:bookmarkStart w:id="34" w:name="_Toc221108156"/>
      <w:r>
        <w:rPr>
          <w:rStyle w:val="27"/>
          <w:rFonts w:cs="Times New Roman"/>
        </w:rPr>
        <w:t>Supplementary Fig. 13 | Benchmarking FSI</w:t>
      </w:r>
      <w:r>
        <w:rPr>
          <w:rStyle w:val="27"/>
          <w:rFonts w:cs="Times New Roman"/>
          <w:vertAlign w:val="superscript"/>
        </w:rPr>
        <w:t>-</w:t>
      </w:r>
      <w:r>
        <w:rPr>
          <w:rStyle w:val="27"/>
          <w:rFonts w:cs="Times New Roman"/>
        </w:rPr>
        <w:t xml:space="preserve"> speciation in 1LiFSI:9DME (298.15 K).</w:t>
      </w:r>
      <w:bookmarkEnd w:id="34"/>
      <w:r>
        <w:rPr>
          <w:rStyle w:val="27"/>
          <w:rFonts w:cs="Times New Roman"/>
        </w:rPr>
        <w:t xml:space="preserve"> </w:t>
      </w:r>
      <w:r>
        <w:rPr>
          <w:rFonts w:ascii="Times New Roman" w:hAnsi="Times New Roman" w:eastAsia="宋体" w:cs="Times New Roman"/>
          <w:sz w:val="24"/>
          <w:szCs w:val="24"/>
        </w:rPr>
        <w:t>(a) Population distributions of SSIP, CIP, AGG, AGG+ predicted by 12 FFs, benchmarked against experimental Raman spectroscopy data.</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ADDIN ZOTERO_ITEM CSL_CITATION {"citationID":"dZPzKx0b","properties":{"formattedCitation":"\\super 12\\nosupersub{}","plainCitation":"12","noteIndex":0},"citationItems":[{"id":101,"uris":["http://zotero.org/users/17156447/items/LI2VYUQ7"],"itemData":{"id":101,"type":"article-journal","container-title":"Nature Materials","DOI":"10.1038/s41563-023-01700-3","ISSN":"1476-1122, 1476-4660","issue":"12","journalAbbreviation":"Nat. Mater.","language":"en","note":"162 citations (Crossref/DOI) [2025-05-22]\n160 citations (Crossref/DOI) [2025-05-16]\n160 citations (Crossref/DOI) [2025-05-16]\n160 citations (Crossref/DOI) [2025-05-16]\nJCR分区: Q1\n中科院分区升级版: 材料科学1区\n影响因子: 37.2\n5年影响因子: 44.0\nEI: 是\n南农高质量: A","page":"1531-1539","source":"DOI.org (Crossref)","title":"Localized high-concentration electrolytes get more localized through micelle-like structures","volume":"22","author":[{"family":"Efaw","given":"Corey M."},{"family":"Wu","given":"Qisheng"},{"family":"Gao","given":"Ningshengjie"},{"family":"Zhang","given":"Yugang"},{"family":"Zhu","given":"Haoyu"},{"family":"Gering","given":"Kevin"},{"family":"Hurley","given":"Michael F."},{"family":"Xiong","given":"Hui"},{"family":"Hu","given":"Enyuan"},{"family":"Cao","given":"Xia"},{"family":"Xu","given":"Wu"},{"family":"Zhang","given":"Ji-Guang"},{"family":"Dufek","given":"Eric J."},{"family":"Xiao","given":"Jie"},{"family":"Yang","given":"Xiao-Qing"},{"family":"Liu","given":"Jun"},{"family":"Qi","given":"Yue"},{"family":"Li","given":"Bin"}],"issued":{"date-parts":[["2023",12]]}}}],"schema":"https://github.com/citation-style-language/schema/raw/master/csl-citation.json"} </w:instrText>
      </w:r>
      <w:r>
        <w:rPr>
          <w:rFonts w:ascii="Times New Roman" w:hAnsi="Times New Roman" w:eastAsia="宋体" w:cs="Times New Roman"/>
          <w:sz w:val="24"/>
          <w:szCs w:val="24"/>
        </w:rPr>
        <w:fldChar w:fldCharType="separate"/>
      </w:r>
      <w:r>
        <w:rPr>
          <w:rFonts w:ascii="Times New Roman" w:hAnsi="Times New Roman" w:eastAsia="等线" w:cs="Times New Roman"/>
          <w:kern w:val="0"/>
          <w:sz w:val="24"/>
          <w:vertAlign w:val="superscript"/>
        </w:rPr>
        <w:t>12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(b) Heatmap quantifying the </w:t>
      </w:r>
      <w:r>
        <w:rPr>
          <w:rFonts w:ascii="Times New Roman" w:hAnsi="Times New Roman" w:eastAsia="宋体" w:cs="Times New Roman"/>
          <w:i/>
          <w:iCs/>
          <w:sz w:val="24"/>
          <w:szCs w:val="24"/>
        </w:rPr>
        <w:t>MAE</w:t>
      </w:r>
      <w:r>
        <w:rPr>
          <w:rFonts w:ascii="Times New Roman" w:hAnsi="Times New Roman" w:eastAsia="宋体" w:cs="Times New Roman"/>
          <w:sz w:val="24"/>
          <w:szCs w:val="24"/>
        </w:rPr>
        <w:t xml:space="preserve"> for individual coordination states, with darker colors indicating larger deviations from experimental values. (c) Statistical evaluation of predictive fidelity </w:t>
      </w:r>
      <w:r>
        <w:rPr>
          <w:rFonts w:ascii="Times New Roman" w:hAnsi="Times New Roman" w:eastAsia="宋体" w:cs="Times New Roman"/>
          <w:i/>
          <w:iCs/>
          <w:sz w:val="24"/>
          <w:szCs w:val="24"/>
        </w:rPr>
        <w:t>via</w:t>
      </w:r>
      <w:r>
        <w:rPr>
          <w:rFonts w:ascii="Times New Roman" w:hAnsi="Times New Roman" w:eastAsia="宋体" w:cs="Times New Roman"/>
          <w:sz w:val="24"/>
          <w:szCs w:val="24"/>
        </w:rPr>
        <w:t xml:space="preserve"> the </w:t>
      </w:r>
      <w:r>
        <w:rPr>
          <w:rFonts w:ascii="Times New Roman" w:hAnsi="Times New Roman" w:eastAsia="宋体" w:cs="Times New Roman"/>
          <w:i/>
          <w:iCs/>
          <w:sz w:val="24"/>
          <w:szCs w:val="24"/>
        </w:rPr>
        <w:t>R</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and </w:t>
      </w:r>
      <w:r>
        <w:rPr>
          <w:rFonts w:ascii="Times New Roman" w:hAnsi="Times New Roman" w:eastAsia="宋体" w:cs="Times New Roman"/>
          <w:i/>
          <w:iCs/>
          <w:sz w:val="24"/>
          <w:szCs w:val="24"/>
        </w:rPr>
        <w:t>MAE</w:t>
      </w:r>
      <w:r>
        <w:rPr>
          <w:rFonts w:ascii="Times New Roman" w:hAnsi="Times New Roman" w:eastAsia="宋体" w:cs="Times New Roman"/>
          <w:sz w:val="24"/>
          <w:szCs w:val="24"/>
          <w:vertAlign w:val="subscript"/>
        </w:rPr>
        <w:t>ave</w:t>
      </w:r>
      <w:r>
        <w:rPr>
          <w:rFonts w:ascii="Times New Roman" w:hAnsi="Times New Roman" w:eastAsia="宋体" w:cs="Times New Roman"/>
          <w:sz w:val="24"/>
          <w:szCs w:val="24"/>
        </w:rPr>
        <w:t>.</w:t>
      </w:r>
    </w:p>
    <w:p w14:paraId="1ABAF841">
      <w:pPr>
        <w:widowControl/>
        <w:adjustRightInd w:val="0"/>
        <w:snapToGrid w:val="0"/>
        <w:spacing w:line="360" w:lineRule="auto"/>
        <w:rPr>
          <w:rFonts w:ascii="Times New Roman" w:hAnsi="Times New Roman" w:eastAsia="宋体" w:cs="Times New Roman"/>
          <w:sz w:val="24"/>
          <w:szCs w:val="24"/>
        </w:rPr>
      </w:pPr>
    </w:p>
    <w:p w14:paraId="27FF8A85">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405EC552">
      <w:pPr>
        <w:widowControl/>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4319905" cy="5512435"/>
            <wp:effectExtent l="0" t="0" r="4445" b="0"/>
            <wp:docPr id="2045353926" name="图片 5"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53926" name="图片 5" descr="图表&#10;&#10;AI 生成的内容可能不正确。"/>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4320000" cy="5512895"/>
                    </a:xfrm>
                    <a:prstGeom prst="rect">
                      <a:avLst/>
                    </a:prstGeom>
                    <a:noFill/>
                    <a:ln>
                      <a:noFill/>
                    </a:ln>
                  </pic:spPr>
                </pic:pic>
              </a:graphicData>
            </a:graphic>
          </wp:inline>
        </w:drawing>
      </w:r>
    </w:p>
    <w:p w14:paraId="2DA08F4B">
      <w:pPr>
        <w:widowControl/>
        <w:adjustRightInd w:val="0"/>
        <w:snapToGrid w:val="0"/>
        <w:spacing w:line="360" w:lineRule="auto"/>
        <w:rPr>
          <w:rFonts w:ascii="Times New Roman" w:hAnsi="Times New Roman" w:eastAsia="宋体" w:cs="Times New Roman"/>
          <w:sz w:val="24"/>
          <w:szCs w:val="24"/>
        </w:rPr>
      </w:pPr>
      <w:bookmarkStart w:id="35" w:name="_Toc221108157"/>
      <w:r>
        <w:rPr>
          <w:rStyle w:val="27"/>
          <w:rFonts w:cs="Times New Roman"/>
        </w:rPr>
        <w:t>Supplementary Fig. 14 | Benchmarking FSI</w:t>
      </w:r>
      <w:r>
        <w:rPr>
          <w:rStyle w:val="27"/>
          <w:rFonts w:cs="Times New Roman"/>
          <w:vertAlign w:val="superscript"/>
        </w:rPr>
        <w:t>-</w:t>
      </w:r>
      <w:r>
        <w:rPr>
          <w:rStyle w:val="27"/>
          <w:rFonts w:cs="Times New Roman"/>
        </w:rPr>
        <w:t xml:space="preserve"> speciation in 1LiFSI:1.2DME (298.15 K).</w:t>
      </w:r>
      <w:bookmarkEnd w:id="35"/>
      <w:r>
        <w:rPr>
          <w:rStyle w:val="27"/>
          <w:rFonts w:cs="Times New Roman"/>
        </w:rPr>
        <w:t xml:space="preserve"> </w:t>
      </w:r>
      <w:r>
        <w:rPr>
          <w:rFonts w:ascii="Times New Roman" w:hAnsi="Times New Roman" w:eastAsia="宋体" w:cs="Times New Roman"/>
          <w:sz w:val="24"/>
          <w:szCs w:val="24"/>
        </w:rPr>
        <w:t>(a) Population distributions of SSIP, CIP, AGG, AGG+ predicted by 12 FFs, benchmarked against experimental Raman spectroscopy data.</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ADDIN ZOTERO_ITEM CSL_CITATION {"citationID":"qPV0DEFd","properties":{"formattedCitation":"\\super 12\\nosupersub{}","plainCitation":"12","noteIndex":0},"citationItems":[{"id":101,"uris":["http://zotero.org/users/17156447/items/LI2VYUQ7"],"itemData":{"id":101,"type":"article-journal","container-title":"Nature Materials","DOI":"10.1038/s41563-023-01700-3","ISSN":"1476-1122, 1476-4660","issue":"12","journalAbbreviation":"Nat. Mater.","language":"en","note":"162 citations (Crossref/DOI) [2025-05-22]\n160 citations (Crossref/DOI) [2025-05-16]\n160 citations (Crossref/DOI) [2025-05-16]\n160 citations (Crossref/DOI) [2025-05-16]\nJCR分区: Q1\n中科院分区升级版: 材料科学1区\n影响因子: 37.2\n5年影响因子: 44.0\nEI: 是\n南农高质量: A","page":"1531-1539","source":"DOI.org (Crossref)","title":"Localized high-concentration electrolytes get more localized through micelle-like structures","volume":"22","author":[{"family":"Efaw","given":"Corey M."},{"family":"Wu","given":"Qisheng"},{"family":"Gao","given":"Ningshengjie"},{"family":"Zhang","given":"Yugang"},{"family":"Zhu","given":"Haoyu"},{"family":"Gering","given":"Kevin"},{"family":"Hurley","given":"Michael F."},{"family":"Xiong","given":"Hui"},{"family":"Hu","given":"Enyuan"},{"family":"Cao","given":"Xia"},{"family":"Xu","given":"Wu"},{"family":"Zhang","given":"Ji-Guang"},{"family":"Dufek","given":"Eric J."},{"family":"Xiao","given":"Jie"},{"family":"Yang","given":"Xiao-Qing"},{"family":"Liu","given":"Jun"},{"family":"Qi","given":"Yue"},{"family":"Li","given":"Bin"}],"issued":{"date-parts":[["2023",12]]}}}],"schema":"https://github.com/citation-style-language/schema/raw/master/csl-citation.json"} </w:instrText>
      </w:r>
      <w:r>
        <w:rPr>
          <w:rFonts w:ascii="Times New Roman" w:hAnsi="Times New Roman" w:eastAsia="宋体" w:cs="Times New Roman"/>
          <w:sz w:val="24"/>
          <w:szCs w:val="24"/>
        </w:rPr>
        <w:fldChar w:fldCharType="separate"/>
      </w:r>
      <w:r>
        <w:rPr>
          <w:rFonts w:ascii="Times New Roman" w:hAnsi="Times New Roman" w:eastAsia="等线" w:cs="Times New Roman"/>
          <w:kern w:val="0"/>
          <w:sz w:val="24"/>
          <w:vertAlign w:val="superscript"/>
        </w:rPr>
        <w:t>12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(b) Heatmap quantifying the </w:t>
      </w:r>
      <w:r>
        <w:rPr>
          <w:rFonts w:ascii="Times New Roman" w:hAnsi="Times New Roman" w:eastAsia="宋体" w:cs="Times New Roman"/>
          <w:i/>
          <w:iCs/>
          <w:sz w:val="24"/>
          <w:szCs w:val="24"/>
        </w:rPr>
        <w:t>MAE</w:t>
      </w:r>
      <w:r>
        <w:rPr>
          <w:rFonts w:ascii="Times New Roman" w:hAnsi="Times New Roman" w:eastAsia="宋体" w:cs="Times New Roman"/>
          <w:sz w:val="24"/>
          <w:szCs w:val="24"/>
        </w:rPr>
        <w:t xml:space="preserve"> for individual coordination states, with darker colors indicating larger deviations from experimental values. (c) Statistical evaluation of predictive fidelity </w:t>
      </w:r>
      <w:r>
        <w:rPr>
          <w:rFonts w:ascii="Times New Roman" w:hAnsi="Times New Roman" w:eastAsia="宋体" w:cs="Times New Roman"/>
          <w:i/>
          <w:iCs/>
          <w:sz w:val="24"/>
          <w:szCs w:val="24"/>
        </w:rPr>
        <w:t>via</w:t>
      </w:r>
      <w:r>
        <w:rPr>
          <w:rFonts w:ascii="Times New Roman" w:hAnsi="Times New Roman" w:eastAsia="宋体" w:cs="Times New Roman"/>
          <w:sz w:val="24"/>
          <w:szCs w:val="24"/>
        </w:rPr>
        <w:t xml:space="preserve"> the </w:t>
      </w:r>
      <w:r>
        <w:rPr>
          <w:rFonts w:ascii="Times New Roman" w:hAnsi="Times New Roman" w:eastAsia="宋体" w:cs="Times New Roman"/>
          <w:i/>
          <w:iCs/>
          <w:sz w:val="24"/>
          <w:szCs w:val="24"/>
        </w:rPr>
        <w:t>R</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and </w:t>
      </w:r>
      <w:r>
        <w:rPr>
          <w:rFonts w:ascii="Times New Roman" w:hAnsi="Times New Roman" w:eastAsia="宋体" w:cs="Times New Roman"/>
          <w:i/>
          <w:iCs/>
          <w:sz w:val="24"/>
          <w:szCs w:val="24"/>
        </w:rPr>
        <w:t>MAE</w:t>
      </w:r>
      <w:r>
        <w:rPr>
          <w:rFonts w:ascii="Times New Roman" w:hAnsi="Times New Roman" w:eastAsia="宋体" w:cs="Times New Roman"/>
          <w:sz w:val="24"/>
          <w:szCs w:val="24"/>
          <w:vertAlign w:val="subscript"/>
        </w:rPr>
        <w:t>ave</w:t>
      </w:r>
      <w:r>
        <w:rPr>
          <w:rFonts w:ascii="Times New Roman" w:hAnsi="Times New Roman" w:eastAsia="宋体" w:cs="Times New Roman"/>
          <w:sz w:val="24"/>
          <w:szCs w:val="24"/>
        </w:rPr>
        <w:t>.</w:t>
      </w:r>
    </w:p>
    <w:p w14:paraId="3A094FC2">
      <w:pPr>
        <w:widowControl/>
        <w:adjustRightInd w:val="0"/>
        <w:snapToGrid w:val="0"/>
        <w:spacing w:line="360" w:lineRule="auto"/>
        <w:rPr>
          <w:rFonts w:ascii="Times New Roman" w:hAnsi="Times New Roman" w:eastAsia="宋体" w:cs="Times New Roman"/>
          <w:sz w:val="24"/>
          <w:szCs w:val="24"/>
        </w:rPr>
      </w:pPr>
    </w:p>
    <w:p w14:paraId="6E081321">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10B7636E">
      <w:pPr>
        <w:widowControl/>
        <w:adjustRightInd w:val="0"/>
        <w:snapToGrid w:val="0"/>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4319905" cy="5512435"/>
            <wp:effectExtent l="0" t="0" r="4445" b="0"/>
            <wp:docPr id="412093062" name="图片 6"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93062" name="图片 6" descr="图表&#10;&#10;AI 生成的内容可能不正确。"/>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320000" cy="5512895"/>
                    </a:xfrm>
                    <a:prstGeom prst="rect">
                      <a:avLst/>
                    </a:prstGeom>
                    <a:noFill/>
                    <a:ln>
                      <a:noFill/>
                    </a:ln>
                  </pic:spPr>
                </pic:pic>
              </a:graphicData>
            </a:graphic>
          </wp:inline>
        </w:drawing>
      </w:r>
    </w:p>
    <w:p w14:paraId="40C9E528">
      <w:pPr>
        <w:widowControl/>
        <w:adjustRightInd w:val="0"/>
        <w:snapToGrid w:val="0"/>
        <w:spacing w:line="360" w:lineRule="auto"/>
        <w:rPr>
          <w:rFonts w:ascii="Times New Roman" w:hAnsi="Times New Roman" w:eastAsia="宋体" w:cs="Times New Roman"/>
          <w:sz w:val="24"/>
          <w:szCs w:val="24"/>
        </w:rPr>
      </w:pPr>
      <w:bookmarkStart w:id="36" w:name="_Toc221108158"/>
      <w:r>
        <w:rPr>
          <w:rStyle w:val="27"/>
          <w:rFonts w:cs="Times New Roman"/>
        </w:rPr>
        <w:t>Supplementary Fig. 15 | Benchmarking FSI</w:t>
      </w:r>
      <w:r>
        <w:rPr>
          <w:rStyle w:val="27"/>
          <w:rFonts w:cs="Times New Roman"/>
          <w:vertAlign w:val="superscript"/>
        </w:rPr>
        <w:t>-</w:t>
      </w:r>
      <w:r>
        <w:rPr>
          <w:rStyle w:val="27"/>
          <w:rFonts w:cs="Times New Roman"/>
        </w:rPr>
        <w:t xml:space="preserve"> speciation in 1LiFSI:1.2DME:2TFEO (298.15 K).</w:t>
      </w:r>
      <w:bookmarkEnd w:id="36"/>
      <w:r>
        <w:rPr>
          <w:rStyle w:val="27"/>
          <w:rFonts w:cs="Times New Roman"/>
        </w:rPr>
        <w:t xml:space="preserve"> </w:t>
      </w:r>
      <w:r>
        <w:rPr>
          <w:rFonts w:ascii="Times New Roman" w:hAnsi="Times New Roman" w:eastAsia="宋体" w:cs="Times New Roman"/>
          <w:sz w:val="24"/>
          <w:szCs w:val="24"/>
        </w:rPr>
        <w:t>(a) Population distributions of SSIP, CIP, AGG, AGG+ predicted by 10 FFs, benchmarked against experimental Raman spectroscopy data.</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ADDIN ZOTERO_ITEM CSL_CITATION {"citationID":"nwYjHIRK","properties":{"formattedCitation":"\\super 12\\nosupersub{}","plainCitation":"12","noteIndex":0},"citationItems":[{"id":101,"uris":["http://zotero.org/users/17156447/items/LI2VYUQ7"],"itemData":{"id":101,"type":"article-journal","container-title":"Nature Materials","DOI":"10.1038/s41563-023-01700-3","ISSN":"1476-1122, 1476-4660","issue":"12","journalAbbreviation":"Nat. Mater.","language":"en","note":"162 citations (Crossref/DOI) [2025-05-22]\n160 citations (Crossref/DOI) [2025-05-16]\n160 citations (Crossref/DOI) [2025-05-16]\n160 citations (Crossref/DOI) [2025-05-16]\nJCR分区: Q1\n中科院分区升级版: 材料科学1区\n影响因子: 37.2\n5年影响因子: 44.0\nEI: 是\n南农高质量: A","page":"1531-1539","source":"DOI.org (Crossref)","title":"Localized high-concentration electrolytes get more localized through micelle-like structures","volume":"22","author":[{"family":"Efaw","given":"Corey M."},{"family":"Wu","given":"Qisheng"},{"family":"Gao","given":"Ningshengjie"},{"family":"Zhang","given":"Yugang"},{"family":"Zhu","given":"Haoyu"},{"family":"Gering","given":"Kevin"},{"family":"Hurley","given":"Michael F."},{"family":"Xiong","given":"Hui"},{"family":"Hu","given":"Enyuan"},{"family":"Cao","given":"Xia"},{"family":"Xu","given":"Wu"},{"family":"Zhang","given":"Ji-Guang"},{"family":"Dufek","given":"Eric J."},{"family":"Xiao","given":"Jie"},{"family":"Yang","given":"Xiao-Qing"},{"family":"Liu","given":"Jun"},{"family":"Qi","given":"Yue"},{"family":"Li","given":"Bin"}],"issued":{"date-parts":[["2023",12]]}}}],"schema":"https://github.com/citation-style-language/schema/raw/master/csl-citation.json"} </w:instrText>
      </w:r>
      <w:r>
        <w:rPr>
          <w:rFonts w:ascii="Times New Roman" w:hAnsi="Times New Roman" w:eastAsia="宋体" w:cs="Times New Roman"/>
          <w:sz w:val="24"/>
          <w:szCs w:val="24"/>
        </w:rPr>
        <w:fldChar w:fldCharType="separate"/>
      </w:r>
      <w:r>
        <w:rPr>
          <w:rFonts w:ascii="Times New Roman" w:hAnsi="Times New Roman" w:eastAsia="等线" w:cs="Times New Roman"/>
          <w:kern w:val="0"/>
          <w:sz w:val="24"/>
          <w:vertAlign w:val="superscript"/>
        </w:rPr>
        <w:t>12</w:t>
      </w:r>
      <w:r>
        <w:rPr>
          <w:rFonts w:ascii="Times New Roman" w:hAnsi="Times New Roman" w:eastAsia="宋体" w:cs="Times New Roman"/>
          <w:sz w:val="24"/>
          <w:szCs w:val="24"/>
        </w:rPr>
        <w:fldChar w:fldCharType="end"/>
      </w:r>
      <w:r>
        <w:rPr>
          <w:rFonts w:ascii="Times New Roman" w:hAnsi="Times New Roman" w:eastAsia="宋体" w:cs="Times New Roman"/>
          <w:sz w:val="24"/>
          <w:szCs w:val="24"/>
        </w:rPr>
        <w:t xml:space="preserve"> (b) Heatmap quantifying the </w:t>
      </w:r>
      <w:r>
        <w:rPr>
          <w:rFonts w:ascii="Times New Roman" w:hAnsi="Times New Roman" w:eastAsia="宋体" w:cs="Times New Roman"/>
          <w:i/>
          <w:iCs/>
          <w:sz w:val="24"/>
          <w:szCs w:val="24"/>
        </w:rPr>
        <w:t>MAE</w:t>
      </w:r>
      <w:r>
        <w:rPr>
          <w:rFonts w:ascii="Times New Roman" w:hAnsi="Times New Roman" w:eastAsia="宋体" w:cs="Times New Roman"/>
          <w:sz w:val="24"/>
          <w:szCs w:val="24"/>
        </w:rPr>
        <w:t xml:space="preserve"> for individual coordination states, with darker colors indicating larger deviations from experimental values. (c) Statistical evaluation of predictive fidelity </w:t>
      </w:r>
      <w:r>
        <w:rPr>
          <w:rFonts w:ascii="Times New Roman" w:hAnsi="Times New Roman" w:eastAsia="宋体" w:cs="Times New Roman"/>
          <w:i/>
          <w:iCs/>
          <w:sz w:val="24"/>
          <w:szCs w:val="24"/>
        </w:rPr>
        <w:t>via</w:t>
      </w:r>
      <w:r>
        <w:rPr>
          <w:rFonts w:ascii="Times New Roman" w:hAnsi="Times New Roman" w:eastAsia="宋体" w:cs="Times New Roman"/>
          <w:sz w:val="24"/>
          <w:szCs w:val="24"/>
        </w:rPr>
        <w:t xml:space="preserve"> the </w:t>
      </w:r>
      <w:r>
        <w:rPr>
          <w:rFonts w:ascii="Times New Roman" w:hAnsi="Times New Roman" w:eastAsia="宋体" w:cs="Times New Roman"/>
          <w:i/>
          <w:iCs/>
          <w:sz w:val="24"/>
          <w:szCs w:val="24"/>
        </w:rPr>
        <w:t>R</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and </w:t>
      </w:r>
      <w:r>
        <w:rPr>
          <w:rFonts w:ascii="Times New Roman" w:hAnsi="Times New Roman" w:eastAsia="宋体" w:cs="Times New Roman"/>
          <w:i/>
          <w:iCs/>
          <w:sz w:val="24"/>
          <w:szCs w:val="24"/>
        </w:rPr>
        <w:t>MAE</w:t>
      </w:r>
      <w:r>
        <w:rPr>
          <w:rFonts w:ascii="Times New Roman" w:hAnsi="Times New Roman" w:eastAsia="宋体" w:cs="Times New Roman"/>
          <w:sz w:val="24"/>
          <w:szCs w:val="24"/>
          <w:vertAlign w:val="subscript"/>
        </w:rPr>
        <w:t>ave</w:t>
      </w:r>
      <w:r>
        <w:rPr>
          <w:rFonts w:ascii="Times New Roman" w:hAnsi="Times New Roman" w:eastAsia="宋体" w:cs="Times New Roman"/>
          <w:sz w:val="24"/>
          <w:szCs w:val="24"/>
        </w:rPr>
        <w:t>.</w:t>
      </w:r>
    </w:p>
    <w:p w14:paraId="1B2585E8">
      <w:pPr>
        <w:widowControl/>
        <w:adjustRightInd w:val="0"/>
        <w:snapToGrid w:val="0"/>
        <w:spacing w:line="360" w:lineRule="auto"/>
        <w:rPr>
          <w:rFonts w:ascii="Times New Roman" w:hAnsi="Times New Roman" w:eastAsia="宋体" w:cs="Times New Roman"/>
          <w:sz w:val="24"/>
          <w:szCs w:val="24"/>
        </w:rPr>
      </w:pPr>
    </w:p>
    <w:p w14:paraId="3A185048">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7DE1002B">
      <w:pPr>
        <w:widowControl/>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3959860" cy="5835015"/>
            <wp:effectExtent l="0" t="0" r="2540" b="0"/>
            <wp:docPr id="106790904" name="图片 5"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90904" name="图片 5" descr="图表&#10;&#10;AI 生成的内容可能不正确。"/>
                    <pic:cNvPicPr>
                      <a:picLocks noChangeAspect="1" noChangeArrowheads="1"/>
                    </pic:cNvPicPr>
                  </pic:nvPicPr>
                  <pic:blipFill>
                    <a:blip r:embed="rId69" cstate="hqprint">
                      <a:extLst>
                        <a:ext uri="{28A0092B-C50C-407E-A947-70E740481C1C}">
                          <a14:useLocalDpi xmlns:a14="http://schemas.microsoft.com/office/drawing/2010/main" val="0"/>
                        </a:ext>
                      </a:extLst>
                    </a:blip>
                    <a:srcRect/>
                    <a:stretch>
                      <a:fillRect/>
                    </a:stretch>
                  </pic:blipFill>
                  <pic:spPr>
                    <a:xfrm>
                      <a:off x="0" y="0"/>
                      <a:ext cx="3960000" cy="5835596"/>
                    </a:xfrm>
                    <a:prstGeom prst="rect">
                      <a:avLst/>
                    </a:prstGeom>
                    <a:noFill/>
                    <a:ln>
                      <a:noFill/>
                    </a:ln>
                  </pic:spPr>
                </pic:pic>
              </a:graphicData>
            </a:graphic>
          </wp:inline>
        </w:drawing>
      </w:r>
    </w:p>
    <w:p w14:paraId="45304363">
      <w:pPr>
        <w:widowControl/>
        <w:adjustRightInd w:val="0"/>
        <w:snapToGrid w:val="0"/>
        <w:spacing w:line="360" w:lineRule="auto"/>
        <w:rPr>
          <w:rFonts w:ascii="Times New Roman" w:hAnsi="Times New Roman" w:eastAsia="宋体" w:cs="Times New Roman"/>
          <w:sz w:val="24"/>
          <w:szCs w:val="24"/>
        </w:rPr>
      </w:pPr>
      <w:bookmarkStart w:id="37" w:name="_Toc221108159"/>
      <w:r>
        <w:rPr>
          <w:rStyle w:val="27"/>
          <w:rFonts w:cs="Times New Roman"/>
        </w:rPr>
        <w:t>Supplementary Fig. 16 | Comprehensive accuracy assessment of FSI</w:t>
      </w:r>
      <w:r>
        <w:rPr>
          <w:rStyle w:val="27"/>
          <w:rFonts w:cs="Times New Roman"/>
          <w:vertAlign w:val="superscript"/>
        </w:rPr>
        <w:t>-</w:t>
      </w:r>
      <w:r>
        <w:rPr>
          <w:rStyle w:val="27"/>
          <w:rFonts w:cs="Times New Roman"/>
        </w:rPr>
        <w:t xml:space="preserve"> speciation in LiFSI:DME:TFEO electrolytes.</w:t>
      </w:r>
      <w:bookmarkEnd w:id="37"/>
      <w:r>
        <w:rPr>
          <w:rStyle w:val="26"/>
          <w:rFonts w:cs="Times New Roman" w:eastAsiaTheme="minorEastAsia"/>
          <w:szCs w:val="24"/>
        </w:rPr>
        <w:t xml:space="preserve"> </w:t>
      </w:r>
      <w:r>
        <w:rPr>
          <w:rFonts w:ascii="Times New Roman" w:hAnsi="Times New Roman" w:eastAsia="宋体" w:cs="Times New Roman"/>
          <w:sz w:val="24"/>
          <w:szCs w:val="24"/>
        </w:rPr>
        <w:t xml:space="preserve">(a) Scatter plot correlating </w:t>
      </w:r>
      <w:r>
        <w:rPr>
          <w:rFonts w:ascii="Times New Roman" w:hAnsi="Times New Roman" w:eastAsia="宋体" w:cs="Times New Roman"/>
          <w:i/>
          <w:iCs/>
          <w:sz w:val="24"/>
          <w:szCs w:val="24"/>
        </w:rPr>
        <w:t>R</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with </w:t>
      </w:r>
      <w:r>
        <w:rPr>
          <w:rFonts w:ascii="Times New Roman" w:hAnsi="Times New Roman" w:eastAsia="宋体" w:cs="Times New Roman"/>
          <w:i/>
          <w:iCs/>
          <w:sz w:val="24"/>
          <w:szCs w:val="24"/>
        </w:rPr>
        <w:t>MAE</w:t>
      </w:r>
      <w:r>
        <w:rPr>
          <w:rFonts w:ascii="Times New Roman" w:hAnsi="Times New Roman" w:eastAsia="宋体" w:cs="Times New Roman"/>
          <w:sz w:val="24"/>
          <w:szCs w:val="24"/>
          <w:vertAlign w:val="subscript"/>
        </w:rPr>
        <w:t>ave</w:t>
      </w:r>
      <w:r>
        <w:rPr>
          <w:rFonts w:ascii="Times New Roman" w:hAnsi="Times New Roman" w:eastAsia="宋体" w:cs="Times New Roman"/>
          <w:sz w:val="24"/>
          <w:szCs w:val="24"/>
        </w:rPr>
        <w:t xml:space="preserve"> across various system conditions. Dashed lines delineate the high-fidelity region (</w:t>
      </w:r>
      <w:r>
        <w:rPr>
          <w:rFonts w:ascii="Times New Roman" w:hAnsi="Times New Roman" w:eastAsia="宋体" w:cs="Times New Roman"/>
          <w:i/>
          <w:iCs/>
          <w:sz w:val="24"/>
          <w:szCs w:val="24"/>
        </w:rPr>
        <w:t>R</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rPr>
        <w:t xml:space="preserve"> = 0.8, </w:t>
      </w:r>
      <w:r>
        <w:rPr>
          <w:rFonts w:ascii="Times New Roman" w:hAnsi="Times New Roman" w:eastAsia="宋体" w:cs="Times New Roman"/>
          <w:i/>
          <w:iCs/>
          <w:sz w:val="24"/>
          <w:szCs w:val="24"/>
        </w:rPr>
        <w:t>MAE</w:t>
      </w:r>
      <w:r>
        <w:rPr>
          <w:rFonts w:ascii="Times New Roman" w:hAnsi="Times New Roman" w:eastAsia="宋体" w:cs="Times New Roman"/>
          <w:sz w:val="24"/>
          <w:szCs w:val="24"/>
          <w:vertAlign w:val="subscript"/>
        </w:rPr>
        <w:t>ave</w:t>
      </w:r>
      <w:r>
        <w:rPr>
          <w:rFonts w:ascii="Times New Roman" w:hAnsi="Times New Roman" w:eastAsia="宋体" w:cs="Times New Roman"/>
          <w:sz w:val="24"/>
          <w:szCs w:val="24"/>
        </w:rPr>
        <w:t xml:space="preserve"> = 10%). (b) Global fidelity metrics (</w:t>
      </w:r>
      <w:r>
        <w:rPr>
          <w:rFonts w:ascii="Times New Roman" w:hAnsi="Times New Roman" w:eastAsia="宋体" w:cs="Times New Roman"/>
          <w:i/>
          <w:iCs/>
          <w:sz w:val="24"/>
          <w:szCs w:val="24"/>
        </w:rPr>
        <w:t>R</w:t>
      </w:r>
      <w:r>
        <w:rPr>
          <w:rFonts w:ascii="Times New Roman" w:hAnsi="Times New Roman" w:eastAsia="宋体" w:cs="Times New Roman"/>
          <w:sz w:val="24"/>
          <w:szCs w:val="24"/>
          <w:vertAlign w:val="superscript"/>
        </w:rPr>
        <w:t>2</w:t>
      </w:r>
      <w:r>
        <w:rPr>
          <w:rFonts w:ascii="Times New Roman" w:hAnsi="Times New Roman" w:eastAsia="宋体" w:cs="Times New Roman"/>
          <w:sz w:val="24"/>
          <w:szCs w:val="24"/>
          <w:vertAlign w:val="subscript"/>
        </w:rPr>
        <w:t>global</w:t>
      </w:r>
      <w:r>
        <w:rPr>
          <w:rFonts w:ascii="Times New Roman" w:hAnsi="Times New Roman" w:eastAsia="宋体" w:cs="Times New Roman"/>
          <w:sz w:val="24"/>
          <w:szCs w:val="24"/>
        </w:rPr>
        <w:t>,</w:t>
      </w:r>
      <w:r>
        <w:rPr>
          <w:rFonts w:ascii="Times New Roman" w:hAnsi="Times New Roman" w:eastAsia="宋体" w:cs="Times New Roman"/>
          <w:i/>
          <w:iCs/>
          <w:sz w:val="24"/>
          <w:szCs w:val="24"/>
        </w:rPr>
        <w:t xml:space="preserve"> MAE</w:t>
      </w:r>
      <w:r>
        <w:rPr>
          <w:rFonts w:ascii="Times New Roman" w:hAnsi="Times New Roman" w:eastAsia="宋体" w:cs="Times New Roman"/>
          <w:sz w:val="24"/>
          <w:szCs w:val="24"/>
          <w:vertAlign w:val="subscript"/>
        </w:rPr>
        <w:t>global</w:t>
      </w:r>
      <w:r>
        <w:rPr>
          <w:rFonts w:ascii="Times New Roman" w:hAnsi="Times New Roman" w:eastAsia="宋体" w:cs="Times New Roman"/>
          <w:sz w:val="24"/>
          <w:szCs w:val="24"/>
        </w:rPr>
        <w:t>) for each FF, averaged across all investigated electrolyte formulations and concentration regimes.</w:t>
      </w:r>
    </w:p>
    <w:p w14:paraId="1458D7F5">
      <w:pPr>
        <w:widowControl/>
        <w:adjustRightInd w:val="0"/>
        <w:snapToGrid w:val="0"/>
        <w:spacing w:line="360" w:lineRule="auto"/>
        <w:rPr>
          <w:rFonts w:ascii="Times New Roman" w:hAnsi="Times New Roman" w:eastAsia="宋体" w:cs="Times New Roman"/>
          <w:sz w:val="24"/>
          <w:szCs w:val="24"/>
        </w:rPr>
      </w:pPr>
    </w:p>
    <w:p w14:paraId="7842B6F6">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7820C827">
      <w:pPr>
        <w:widowControl/>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5039995" cy="5099050"/>
            <wp:effectExtent l="0" t="0" r="8255" b="6350"/>
            <wp:docPr id="629203284"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03284" name="图片 1" descr="图示&#10;&#10;AI 生成的内容可能不正确。"/>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040000" cy="5099445"/>
                    </a:xfrm>
                    <a:prstGeom prst="rect">
                      <a:avLst/>
                    </a:prstGeom>
                    <a:noFill/>
                    <a:ln>
                      <a:noFill/>
                    </a:ln>
                  </pic:spPr>
                </pic:pic>
              </a:graphicData>
            </a:graphic>
          </wp:inline>
        </w:drawing>
      </w:r>
    </w:p>
    <w:p w14:paraId="68F9BAF7">
      <w:pPr>
        <w:widowControl/>
        <w:adjustRightInd w:val="0"/>
        <w:snapToGrid w:val="0"/>
        <w:spacing w:line="360" w:lineRule="auto"/>
        <w:rPr>
          <w:rFonts w:ascii="Times New Roman" w:hAnsi="Times New Roman" w:eastAsia="宋体" w:cs="Times New Roman"/>
          <w:sz w:val="24"/>
          <w:szCs w:val="24"/>
        </w:rPr>
      </w:pPr>
      <w:bookmarkStart w:id="38" w:name="_Toc221108160"/>
      <w:r>
        <w:rPr>
          <w:rStyle w:val="27"/>
          <w:rFonts w:cs="Times New Roman"/>
        </w:rPr>
        <w:t>Supplementary Fig. 17 | Population landscapes of Li</w:t>
      </w:r>
      <w:r>
        <w:rPr>
          <w:rStyle w:val="27"/>
          <w:rFonts w:cs="Times New Roman"/>
          <w:vertAlign w:val="superscript"/>
        </w:rPr>
        <w:t>+</w:t>
      </w:r>
      <w:r>
        <w:rPr>
          <w:rStyle w:val="27"/>
          <w:rFonts w:cs="Times New Roman"/>
        </w:rPr>
        <w:t xml:space="preserve"> solvation in LiFSI:DME:TFEO electrolytes.</w:t>
      </w:r>
      <w:bookmarkEnd w:id="38"/>
      <w:r>
        <w:rPr>
          <w:rStyle w:val="27"/>
          <w:rFonts w:cs="Times New Roman"/>
        </w:rPr>
        <w:t xml:space="preserve"> </w:t>
      </w:r>
      <w:r>
        <w:rPr>
          <w:rFonts w:ascii="Times New Roman" w:hAnsi="Times New Roman" w:eastAsia="宋体" w:cs="Times New Roman"/>
          <w:sz w:val="24"/>
          <w:szCs w:val="24"/>
        </w:rPr>
        <w:t>Predicted distributions of solvation motifs defined by the general formula [Li(FSI)</w:t>
      </w:r>
      <w:r>
        <w:rPr>
          <w:rFonts w:ascii="Times New Roman" w:hAnsi="Times New Roman" w:eastAsia="宋体" w:cs="Times New Roman"/>
          <w:i/>
          <w:iCs/>
          <w:sz w:val="24"/>
          <w:szCs w:val="24"/>
          <w:vertAlign w:val="subscript"/>
        </w:rPr>
        <w:t>x</w:t>
      </w:r>
      <w:r>
        <w:rPr>
          <w:rFonts w:ascii="Times New Roman" w:hAnsi="Times New Roman" w:eastAsia="宋体" w:cs="Times New Roman"/>
          <w:sz w:val="24"/>
          <w:szCs w:val="24"/>
        </w:rPr>
        <w:t>(DME)</w:t>
      </w:r>
      <w:r>
        <w:rPr>
          <w:rFonts w:ascii="Times New Roman" w:hAnsi="Times New Roman" w:eastAsia="宋体" w:cs="Times New Roman"/>
          <w:i/>
          <w:iCs/>
          <w:sz w:val="24"/>
          <w:szCs w:val="24"/>
          <w:vertAlign w:val="subscript"/>
        </w:rPr>
        <w:t>y</w:t>
      </w:r>
      <w:r>
        <w:rPr>
          <w:rFonts w:ascii="Times New Roman" w:hAnsi="Times New Roman" w:eastAsia="宋体" w:cs="Times New Roman"/>
          <w:sz w:val="24"/>
          <w:szCs w:val="24"/>
        </w:rPr>
        <w:t>]</w:t>
      </w:r>
      <w:r>
        <w:rPr>
          <w:rFonts w:ascii="Times New Roman" w:hAnsi="Times New Roman" w:eastAsia="宋体" w:cs="Times New Roman"/>
          <w:sz w:val="24"/>
          <w:szCs w:val="24"/>
          <w:vertAlign w:val="superscript"/>
        </w:rPr>
        <w:t>1-</w:t>
      </w:r>
      <w:r>
        <w:rPr>
          <w:rFonts w:ascii="Times New Roman" w:hAnsi="Times New Roman" w:eastAsia="宋体" w:cs="Times New Roman"/>
          <w:i/>
          <w:iCs/>
          <w:sz w:val="24"/>
          <w:szCs w:val="24"/>
          <w:vertAlign w:val="superscript"/>
        </w:rPr>
        <w:t>x</w:t>
      </w:r>
      <w:r>
        <w:rPr>
          <w:rFonts w:ascii="Times New Roman" w:hAnsi="Times New Roman" w:eastAsia="宋体" w:cs="Times New Roman"/>
          <w:sz w:val="24"/>
          <w:szCs w:val="24"/>
        </w:rPr>
        <w:t xml:space="preserve"> at 298.15 K using OPLS&amp;Pol. Annotations denote the population percentages of the top five dominant solvation motifs in each formulation. (a) LCE (1LiFSI:9DME). (b) HCE (1LiFSI:1.4DME). (c) HCE (1LiFSI:1.2DME). (d) LHCE (1LiFSI:1.2DME:2TFEO).</w:t>
      </w:r>
    </w:p>
    <w:p w14:paraId="7F284BF0">
      <w:pPr>
        <w:widowControl/>
        <w:adjustRightInd w:val="0"/>
        <w:snapToGrid w:val="0"/>
        <w:spacing w:line="360" w:lineRule="auto"/>
        <w:rPr>
          <w:rFonts w:ascii="Times New Roman" w:hAnsi="Times New Roman" w:eastAsia="宋体" w:cs="Times New Roman"/>
          <w:sz w:val="24"/>
          <w:szCs w:val="24"/>
        </w:rPr>
      </w:pPr>
    </w:p>
    <w:p w14:paraId="4D79B1EF">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43F47659">
      <w:pPr>
        <w:pStyle w:val="2"/>
        <w:spacing w:after="156"/>
        <w:rPr>
          <w:rFonts w:cs="Times New Roman" w:eastAsiaTheme="minorEastAsia"/>
        </w:rPr>
      </w:pPr>
      <w:bookmarkStart w:id="39" w:name="_Toc221108161"/>
      <w:r>
        <w:rPr>
          <w:rFonts w:cs="Times New Roman" w:eastAsiaTheme="minorEastAsia"/>
        </w:rPr>
        <w:t xml:space="preserve">Supplementary Note 7 | </w:t>
      </w:r>
      <w:r>
        <w:rPr>
          <w:rFonts w:cs="Times New Roman"/>
        </w:rPr>
        <w:t>Polarization-Resolved Competition in Multicomponent Electrolytes</w:t>
      </w:r>
      <w:bookmarkEnd w:id="39"/>
    </w:p>
    <w:p w14:paraId="5CF51C54">
      <w:pPr>
        <w:widowControl/>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5039995" cy="1856105"/>
            <wp:effectExtent l="0" t="0" r="8255" b="0"/>
            <wp:docPr id="9" name="图片 8"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图示&#10;&#10;AI 生成的内容可能不正确。"/>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040000" cy="1856393"/>
                    </a:xfrm>
                    <a:prstGeom prst="rect">
                      <a:avLst/>
                    </a:prstGeom>
                  </pic:spPr>
                </pic:pic>
              </a:graphicData>
            </a:graphic>
          </wp:inline>
        </w:drawing>
      </w:r>
    </w:p>
    <w:p w14:paraId="584167E6">
      <w:pPr>
        <w:widowControl/>
        <w:adjustRightInd w:val="0"/>
        <w:snapToGrid w:val="0"/>
        <w:spacing w:line="360" w:lineRule="auto"/>
        <w:rPr>
          <w:rFonts w:ascii="Times New Roman" w:hAnsi="Times New Roman" w:cs="Times New Roman"/>
          <w:sz w:val="24"/>
          <w:szCs w:val="24"/>
        </w:rPr>
      </w:pPr>
      <w:bookmarkStart w:id="40" w:name="_Toc221108162"/>
      <w:r>
        <w:rPr>
          <w:rStyle w:val="27"/>
          <w:rFonts w:cs="Times New Roman"/>
        </w:rPr>
        <w:t>Supplementary Fig. 18 | Simulation configurations for LiTFSI:DME:DOL:FEC ether-based systems.</w:t>
      </w:r>
      <w:bookmarkEnd w:id="40"/>
      <w:r>
        <w:rPr>
          <w:rStyle w:val="27"/>
          <w:rFonts w:cs="Times New Roman"/>
        </w:rPr>
        <w:t xml:space="preserve"> </w:t>
      </w:r>
      <w:r>
        <w:rPr>
          <w:rFonts w:ascii="Times New Roman" w:hAnsi="Times New Roman" w:eastAsia="宋体" w:cs="Times New Roman"/>
          <w:sz w:val="24"/>
          <w:szCs w:val="24"/>
        </w:rPr>
        <w:t>Overview of FF variants and MD simulation configurations for LiTFSI:DME:DOL:FEC</w:t>
      </w:r>
      <w:r>
        <w:rPr>
          <w:rFonts w:ascii="Times New Roman" w:hAnsi="Times New Roman" w:cs="Times New Roman"/>
          <w:sz w:val="24"/>
          <w:szCs w:val="24"/>
        </w:rPr>
        <w:t xml:space="preserve"> electrolytes, neat solvent (DOL), and neat additive (FEC)</w:t>
      </w:r>
      <w:r>
        <w:rPr>
          <w:rFonts w:ascii="Times New Roman" w:hAnsi="Times New Roman" w:eastAsia="宋体" w:cs="Times New Roman"/>
          <w:sz w:val="24"/>
          <w:szCs w:val="24"/>
        </w:rPr>
        <w:t>. This set of MD simulations comprises 58 unique configurations, with molar ratios adopted from the literature.</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{"citationID":"M3kg5u6e","properties":{"unsorted":true,"formattedCitation":"\\super 15,17,16,18\\nosupersub{}","plainCitation":"15,17,16,18","noteIndex":0},"citationItems":[{"id":979,"uris":["http://zotero.org/users/17156447/items/3XJXM44I"],"itemData":{"id":979,"type":"article-journal","abstract":"The performance of modern lithium-sulfur (Li/S) battery systems critically depends on the electrolyte and solvent compositions. For fundamental molecular insights and rational guidance of experimental developments, eﬃcient and suﬃciently accurate molecular simulations are thus in urgent need. Here, we construct a molecular dynamics (MD) computer simulation model of representative state-of-the art electrolyte–solvent systems for Li/S batteries constituted by lithium-bis(triﬂuoromethane)sulfonimide (LiTFSI) and LiNO3 electrolytes in mixtures of the organic solvents 1,2-dimethoxyethane (DME) and 1,3-dioxolane (DOL). We benchmark and verify our simulations by comparing structural and dynamic features with various available experimental reference systems and demonstrate their applicability for a wide range of electrolyte–solvent compositions. For the state-of-the-art battery solvent, we ﬁnally calculate and discuss the detailed composition of the ﬁrst lithium solvation shell, the temperature dependence of lithium diﬀusion, as well as the electrolyte conductivities and lithium transference numbers. Our model will serve as a basis for eﬃcient future predictions of electrolyte structure and transport in complex electrode conﬁnements for the optimization of modern Li/S batteries (and related devices).","container-title":"Journal of Power Sources","DOI":"10.1016/j.jpowsour.2017.10.081","ISSN":"03787753","journalAbbreviation":"J. Power Sources","language":"en","note":"107 citations (Crossref/DOI) [2025-05-27]\nJCR分区: Q1\n5年影响因子: 8.3","page":"70-78","source":"DOI.org (Crossref)","title":"Molecular simulations of electrolyte structure and dynamics in lithium–sulfur battery solvents","volume":"373","author":[{"family":"Park","given":"Chanbum"},{"family":"Kanduč","given":"Matej"},{"family":"Chudoba","given":"Richard"},{"family":"Ronneburg","given":"Arne"},{"family":"Risse","given":"Sebastian"},{"family":"Ballauff","given":"Matthias"},{"family":"Dzubiella","given":"Joachim"}],"issued":{"date-parts":[["2018",1]]}}},{"id":993,"uris":["http://zotero.org/users/17156447/items/HBHPIMEM"],"itemData":{"id":993,"type":"article-journal","abstract":"A comprehensive experimental and theoretical analysis of the isothermal transport of species for the two model ternary-electrolytes with LiTFSILi2S4/dioxolane (DOL)-dimethoxyethane (DME) and LiTFSI-Li2S6/DOL-DME formulations is presented. An unambiguous picture of the polysulﬁde’s mobility is set forth after a detailed investigation of the macroscopic transference number and diﬀusion coeﬃcients. The new ﬁndings of incongruent diﬀusion for Li2S4 species and high signiﬁcance of cross-term diﬀusion coeﬃcients reformulate a ﬂedgling view of the prevalent redox-shuttle phenomena. The practical implications of this complex mechanism are discussed in detail.","container-title":"ACS Central Science","DOI":"10.1021/acscentsci.6b00169","ISSN":"2374-7943, 2374-7951","issue":"8","journalAbbreviation":"ACS Cent. Sci.","language":"en","license":"http://pubs.acs.org/page/policy/authorchoice_termsofuse.html","note":"77 citations (Crossref/DOI) [2025-06-03]\nJCR分区: Q1\n5年影响因子: 15.8\nTLDR: An unambiguous picture of the polysulfide’s mobility is set forth after a detailed investigation of the macroscopic transference number and diffusion coefficients.","page":"560-568","source":"DOI.org (Crossref)","title":"Transport properties of polysulfide species in lithium–sulfur battery electrolytes: coupling of experiment and theory","title-short":"Transport properties of polysulfide species in lithium–sulfur battery electrolytes","volume":"2","author":[{"family":"Safari","given":"M."},{"family":"Kwok","given":"C. Y."},{"family":"Nazar","given":"L. F."}],"issued":{"date-parts":[["2016",8,24]]}}},{"id":984,"uris":["http://zotero.org/users/17156447/items/SRHVBH99"],"itemData":{"id":984,"type":"article-journal","container-title":"Journal of Physical Chemistry B","DOI":"10.1021/jp9825664","ISSN":"1520-6106, 1520-5207","issue":"3","journalAbbreviation":"J. Phys. Chem. B","language":"en","note":"343 citations (Crossref/DOI) [2025-05-29]\nJCR分区: Q3\n5年影响因子: 2.8\nTLDR: The relationship between the ionic conductivity and the sum of the diffusion coefficients of the lithium ion and the anion gives the degree of ion-pair formation and permits the roles of the solvents in the electrolytes to be clearly explained.","page":"519-524","source":"DOI.org (Crossref)","title":"Pulse-gradient spin-Echo&lt;sup&gt;1&lt;/sup&gt; H,&lt;sup&gt;7&lt;/sup&gt; li, and&lt;sup&gt;19&lt;/sup&gt; F NMR diffusion and ionic conductivity measurements of 14 organic electrolytes containing LiN(SO&lt;sub&gt;2&lt;/sub&gt; CF&lt;sub&gt;3&lt;/sub&gt; )&lt;sub&gt;2&lt;/sub&gt;","volume":"103","author":[{"family":"Hayamizu","given":"Kikuko"},{"family":"Aihara","given":"Yuichi"},{"family":"Arai","given":"Shigemasa"},{"family":"Martinez","given":"Cirilo Garcia"}],"issued":{"date-parts":[["1999",1,1]]}}},{"id":990,"uris":["http://zotero.org/users/17156447/items/N8RS8LMG"],"itemData":{"id":990,"type":"article-journal","container-title":"Journal of the American Chemical Society","DOI":"10.1021/jacs.2c11807","ISSN":"0002-7863, 1520-5126","issue":"4","journalAbbreviation":"J. Am. Chem. Soc.","language":"en","license":"https://creativecommons.org/licenses/by-nc-nd/4.0/","note":"109 citations (Crossref/DOI) [2025-06-03]\nJCR分区: Q1\n5年影响因子: 14.8","page":"2473-2484","source":"DOI.org (Crossref)","title":"Effect of the electric double layer (EDL) in multicomponent electrolyte reduction and solid electrolyte interphase (SEI) formation in lithium batteries","volume":"145","author":[{"family":"Wu","given":"Qisheng"},{"family":"McDowell","given":"Matthew T."},{"family":"Qi","given":"Yue"}],"issued":{"date-parts":[["2023",2,1]]}}}],"schema":"https://github.com/citation-style-language/schema/raw/master/csl-citation.json"}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15,17,16,18</w:t>
      </w:r>
      <w:r>
        <w:rPr>
          <w:rFonts w:ascii="Times New Roman" w:hAnsi="Times New Roman" w:cs="Times New Roman"/>
          <w:sz w:val="24"/>
          <w:szCs w:val="24"/>
        </w:rPr>
        <w:fldChar w:fldCharType="end"/>
      </w:r>
    </w:p>
    <w:p w14:paraId="377E6FC0">
      <w:pPr>
        <w:widowControl/>
        <w:adjustRightInd w:val="0"/>
        <w:snapToGrid w:val="0"/>
        <w:spacing w:line="360" w:lineRule="auto"/>
        <w:rPr>
          <w:rFonts w:ascii="Times New Roman" w:hAnsi="Times New Roman" w:cs="Times New Roman"/>
          <w:sz w:val="24"/>
          <w:szCs w:val="24"/>
        </w:rPr>
      </w:pPr>
    </w:p>
    <w:p w14:paraId="0735F2D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9064B25">
      <w:pPr>
        <w:widowControl/>
        <w:jc w:val="center"/>
        <w:rPr>
          <w:rFonts w:ascii="Times New Roman" w:hAnsi="Times New Roman" w:cs="Times New Roman"/>
        </w:rPr>
      </w:pPr>
      <w:r>
        <w:rPr>
          <w:rFonts w:ascii="Times New Roman" w:hAnsi="Times New Roman" w:cs="Times New Roman"/>
        </w:rPr>
        <w:drawing>
          <wp:inline distT="0" distB="0" distL="0" distR="0">
            <wp:extent cx="3959860" cy="5009515"/>
            <wp:effectExtent l="0" t="0" r="2540" b="635"/>
            <wp:docPr id="10638377" name="图片 2" descr="图表, 日历,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377" name="图片 2" descr="图表, 日历, 条形图&#10;&#10;AI 生成的内容可能不正确。"/>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3960000" cy="5009528"/>
                    </a:xfrm>
                    <a:prstGeom prst="rect">
                      <a:avLst/>
                    </a:prstGeom>
                    <a:noFill/>
                    <a:ln>
                      <a:noFill/>
                    </a:ln>
                  </pic:spPr>
                </pic:pic>
              </a:graphicData>
            </a:graphic>
          </wp:inline>
        </w:drawing>
      </w:r>
    </w:p>
    <w:p w14:paraId="6472FA0C">
      <w:pPr>
        <w:widowControl/>
        <w:adjustRightInd w:val="0"/>
        <w:snapToGrid w:val="0"/>
        <w:spacing w:line="360" w:lineRule="auto"/>
        <w:rPr>
          <w:rFonts w:ascii="Times New Roman" w:hAnsi="Times New Roman" w:eastAsia="宋体" w:cs="Times New Roman"/>
          <w:sz w:val="24"/>
          <w:szCs w:val="24"/>
        </w:rPr>
      </w:pPr>
      <w:bookmarkStart w:id="41" w:name="_Toc221108163"/>
      <w:r>
        <w:rPr>
          <w:rStyle w:val="27"/>
          <w:rFonts w:cs="Times New Roman"/>
        </w:rPr>
        <w:t>Supplementary Fig. 19 | Concentration-dependent Li</w:t>
      </w:r>
      <w:r>
        <w:rPr>
          <w:rStyle w:val="27"/>
          <w:rFonts w:cs="Times New Roman"/>
          <w:vertAlign w:val="superscript"/>
        </w:rPr>
        <w:t>+</w:t>
      </w:r>
      <w:r>
        <w:rPr>
          <w:rStyle w:val="27"/>
          <w:rFonts w:cs="Times New Roman"/>
        </w:rPr>
        <w:t xml:space="preserve"> solvation structures in LiTFSI:DME:DOL:FEC electrolytes.</w:t>
      </w:r>
      <w:bookmarkEnd w:id="41"/>
      <w:r>
        <w:rPr>
          <w:rStyle w:val="27"/>
          <w:rFonts w:cs="Times New Roman"/>
        </w:rPr>
        <w:t xml:space="preserve"> </w:t>
      </w:r>
      <w:r>
        <w:rPr>
          <w:rFonts w:ascii="Times New Roman" w:hAnsi="Times New Roman" w:eastAsia="宋体" w:cs="Times New Roman"/>
          <w:sz w:val="24"/>
          <w:szCs w:val="24"/>
        </w:rPr>
        <w:t>Comparative assessment of 10 FFs across diverse chemical compositions and thermal conditions. Stacked bars (left axis) represent the</w:t>
      </w:r>
      <w:r>
        <w:rPr>
          <w:rFonts w:ascii="Times New Roman" w:hAnsi="Times New Roman" w:eastAsia="宋体" w:cs="Times New Roman"/>
          <w:i/>
          <w:iCs/>
          <w:sz w:val="24"/>
          <w:szCs w:val="24"/>
        </w:rPr>
        <w:t xml:space="preserve"> CN</w:t>
      </w:r>
      <w:r>
        <w:rPr>
          <w:rFonts w:ascii="Times New Roman" w:hAnsi="Times New Roman" w:eastAsia="宋体" w:cs="Times New Roman"/>
          <w:sz w:val="24"/>
          <w:szCs w:val="24"/>
        </w:rPr>
        <w:t>s for Li-O pairs involving O(TFSI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O(DME), O(DOL), and O(FEC), specifically targeting the carbonyl oxygen of FEC (atom O31 in </w:t>
      </w:r>
      <w:r>
        <w:rPr>
          <w:rFonts w:ascii="Times New Roman" w:hAnsi="Times New Roman" w:eastAsia="宋体" w:cs="Times New Roman"/>
          <w:b/>
          <w:bCs/>
          <w:sz w:val="24"/>
          <w:szCs w:val="24"/>
        </w:rPr>
        <w:t>Supplementary Figs. 1-3</w:t>
      </w:r>
      <w:r>
        <w:rPr>
          <w:rFonts w:ascii="Times New Roman" w:hAnsi="Times New Roman" w:eastAsia="宋体" w:cs="Times New Roman"/>
          <w:sz w:val="24"/>
          <w:szCs w:val="24"/>
        </w:rPr>
        <w:t>). Yellow circles connected by dashed lines (right axis) denote the equilibrium salt concentrations (</w:t>
      </w:r>
      <w:r>
        <w:rPr>
          <w:rFonts w:ascii="Times New Roman" w:hAnsi="Times New Roman" w:eastAsia="宋体" w:cs="Times New Roman"/>
          <w:i/>
          <w:iCs/>
          <w:sz w:val="24"/>
          <w:szCs w:val="24"/>
        </w:rPr>
        <w:t>c</w:t>
      </w:r>
      <w:r>
        <w:rPr>
          <w:rFonts w:ascii="Times New Roman" w:hAnsi="Times New Roman" w:eastAsia="宋体" w:cs="Times New Roman"/>
          <w:sz w:val="24"/>
          <w:szCs w:val="24"/>
        </w:rPr>
        <w:t>). (a) Binary LCE (1LiTFSI:20DME) at 304.00 K. (b, c) Solvent-rich ternary LCE (17LiTFSI:90DME:110DOL) at 298.00 K and 293.15 K, respectively. (d) Solvent-lean ternary LCE (1LiTFSI:2DME:12DOL) at 293.15 K. (e) Quaternary LCE (1LiTFSI:2DME:12DOL:1.5FEC) at 293.15 K.</w:t>
      </w:r>
    </w:p>
    <w:p w14:paraId="5A30784C">
      <w:pPr>
        <w:widowControl/>
        <w:adjustRightInd w:val="0"/>
        <w:snapToGrid w:val="0"/>
        <w:spacing w:line="360" w:lineRule="auto"/>
        <w:rPr>
          <w:rFonts w:ascii="Times New Roman" w:hAnsi="Times New Roman" w:eastAsia="宋体" w:cs="Times New Roman"/>
          <w:sz w:val="24"/>
          <w:szCs w:val="24"/>
        </w:rPr>
      </w:pPr>
    </w:p>
    <w:p w14:paraId="7948B57C">
      <w:pPr>
        <w:widowControl/>
        <w:adjustRightInd w:val="0"/>
        <w:snapToGrid w:val="0"/>
        <w:spacing w:line="360" w:lineRule="auto"/>
        <w:rPr>
          <w:rFonts w:ascii="Times New Roman" w:hAnsi="Times New Roman" w:eastAsia="宋体" w:cs="Times New Roman"/>
          <w:b/>
          <w:bCs/>
          <w:sz w:val="24"/>
          <w:szCs w:val="32"/>
        </w:rPr>
      </w:pPr>
      <w:r>
        <w:rPr>
          <w:rFonts w:ascii="Times New Roman" w:hAnsi="Times New Roman" w:eastAsia="宋体" w:cs="Times New Roman"/>
          <w:sz w:val="24"/>
          <w:szCs w:val="24"/>
        </w:rPr>
        <w:br w:type="page"/>
      </w:r>
    </w:p>
    <w:p w14:paraId="6657F926">
      <w:pPr>
        <w:widowControl/>
        <w:jc w:val="center"/>
        <w:rPr>
          <w:rFonts w:ascii="Times New Roman" w:hAnsi="Times New Roman" w:cs="Times New Roman"/>
        </w:rPr>
      </w:pPr>
      <w:r>
        <w:rPr>
          <w:rFonts w:ascii="Times New Roman" w:hAnsi="Times New Roman" w:cs="Times New Roman"/>
        </w:rPr>
        <w:drawing>
          <wp:inline distT="0" distB="0" distL="0" distR="0">
            <wp:extent cx="5039995" cy="6046470"/>
            <wp:effectExtent l="0" t="0" r="8255" b="0"/>
            <wp:docPr id="1943698037" name="图片 7"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98037" name="图片 7" descr="图表&#10;&#10;AI 生成的内容可能不正确。"/>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040000" cy="6046485"/>
                    </a:xfrm>
                    <a:prstGeom prst="rect">
                      <a:avLst/>
                    </a:prstGeom>
                    <a:noFill/>
                    <a:ln>
                      <a:noFill/>
                    </a:ln>
                  </pic:spPr>
                </pic:pic>
              </a:graphicData>
            </a:graphic>
          </wp:inline>
        </w:drawing>
      </w:r>
    </w:p>
    <w:p w14:paraId="57FE165F">
      <w:pPr>
        <w:widowControl/>
        <w:adjustRightInd w:val="0"/>
        <w:snapToGrid w:val="0"/>
        <w:spacing w:line="360" w:lineRule="auto"/>
        <w:rPr>
          <w:rFonts w:ascii="Times New Roman" w:hAnsi="Times New Roman" w:eastAsia="宋体" w:cs="Times New Roman"/>
          <w:sz w:val="24"/>
          <w:szCs w:val="24"/>
        </w:rPr>
      </w:pPr>
      <w:bookmarkStart w:id="42" w:name="_Toc221108164"/>
      <w:r>
        <w:rPr>
          <w:rStyle w:val="27"/>
          <w:rFonts w:cs="Times New Roman"/>
        </w:rPr>
        <w:t>Supplementary Fig. 20 | Comparison of TFSI</w:t>
      </w:r>
      <w:r>
        <w:rPr>
          <w:rStyle w:val="27"/>
          <w:rFonts w:cs="Times New Roman"/>
          <w:vertAlign w:val="superscript"/>
        </w:rPr>
        <w:t>-</w:t>
      </w:r>
      <w:r>
        <w:rPr>
          <w:rStyle w:val="27"/>
          <w:rFonts w:cs="Times New Roman"/>
        </w:rPr>
        <w:t xml:space="preserve"> speciation in LiTFSI:DME:DOL:FEC electrolytes.</w:t>
      </w:r>
      <w:bookmarkEnd w:id="42"/>
      <w:r>
        <w:rPr>
          <w:rStyle w:val="27"/>
          <w:rFonts w:cs="Times New Roman"/>
        </w:rPr>
        <w:t xml:space="preserve"> </w:t>
      </w:r>
      <w:r>
        <w:rPr>
          <w:rFonts w:ascii="Times New Roman" w:hAnsi="Times New Roman" w:eastAsia="宋体" w:cs="Times New Roman"/>
          <w:sz w:val="24"/>
          <w:szCs w:val="24"/>
        </w:rPr>
        <w:t>Population distributions of SSIP, CIP, AGG, AGG+ predicted by 10 FFs across diverse chemical compositions and thermal conditions. (a) Binary LCE at 304.00 K. (b, c) Solvent-rich ternary LCE at 298.00 K and 293.15 K, respectively. (d) Solvent-lean ternary LCE at 293.15 K. (e) Quaternary LCE at 293.15 K.</w:t>
      </w:r>
    </w:p>
    <w:p w14:paraId="1DE7CED3">
      <w:pPr>
        <w:widowControl/>
        <w:jc w:val="left"/>
        <w:rPr>
          <w:rFonts w:ascii="Times New Roman" w:hAnsi="Times New Roman" w:eastAsia="宋体" w:cs="Times New Roman"/>
          <w:sz w:val="24"/>
          <w:szCs w:val="24"/>
        </w:rPr>
      </w:pPr>
    </w:p>
    <w:p w14:paraId="512C0016">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7F16019F">
      <w:pPr>
        <w:widowControl/>
        <w:jc w:val="center"/>
        <w:rPr>
          <w:rFonts w:ascii="Times New Roman" w:hAnsi="Times New Roman" w:cs="Times New Roman"/>
        </w:rPr>
      </w:pPr>
      <w:r>
        <w:rPr>
          <w:rFonts w:ascii="Times New Roman" w:hAnsi="Times New Roman" w:cs="Times New Roman"/>
        </w:rPr>
        <w:drawing>
          <wp:inline distT="0" distB="0" distL="0" distR="0">
            <wp:extent cx="5039995" cy="3757930"/>
            <wp:effectExtent l="0" t="0" r="8255" b="0"/>
            <wp:docPr id="2023351240" name="图片 1" descr="图表, 饼图, 雷达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51240" name="图片 1" descr="图表, 饼图, 雷达图&#10;&#10;AI 生成的内容可能不正确。"/>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040000" cy="3758437"/>
                    </a:xfrm>
                    <a:prstGeom prst="rect">
                      <a:avLst/>
                    </a:prstGeom>
                    <a:noFill/>
                    <a:ln>
                      <a:noFill/>
                    </a:ln>
                  </pic:spPr>
                </pic:pic>
              </a:graphicData>
            </a:graphic>
          </wp:inline>
        </w:drawing>
      </w:r>
    </w:p>
    <w:p w14:paraId="4E276775">
      <w:pPr>
        <w:widowControl/>
        <w:adjustRightInd w:val="0"/>
        <w:snapToGrid w:val="0"/>
        <w:spacing w:line="360" w:lineRule="auto"/>
        <w:rPr>
          <w:rFonts w:ascii="Times New Roman" w:hAnsi="Times New Roman" w:eastAsia="宋体" w:cs="Times New Roman"/>
          <w:sz w:val="24"/>
          <w:szCs w:val="24"/>
        </w:rPr>
      </w:pPr>
      <w:bookmarkStart w:id="43" w:name="_Toc221108165"/>
      <w:r>
        <w:rPr>
          <w:rStyle w:val="27"/>
          <w:rFonts w:cs="Times New Roman"/>
        </w:rPr>
        <w:t>Supplementary Fig. 21 | Decomposition of Li</w:t>
      </w:r>
      <w:r>
        <w:rPr>
          <w:rStyle w:val="27"/>
          <w:rFonts w:cs="Times New Roman"/>
          <w:vertAlign w:val="superscript"/>
        </w:rPr>
        <w:t>+</w:t>
      </w:r>
      <w:r>
        <w:rPr>
          <w:rStyle w:val="27"/>
          <w:rFonts w:cs="Times New Roman"/>
        </w:rPr>
        <w:t xml:space="preserve"> solvation in 1LiTFSI:2DME:12DOL:1.5FEC (293.15 K).</w:t>
      </w:r>
      <w:bookmarkEnd w:id="43"/>
      <w:r>
        <w:rPr>
          <w:rStyle w:val="27"/>
          <w:rFonts w:cs="Times New Roman"/>
        </w:rPr>
        <w:t xml:space="preserve"> </w:t>
      </w:r>
      <w:r>
        <w:rPr>
          <w:rFonts w:ascii="Times New Roman" w:hAnsi="Times New Roman" w:eastAsia="宋体" w:cs="Times New Roman"/>
          <w:sz w:val="24"/>
          <w:szCs w:val="24"/>
        </w:rPr>
        <w:t>Pie charts illustrate the population distribution of coordinating species within the first solvation shell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as predicted by OPLS&amp;Pol. Classifications correspond to the stoichiometric coefficients in the general formula </w:t>
      </w:r>
      <w:r>
        <w:rPr>
          <w:rFonts w:ascii="Times New Roman" w:hAnsi="Times New Roman" w:cs="Times New Roman"/>
          <w:sz w:val="24"/>
          <w:szCs w:val="24"/>
        </w:rPr>
        <w:t>[Li(TFSI)</w:t>
      </w:r>
      <w:r>
        <w:rPr>
          <w:rFonts w:ascii="Times New Roman" w:hAnsi="Times New Roman" w:cs="Times New Roman"/>
          <w:i/>
          <w:iCs/>
          <w:sz w:val="24"/>
          <w:szCs w:val="24"/>
          <w:vertAlign w:val="subscript"/>
        </w:rPr>
        <w:t>x</w:t>
      </w:r>
      <w:r>
        <w:rPr>
          <w:rFonts w:ascii="Times New Roman" w:hAnsi="Times New Roman" w:cs="Times New Roman"/>
          <w:sz w:val="24"/>
          <w:szCs w:val="24"/>
        </w:rPr>
        <w:t>(DME)</w:t>
      </w:r>
      <w:r>
        <w:rPr>
          <w:rFonts w:ascii="Times New Roman" w:hAnsi="Times New Roman" w:cs="Times New Roman"/>
          <w:i/>
          <w:iCs/>
          <w:sz w:val="24"/>
          <w:szCs w:val="24"/>
          <w:vertAlign w:val="subscript"/>
        </w:rPr>
        <w:t>y</w:t>
      </w:r>
      <w:r>
        <w:rPr>
          <w:rFonts w:ascii="Times New Roman" w:hAnsi="Times New Roman" w:cs="Times New Roman"/>
          <w:sz w:val="24"/>
          <w:szCs w:val="24"/>
        </w:rPr>
        <w:t>(DOL)</w:t>
      </w:r>
      <w:r>
        <w:rPr>
          <w:rFonts w:ascii="Times New Roman" w:hAnsi="Times New Roman" w:cs="Times New Roman"/>
          <w:i/>
          <w:iCs/>
          <w:sz w:val="24"/>
          <w:szCs w:val="24"/>
          <w:vertAlign w:val="subscript"/>
        </w:rPr>
        <w:t>z</w:t>
      </w:r>
      <w:r>
        <w:rPr>
          <w:rFonts w:ascii="Times New Roman" w:hAnsi="Times New Roman" w:cs="Times New Roman"/>
          <w:sz w:val="24"/>
          <w:szCs w:val="24"/>
        </w:rPr>
        <w:t>(FEC)</w:t>
      </w:r>
      <w:r>
        <w:rPr>
          <w:rFonts w:ascii="Times New Roman" w:hAnsi="Times New Roman" w:cs="Times New Roman"/>
          <w:i/>
          <w:iCs/>
          <w:sz w:val="24"/>
          <w:szCs w:val="24"/>
          <w:vertAlign w:val="subscript"/>
        </w:rPr>
        <w:t>k</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i/>
          <w:iCs/>
          <w:sz w:val="24"/>
          <w:szCs w:val="24"/>
          <w:vertAlign w:val="superscript"/>
        </w:rPr>
        <w:t>x</w:t>
      </w:r>
      <w:r>
        <w:rPr>
          <w:rFonts w:ascii="Times New Roman" w:hAnsi="Times New Roman" w:eastAsia="宋体" w:cs="Times New Roman"/>
          <w:sz w:val="24"/>
          <w:szCs w:val="24"/>
        </w:rPr>
        <w:t>. (a) Distribution of TFSI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anions (</w:t>
      </w:r>
      <w:r>
        <w:rPr>
          <w:rFonts w:ascii="Times New Roman" w:hAnsi="Times New Roman" w:eastAsia="宋体" w:cs="Times New Roman"/>
          <w:i/>
          <w:iCs/>
          <w:sz w:val="24"/>
          <w:szCs w:val="24"/>
        </w:rPr>
        <w:t>x</w:t>
      </w:r>
      <w:r>
        <w:rPr>
          <w:rFonts w:ascii="Times New Roman" w:hAnsi="Times New Roman" w:eastAsia="宋体" w:cs="Times New Roman"/>
          <w:sz w:val="24"/>
          <w:szCs w:val="24"/>
        </w:rPr>
        <w:t xml:space="preserve">). The dominance of the </w:t>
      </w:r>
      <w:r>
        <w:rPr>
          <w:rFonts w:ascii="Times New Roman" w:hAnsi="Times New Roman" w:eastAsia="宋体" w:cs="Times New Roman"/>
          <w:i/>
          <w:iCs/>
          <w:sz w:val="24"/>
          <w:szCs w:val="24"/>
        </w:rPr>
        <w:t>x</w:t>
      </w:r>
      <w:r>
        <w:rPr>
          <w:rFonts w:ascii="Times New Roman" w:hAnsi="Times New Roman" w:eastAsia="宋体" w:cs="Times New Roman"/>
          <w:sz w:val="24"/>
          <w:szCs w:val="24"/>
        </w:rPr>
        <w:t xml:space="preserve"> = 0 population (55.90%) quantifies the prevalence of fully dissociated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cations. (b) Distribution of coordinated DME molecules (</w:t>
      </w:r>
      <w:r>
        <w:rPr>
          <w:rFonts w:ascii="Times New Roman" w:hAnsi="Times New Roman" w:eastAsia="宋体" w:cs="Times New Roman"/>
          <w:i/>
          <w:iCs/>
          <w:sz w:val="24"/>
          <w:szCs w:val="24"/>
        </w:rPr>
        <w:t>y</w:t>
      </w:r>
      <w:r>
        <w:rPr>
          <w:rFonts w:ascii="Times New Roman" w:hAnsi="Times New Roman" w:eastAsia="宋体" w:cs="Times New Roman"/>
          <w:sz w:val="24"/>
          <w:szCs w:val="24"/>
        </w:rPr>
        <w:t xml:space="preserve">). The </w:t>
      </w:r>
      <w:r>
        <w:rPr>
          <w:rFonts w:ascii="Times New Roman" w:hAnsi="Times New Roman" w:eastAsia="宋体" w:cs="Times New Roman"/>
          <w:i/>
          <w:iCs/>
          <w:sz w:val="24"/>
          <w:szCs w:val="24"/>
        </w:rPr>
        <w:t>y</w:t>
      </w:r>
      <w:r>
        <w:rPr>
          <w:rFonts w:ascii="Times New Roman" w:hAnsi="Times New Roman" w:eastAsia="宋体" w:cs="Times New Roman"/>
          <w:sz w:val="24"/>
          <w:szCs w:val="24"/>
        </w:rPr>
        <w:t xml:space="preserve"> = 2 state (41.02%) represents the most frequent configuration, reflecting the preferred bidentate coordination. (c) Distribution of coordinated DOL molecules (</w:t>
      </w:r>
      <w:r>
        <w:rPr>
          <w:rFonts w:ascii="Times New Roman" w:hAnsi="Times New Roman" w:eastAsia="宋体" w:cs="Times New Roman"/>
          <w:i/>
          <w:iCs/>
          <w:sz w:val="24"/>
          <w:szCs w:val="24"/>
        </w:rPr>
        <w:t>z</w:t>
      </w:r>
      <w:r>
        <w:rPr>
          <w:rFonts w:ascii="Times New Roman" w:hAnsi="Times New Roman" w:eastAsia="宋体" w:cs="Times New Roman"/>
          <w:sz w:val="24"/>
          <w:szCs w:val="24"/>
        </w:rPr>
        <w:t>). The high fraction of the</w:t>
      </w:r>
      <w:r>
        <w:rPr>
          <w:rFonts w:ascii="Times New Roman" w:hAnsi="Times New Roman" w:eastAsia="宋体" w:cs="Times New Roman"/>
          <w:i/>
          <w:iCs/>
          <w:sz w:val="24"/>
          <w:szCs w:val="24"/>
        </w:rPr>
        <w:t xml:space="preserve"> z</w:t>
      </w:r>
      <w:r>
        <w:rPr>
          <w:rFonts w:ascii="Times New Roman" w:hAnsi="Times New Roman" w:eastAsia="宋体" w:cs="Times New Roman"/>
          <w:sz w:val="24"/>
          <w:szCs w:val="24"/>
        </w:rPr>
        <w:t xml:space="preserve"> = 0 population (76.07%) confirms the minimal participation of DOL in the first shell. (d) Distribution of coordinated FEC molecules (</w:t>
      </w:r>
      <w:r>
        <w:rPr>
          <w:rFonts w:ascii="Times New Roman" w:hAnsi="Times New Roman" w:eastAsia="宋体" w:cs="Times New Roman"/>
          <w:i/>
          <w:iCs/>
          <w:sz w:val="24"/>
          <w:szCs w:val="24"/>
        </w:rPr>
        <w:t>k</w:t>
      </w:r>
      <w:r>
        <w:rPr>
          <w:rFonts w:ascii="Times New Roman" w:hAnsi="Times New Roman" w:eastAsia="宋体" w:cs="Times New Roman"/>
          <w:sz w:val="24"/>
          <w:szCs w:val="24"/>
        </w:rPr>
        <w:t>). While the uncoordinated state (</w:t>
      </w:r>
      <w:r>
        <w:rPr>
          <w:rFonts w:ascii="Times New Roman" w:hAnsi="Times New Roman" w:eastAsia="宋体" w:cs="Times New Roman"/>
          <w:i/>
          <w:iCs/>
          <w:sz w:val="24"/>
          <w:szCs w:val="24"/>
        </w:rPr>
        <w:t>k</w:t>
      </w:r>
      <w:r>
        <w:rPr>
          <w:rFonts w:ascii="Times New Roman" w:hAnsi="Times New Roman" w:eastAsia="宋体" w:cs="Times New Roman"/>
          <w:sz w:val="24"/>
          <w:szCs w:val="24"/>
        </w:rPr>
        <w:t xml:space="preserve"> = 0) constitutes the largest single fraction, the cumulative population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exhibiting FEC coordination (</w:t>
      </w:r>
      <w:r>
        <w:rPr>
          <w:rFonts w:ascii="Times New Roman" w:hAnsi="Times New Roman" w:eastAsia="宋体" w:cs="Times New Roman"/>
          <w:i/>
          <w:iCs/>
          <w:sz w:val="24"/>
          <w:szCs w:val="24"/>
        </w:rPr>
        <w:t>k</w:t>
      </w:r>
      <w:r>
        <w:rPr>
          <w:rFonts w:ascii="Times New Roman" w:hAnsi="Times New Roman" w:eastAsia="宋体" w:cs="Times New Roman"/>
          <w:sz w:val="24"/>
          <w:szCs w:val="24"/>
        </w:rPr>
        <w:t xml:space="preserve"> ≥ 1) comprises the majority (56.15%), evidencing the strong competitive capability of FEC.</w:t>
      </w:r>
    </w:p>
    <w:p w14:paraId="0853113F">
      <w:pPr>
        <w:widowControl/>
        <w:jc w:val="left"/>
        <w:rPr>
          <w:rFonts w:ascii="Times New Roman" w:hAnsi="Times New Roman" w:eastAsia="宋体" w:cs="Times New Roman"/>
          <w:sz w:val="24"/>
          <w:szCs w:val="24"/>
        </w:rPr>
      </w:pPr>
    </w:p>
    <w:p w14:paraId="7CB53AAC">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1A5F673A">
      <w:pPr>
        <w:widowControl/>
        <w:jc w:val="center"/>
        <w:rPr>
          <w:rFonts w:ascii="Times New Roman" w:hAnsi="Times New Roman" w:cs="Times New Roman"/>
          <w:b/>
          <w:bCs/>
        </w:rPr>
      </w:pPr>
      <w:r>
        <w:rPr>
          <w:rFonts w:ascii="Times New Roman" w:hAnsi="Times New Roman" w:cs="Times New Roman"/>
        </w:rPr>
        <w:drawing>
          <wp:inline distT="0" distB="0" distL="0" distR="0">
            <wp:extent cx="5491480" cy="3240405"/>
            <wp:effectExtent l="0" t="0" r="0" b="0"/>
            <wp:docPr id="915300666" name="图片 8" descr="图表, 树状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00666" name="图片 8" descr="图表, 树状图&#10;&#10;AI 生成的内容可能不正确。"/>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491480" cy="3240405"/>
                    </a:xfrm>
                    <a:prstGeom prst="rect">
                      <a:avLst/>
                    </a:prstGeom>
                    <a:noFill/>
                    <a:ln>
                      <a:noFill/>
                    </a:ln>
                  </pic:spPr>
                </pic:pic>
              </a:graphicData>
            </a:graphic>
          </wp:inline>
        </w:drawing>
      </w:r>
    </w:p>
    <w:p w14:paraId="57519C83">
      <w:pPr>
        <w:widowControl/>
        <w:adjustRightInd w:val="0"/>
        <w:snapToGrid w:val="0"/>
        <w:spacing w:line="360" w:lineRule="auto"/>
        <w:rPr>
          <w:rFonts w:ascii="Times New Roman" w:hAnsi="Times New Roman" w:eastAsia="宋体" w:cs="Times New Roman"/>
          <w:sz w:val="24"/>
          <w:szCs w:val="24"/>
        </w:rPr>
      </w:pPr>
      <w:bookmarkStart w:id="44" w:name="_Toc221108166"/>
      <w:r>
        <w:rPr>
          <w:rStyle w:val="27"/>
          <w:rFonts w:cs="Times New Roman"/>
        </w:rPr>
        <w:t>Supplementary Fig. 22 | Structural diversity of Li</w:t>
      </w:r>
      <w:r>
        <w:rPr>
          <w:rStyle w:val="27"/>
          <w:rFonts w:cs="Times New Roman"/>
          <w:vertAlign w:val="superscript"/>
        </w:rPr>
        <w:t>+</w:t>
      </w:r>
      <w:r>
        <w:rPr>
          <w:rStyle w:val="27"/>
          <w:rFonts w:cs="Times New Roman"/>
        </w:rPr>
        <w:t xml:space="preserve"> solvation in 1LiTFSI:2DME:12DOL:1.5FEC (293.15 K).</w:t>
      </w:r>
      <w:bookmarkEnd w:id="44"/>
      <w:r>
        <w:rPr>
          <w:rStyle w:val="27"/>
          <w:rFonts w:cs="Times New Roman"/>
        </w:rPr>
        <w:t xml:space="preserve"> </w:t>
      </w:r>
      <w:r>
        <w:rPr>
          <w:rFonts w:ascii="Times New Roman" w:hAnsi="Times New Roman" w:eastAsia="宋体" w:cs="Times New Roman"/>
          <w:sz w:val="24"/>
          <w:szCs w:val="24"/>
        </w:rPr>
        <w:t>The treemap visualizes the heterogeneity of the first solvation shell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as predicted by OPLS&amp;Pol. Each tile represents a unique coordination complex defined by the general formula </w:t>
      </w:r>
      <w:r>
        <w:rPr>
          <w:rFonts w:ascii="Times New Roman" w:hAnsi="Times New Roman" w:cs="Times New Roman"/>
          <w:sz w:val="24"/>
          <w:szCs w:val="24"/>
        </w:rPr>
        <w:t>[Li(TFSI)</w:t>
      </w:r>
      <w:r>
        <w:rPr>
          <w:rFonts w:ascii="Times New Roman" w:hAnsi="Times New Roman" w:cs="Times New Roman"/>
          <w:i/>
          <w:iCs/>
          <w:sz w:val="24"/>
          <w:szCs w:val="24"/>
          <w:vertAlign w:val="subscript"/>
        </w:rPr>
        <w:t>x</w:t>
      </w:r>
      <w:r>
        <w:rPr>
          <w:rFonts w:ascii="Times New Roman" w:hAnsi="Times New Roman" w:cs="Times New Roman"/>
          <w:sz w:val="24"/>
          <w:szCs w:val="24"/>
        </w:rPr>
        <w:t>(DME)</w:t>
      </w:r>
      <w:r>
        <w:rPr>
          <w:rFonts w:ascii="Times New Roman" w:hAnsi="Times New Roman" w:cs="Times New Roman"/>
          <w:i/>
          <w:iCs/>
          <w:sz w:val="24"/>
          <w:szCs w:val="24"/>
          <w:vertAlign w:val="subscript"/>
        </w:rPr>
        <w:t>y</w:t>
      </w:r>
      <w:r>
        <w:rPr>
          <w:rFonts w:ascii="Times New Roman" w:hAnsi="Times New Roman" w:cs="Times New Roman"/>
          <w:sz w:val="24"/>
          <w:szCs w:val="24"/>
        </w:rPr>
        <w:t>(DOL)</w:t>
      </w:r>
      <w:r>
        <w:rPr>
          <w:rFonts w:ascii="Times New Roman" w:hAnsi="Times New Roman" w:cs="Times New Roman"/>
          <w:i/>
          <w:iCs/>
          <w:sz w:val="24"/>
          <w:szCs w:val="24"/>
          <w:vertAlign w:val="subscript"/>
        </w:rPr>
        <w:t>z</w:t>
      </w:r>
      <w:r>
        <w:rPr>
          <w:rFonts w:ascii="Times New Roman" w:hAnsi="Times New Roman" w:cs="Times New Roman"/>
          <w:sz w:val="24"/>
          <w:szCs w:val="24"/>
        </w:rPr>
        <w:t>(FEC)</w:t>
      </w:r>
      <w:r>
        <w:rPr>
          <w:rFonts w:ascii="Times New Roman" w:hAnsi="Times New Roman" w:cs="Times New Roman"/>
          <w:i/>
          <w:iCs/>
          <w:sz w:val="24"/>
          <w:szCs w:val="24"/>
          <w:vertAlign w:val="subscript"/>
        </w:rPr>
        <w:t>k</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i/>
          <w:iCs/>
          <w:sz w:val="24"/>
          <w:szCs w:val="24"/>
          <w:vertAlign w:val="superscript"/>
        </w:rPr>
        <w:t>x</w:t>
      </w:r>
      <w:r>
        <w:rPr>
          <w:rFonts w:ascii="Times New Roman" w:hAnsi="Times New Roman" w:eastAsia="宋体" w:cs="Times New Roman"/>
          <w:sz w:val="24"/>
          <w:szCs w:val="24"/>
        </w:rPr>
        <w:t>, with the tile area proportional to its population. The analysis identifies a total of 98 distinct structural motifs. Individual tiles are explicitly labeled for major species with a population ≥ 0.50% (23 types), while the remaining 75 minor species are aggregated into the gray “Others” category (7.10%). Tiles are color-coded based on ligand composition: blue (1 component/homoleptic), green (2 components/binary), orange (3 components/ternary), and red (4 components/quaternary). The table below details the top 12 dominant structures.</w:t>
      </w:r>
    </w:p>
    <w:p w14:paraId="7C4427AE">
      <w:pPr>
        <w:widowControl/>
        <w:adjustRightInd w:val="0"/>
        <w:snapToGrid w:val="0"/>
        <w:spacing w:line="360" w:lineRule="auto"/>
        <w:rPr>
          <w:rFonts w:ascii="Times New Roman" w:hAnsi="Times New Roman" w:eastAsia="宋体" w:cs="Times New Roman"/>
          <w:sz w:val="24"/>
          <w:szCs w:val="24"/>
        </w:rPr>
      </w:pPr>
    </w:p>
    <w:p w14:paraId="70EE3A02">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44316F07">
      <w:pPr>
        <w:pStyle w:val="2"/>
        <w:spacing w:after="156"/>
        <w:rPr>
          <w:rFonts w:cs="Times New Roman" w:eastAsiaTheme="minorEastAsia"/>
        </w:rPr>
      </w:pPr>
      <w:bookmarkStart w:id="45" w:name="_Toc221108167"/>
      <w:r>
        <w:rPr>
          <w:rFonts w:cs="Times New Roman"/>
        </w:rPr>
        <w:t>Supplementary Note 8 | Thermodynamic Origin of Solvation Competition in Carbonate Systems</w:t>
      </w:r>
      <w:bookmarkEnd w:id="45"/>
    </w:p>
    <w:p w14:paraId="372C5958">
      <w:pPr>
        <w:widowControl/>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5039995" cy="2094865"/>
            <wp:effectExtent l="0" t="0" r="8255" b="635"/>
            <wp:docPr id="4" name="图片 3"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图示, 示意图&#10;&#10;AI 生成的内容可能不正确。"/>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5040000" cy="2095377"/>
                    </a:xfrm>
                    <a:prstGeom prst="rect">
                      <a:avLst/>
                    </a:prstGeom>
                  </pic:spPr>
                </pic:pic>
              </a:graphicData>
            </a:graphic>
          </wp:inline>
        </w:drawing>
      </w:r>
    </w:p>
    <w:p w14:paraId="133F310C">
      <w:pPr>
        <w:widowControl/>
        <w:adjustRightInd w:val="0"/>
        <w:snapToGrid w:val="0"/>
        <w:spacing w:line="360" w:lineRule="auto"/>
        <w:rPr>
          <w:rFonts w:ascii="Times New Roman" w:hAnsi="Times New Roman" w:cs="Times New Roman"/>
          <w:sz w:val="24"/>
          <w:szCs w:val="24"/>
        </w:rPr>
      </w:pPr>
      <w:bookmarkStart w:id="46" w:name="_Toc221108168"/>
      <w:r>
        <w:rPr>
          <w:rStyle w:val="27"/>
          <w:rFonts w:cs="Times New Roman"/>
        </w:rPr>
        <w:t>Supplementary Fig. 23 | Simulation configurations for LiPF</w:t>
      </w:r>
      <w:r>
        <w:rPr>
          <w:rStyle w:val="27"/>
          <w:rFonts w:cs="Times New Roman"/>
          <w:vertAlign w:val="subscript"/>
        </w:rPr>
        <w:t>6</w:t>
      </w:r>
      <w:r>
        <w:rPr>
          <w:rStyle w:val="27"/>
          <w:rFonts w:cs="Times New Roman"/>
        </w:rPr>
        <w:t>:EC:EMC:FEC carbonate-based systems.</w:t>
      </w:r>
      <w:bookmarkEnd w:id="46"/>
      <w:r>
        <w:rPr>
          <w:rStyle w:val="27"/>
          <w:rFonts w:cs="Times New Roman"/>
        </w:rPr>
        <w:t xml:space="preserve"> </w:t>
      </w:r>
      <w:r>
        <w:rPr>
          <w:rFonts w:ascii="Times New Roman" w:hAnsi="Times New Roman" w:eastAsia="宋体" w:cs="Times New Roman"/>
          <w:sz w:val="24"/>
          <w:szCs w:val="24"/>
        </w:rPr>
        <w:t xml:space="preserve">Overview of FF variants and MD simulation configurations for </w:t>
      </w:r>
      <w:r>
        <w:rPr>
          <w:rFonts w:ascii="Times New Roman" w:hAnsi="Times New Roman" w:cs="Times New Roman"/>
          <w:sz w:val="24"/>
          <w:szCs w:val="24"/>
        </w:rPr>
        <w:t>LiPF</w:t>
      </w:r>
      <w:r>
        <w:rPr>
          <w:rFonts w:ascii="Times New Roman" w:hAnsi="Times New Roman" w:cs="Times New Roman"/>
          <w:sz w:val="24"/>
          <w:szCs w:val="24"/>
          <w:vertAlign w:val="subscript"/>
        </w:rPr>
        <w:t>6</w:t>
      </w:r>
      <w:r>
        <w:rPr>
          <w:rFonts w:ascii="Times New Roman" w:hAnsi="Times New Roman" w:cs="Times New Roman"/>
          <w:sz w:val="24"/>
          <w:szCs w:val="24"/>
        </w:rPr>
        <w:t>:EC:EMC:FEC electrolytes and neat solvents (EC and EMC)</w:t>
      </w:r>
      <w:r>
        <w:rPr>
          <w:rFonts w:ascii="Times New Roman" w:hAnsi="Times New Roman" w:eastAsia="宋体" w:cs="Times New Roman"/>
          <w:sz w:val="24"/>
          <w:szCs w:val="24"/>
        </w:rPr>
        <w:t>. This set of MD simulations comprises 88 unique configurations, with molar ratios adopted from the literature.</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{"citationID":"GdkIcktV","properties":{"unsorted":true,"formattedCitation":"\\super 18,23,20\\uc0\\u8211{}22,19\\nosupersub{}","plainCitation":"18,23,20–22,19","noteIndex":0},"citationItems":[{"id":990,"uris":["http://zotero.org/users/17156447/items/N8RS8LMG"],"itemData":{"id":990,"type":"article-journal","container-title":"Journal of the American Chemical Society","DOI":"10.1021/jacs.2c11807","ISSN":"0002-7863, 1520-5126","issue":"4","journalAbbreviation":"J. Am. Chem. Soc.","language":"en","license":"https://creativecommons.org/licenses/by-nc-nd/4.0/","note":"109 citations (Crossref/DOI) [2025-06-03]\nJCR分区: Q1\n5年影响因子: 14.8","page":"2473-2484","source":"DOI.org (Crossref)","title":"Effect of the electric double layer (EDL) in multicomponent electrolyte reduction and solid electrolyte interphase (SEI) formation in lithium batteries","volume":"145","author":[{"family":"Wu","given":"Qisheng"},{"family":"McDowell","given":"Matthew T."},{"family":"Qi","given":"Yue"}],"issued":{"date-parts":[["2023",2,1]]}}},{"id":1334,"uris":["http://zotero.org/users/17156447/items/RYFLDX2S"],"itemData":{"id":1334,"type":"article-journal","abstract":"We studied the effect of salt concentration and solvent ratio on the cycling performance of LiMn2O4 cathode and graphite anode in LiPF6±ethylene carbonate 5EC)±ethyl methyl carbonate 5EMC) electrolytes. The results showthat solvent ratio has negligible impact on the performance of both electrodes but does affect the issues of thermal compatibility and ionic conductivity. Salt concentration affects the performance in two reverse ways: LiMn2O4 cathode requires lowconcentration, while graphite anode requires high concentration. It is observed that, during the ®rst cycle, both electrodes produce irreversible capacity and form a solid electrolyte interface 5SEI) ®lm on their surface. From the viewpoint of operation at lowtemperatures, 1 M LiPF 6 3:7 EC±EMC is recommended for Li-ion cells. # 2002 Elsevier Science B.V. All rights reserved.","container-title":"Journal of Power Sources","DOI":"10.1016/S0378-7753(01)00968-5","ISSN":"03787753","issue":"1","journalAbbreviation":"J. Power Sources","language":"en","license":"https://www.elsevier.com/tdm/userlicense/1.0/","note":"128 citations (Crossref/DOI) [2025-10-28]\nJCR分区: Q1\n5年影响因子: 8.4","page":"18-23","source":"DOI.org (Crossref)","title":"LiPF6–EC–EMC electrolyte for li-ion battery","volume":"107","author":[{"family":"Zhang","given":"S.S"},{"family":"Jow","given":"T.R"},{"family":"Amine","given":"K"},{"family":"Henriksen","given":"G.L"}],"issued":{"date-parts":[["2002",4]]}}},{"id":1042,"uris":["http://zotero.org/users/17156447/items/4YY59TQV"],"itemData":{"id":1042,"type":"article-journal","abstract":"Development of Li\n              +\n              -containing electrolytes with improved transport properties requires reliable, reproducible, and ideally low volume techniques to rigorously understand ion-transport with varying composition. Precisely measuring the complete set of transport coefficients in liquid electrolytes under battery-relevant operating conditions is difficult and the reliability of these methods are sparsely described in electrolyte transport literature. In this work, we apply a potentiostatic polarization-based transport characterization approach typically used for polymer electrolytes to liquid electrolyte systems in an attempt to fully measure all transport coefficients (conductivity, total salt diffusion coefficient, thermodynamic factor and transference number) for the model system of LiPF\n              6\n              in an ethylene carbonate—ethyl methyl carbonate (EC:EMC) mixture. Using systematic timescale and statistical analyses, we find that transport coefficients measured using potentiostatic polarization of Li-Li symmetric cells exhibit strong correlation to Li electrode interfacial resistance, indicating that such methods are probing both bulk and interfacial phenomena. This reveals a major roadblock in characterizing electrolyte systems where the interfacial resistance is significantly larger than ohmic electrolyte resistance. As a result, we find that methods that rely on potentiostatic Li metal stripping/plating do not readily result in reliable liquid electrolyte transport coefficients, unlike similar methods for solid polymer electrolytes, where interfacial resistances are typically smaller than electrolyte resistances at the elevated temperatures typically of interest for such electrolytes.","container-title":"Journal of the Electrochemical Society","DOI":"10.1149/1945-7111/ac0994","ISSN":"0013-4651, 1945-7111","issue":"6","journalAbbreviation":"J. Electrochem. Soc.","language":"en","note":"19 citations (Crossref/DOI) [2025-06-13]\nJCR分区: Q2\n5年影响因子: 3.8","page":"60543","source":"DOI.org (Crossref)","title":"Interfacial effects on transport coefficient measurements in Li-ion battery electrolytes","volume":"168","author":[{"family":"Bergstrom","given":"Helen K."},{"family":"Fong","given":"Kara D."},{"family":"McCloskey","given":"Bryan D."}],"issued":{"date-parts":[["2021",6,1]]}}},{"id":1044,"uris":["http://zotero.org/users/17156447/items/ZLJIVJBF"],"itemData":{"id":1044,"type":"article-journal","abstract":"Limitations of using the single-solvent approximation to quantify transport in mixed-solvent electrolytes are highlighted. A rigorous simulation approach to quantify selective solvent transport is presented and validated by electrophoretic NMR.\n          , \n            \n              Electrolytes in lithium-ion batteries comprise solvent mixtures, but analysis of ion transport is always based on treating the solvents as a single-entity. We combine electrophoretic NMR (eNMR) measurements and molecular dynamics (MD) simulations to quantify electric-field-induced transport in a concentrated solution containing LiPF\n              6\n              salt dissolved in an ethylene carbonate/ethyl methyl carbonate (EC/EMC) mixture. The selective transport of EC relative to EMC is reflected in the difference between two transference numbers, defined as the fraction of current carried by cations relative to the velocity of each solvent species. This difference arises from the preferential solvation of cations by EC and its dynamic consequences. The simulations reveal the presence of a large variety of transient solvent-containing clusters which migrate at different velocities. Rigorous averaging over different solvation environments is essential for comparing simulated and measured transference numbers. Our study emphasizes the necessity of acknowledging the presence of four species in mixed-solvent electrolytes.","container-title":"Chemical Science","DOI":"10.1039/D3SC01158E","ISSN":"2041-6520, 2041-6539","issue":"20","journalAbbreviation":"Chem. Sci.","language":"en","note":"8 citations (Crossref/DOI) [2025-06-13]\nJCR分区: Q1\n5年影响因子: 8.0","page":"5332-5339","source":"DOI.org (Crossref)","title":"Quantifying selective solvent transport under an electric field in mixed-solvent electrolytes","volume":"14","author":[{"family":"Fang","given":"Chao"},{"family":"Halat","given":"David M."},{"family":"Mistry","given":"Aashutosh"},{"family":"Reimer","given":"Jeffrey A."},{"family":"Balsara","given":"Nitash P."},{"family":"Wang","given":"Rui"}],"issued":{"date-parts":[["2023"]]}}},{"id":1332,"uris":["http://zotero.org/users/17156447/items/U9NI7YGQ"],"itemData":{"id":1332,"type":"article-journal","abstract":"Alkyl chain length influences ionicity, conductivity, and viscosity of lithium imidazole salts.\n          , \n            \n              Lithium-ion battery performance and longevity depend critically on the conducting salt utilized in the electrolyte. With new avenues for multifunctional integration and optimization of functional properties, conducting salts beyond lithium hexafluorophosphate (LiPF\n              6\n              ) need to be studied. Herein we elucidate on viscosity, ionicity, anion self-diffusion and ionic conductivity through variation of the length of the perfluoroalkyl side chain present in the anions of the used lithium imidazole salts. Specifically, we study LiPF\n              6\n              in comparison with lithium 4,5-dicyano-2-(trifluoromethyl)imidazolide (LiTDI), lithium 4,5-dicyano-2-(pentafluoroethyl)imidazolide (LiPDI), and lithium 4,5-dicyano-2-(\n              n\n              -heptafluoropropyl)imidazolide (LiHDI). We find that the ion mobility of LiPF\n              6\n              depends the least on viscosity and its ionicity is the highest among the electrolytes investigated here. LiTDI shows the strongest correlation between ion mobility and viscosity and the lowest ionicity. LiPDI and LiHDI range between these two regarding their ionicity and the correlation of mobility with viscosity. The previously rarely studied anion self-diffusion coefficients exhibit a strong correlation with viscosity as it was to be expected. Differences between the LiTDI, LiPDI and LiHDI salts are minute.","container-title":"Journal of Materials Chemistry A","DOI":"10.1039/D3TA01217D","ISSN":"2050-7488, 2050-7496","issue":"25","journalAbbreviation":"J. Mater. Chem. A","language":"en","note":"12 citations (Crossref/DOI) [2025-10-28]","page":"13483-13492","source":"DOI.org (Crossref)","title":"Ionic conductivity, viscosity, and self-diffusion coefficients of novel imidazole salts for lithium-ion battery electrolytes","volume":"11","author":[{"family":"Szczęsna-Chrzan","given":"Anna"},{"family":"Vogler","given":"Monika"},{"family":"Yan","given":"Peng"},{"family":"Żukowska","given":"Grażyna Zofia"},{"family":"Wölke","given":"Christian"},{"family":"Ostrowska","given":"Agnieszka"},{"family":"Szymańska","given":"Sara"},{"family":"Marcinek","given":"Marek"},{"family":"Winter","given":"Martin"},{"family":"Cekic-Laskovic","given":"Isidora"},{"family":"Wieczorek","given":"Władysław"},{"family":"Stein","given":"Helge S."}],"issued":{"date-parts":[["2023"]]}}},{"id":952,"uris":["http://zotero.org/users/17156447/items/NE6BYTDF"],"itemData":{"id":952,"type":"article-journal","abstract":"Liquid electrolyte design and modelling is an essential part of the development of improved lithium ion batteries.\n          , \n            \n              Liquid electrolyte design and modelling is an essential part of the development of improved lithium ion batteries. For mixed organic carbonates (ethylene carbonate (EC) and ethyl–methyl carbonate (EMC) mixtures)-based electrolytes with LiPF\n              6\n              as salt, we have compared a polarizable force field with the standard non-polarizable force field with and without charge rescaling to model the structural and dynamic properties. The result of our molecular dynamics simulations shows that both polarizable and non-polarizable force fields have similar structural factors, which are also in agreement with X-ray diffraction experimental results. In contrast, structural differences are observed for the lithium neighborhood, while the lithium–anion neighbourhood is much more pronounced for the polarizable force field. Comparison of EC/EMC coordination statistics with Fourier transformed infrared spectroscopy (FTIR) shows the best agreement for the polarizable force field. Also for transport quantities such as ionic conductivities, transference numbers, and viscosities, the agreement with the polarizable force field is by far better for a large range of salt concentrations and EC : EMC ratios. In contrast, for the non-polarizable variants, the dynamics are largely underestimated. The excellent performance of the polarizable force field is explored in different ways to pave the way to a realistic description of the structure–dynamics relationships for a wide range of salt and solvent compositions for this standard electrolyte. In particular, we can characterize the distinct correlation terms between like and unlike ions, relate them to structural properties, and explore to which degree the transport in this electrolyte is mass or charge limited.","container-title":"Physical Chemistry Chemical Physics","DOI":"10.1039/D3CP01236K","ISSN":"1463-9076, 1463-9084","issue":"30","journalAbbreviation":"Phys. Chem. Chem. Phys.","language":"en","note":"2 citations (Crossref/DOI) [2025-05-22]\n2 citations (Crossref/DOI) [2025-05-21]\nJCR分区: Q1\n5年影响因子: 3.0","page":"20350-20364","source":"DOI.org (Crossref)","title":"Mechanistic understanding of the correlation between structure and dynamics of liquid carbonate electrolytes: impact of polarization","title-short":"Mechanistic understanding of the correlation between structure and dynamics of liquid carbonate electrolytes","volume":"25","author":[{"family":"Maiti","given":"Moumita"},{"family":"Krishnamoorthy","given":"Anand Narayanan"},{"family":"Mabrouk","given":"Youssef"},{"family":"Mozhzhukhina","given":"Nataliia"},{"family":"Matic","given":"Aleksandar"},{"family":"Diddens","given":"Diddo"},{"family":"Heuer","given":"Andreas"}],"issued":{"date-parts":[["2023"]]}}}],"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18,23,20–22,19</w:t>
      </w:r>
      <w:r>
        <w:rPr>
          <w:rFonts w:ascii="Times New Roman" w:hAnsi="Times New Roman" w:cs="Times New Roman"/>
          <w:sz w:val="24"/>
          <w:szCs w:val="24"/>
        </w:rPr>
        <w:fldChar w:fldCharType="end"/>
      </w:r>
    </w:p>
    <w:p w14:paraId="0EE5750D">
      <w:pPr>
        <w:widowControl/>
        <w:adjustRightInd w:val="0"/>
        <w:snapToGrid w:val="0"/>
        <w:spacing w:line="360" w:lineRule="auto"/>
        <w:rPr>
          <w:rFonts w:ascii="Times New Roman" w:hAnsi="Times New Roman" w:eastAsia="宋体" w:cs="Times New Roman"/>
          <w:sz w:val="24"/>
          <w:szCs w:val="24"/>
        </w:rPr>
      </w:pPr>
    </w:p>
    <w:p w14:paraId="7A495B11">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6750C0EB">
      <w:pPr>
        <w:widowControl/>
        <w:jc w:val="center"/>
        <w:rPr>
          <w:rFonts w:ascii="Times New Roman" w:hAnsi="Times New Roman" w:eastAsia="宋体" w:cs="Times New Roman"/>
          <w:sz w:val="24"/>
          <w:szCs w:val="24"/>
        </w:rPr>
      </w:pPr>
      <w:r>
        <w:rPr>
          <w:rFonts w:ascii="Times New Roman" w:hAnsi="Times New Roman" w:cs="Times New Roman"/>
        </w:rPr>
        <w:drawing>
          <wp:inline distT="0" distB="0" distL="0" distR="0">
            <wp:extent cx="5039995" cy="4634230"/>
            <wp:effectExtent l="0" t="0" r="8255" b="0"/>
            <wp:docPr id="8937908" name="图片 1"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08" name="图片 1" descr="图表, 条形图&#10;&#10;AI 生成的内容可能不正确。"/>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040000" cy="4634376"/>
                    </a:xfrm>
                    <a:prstGeom prst="rect">
                      <a:avLst/>
                    </a:prstGeom>
                    <a:noFill/>
                    <a:ln>
                      <a:noFill/>
                    </a:ln>
                  </pic:spPr>
                </pic:pic>
              </a:graphicData>
            </a:graphic>
          </wp:inline>
        </w:drawing>
      </w:r>
    </w:p>
    <w:p w14:paraId="68CD039A">
      <w:pPr>
        <w:widowControl/>
        <w:adjustRightInd w:val="0"/>
        <w:snapToGrid w:val="0"/>
        <w:spacing w:line="360" w:lineRule="auto"/>
        <w:rPr>
          <w:rFonts w:ascii="Times New Roman" w:hAnsi="Times New Roman" w:eastAsia="宋体" w:cs="Times New Roman"/>
          <w:sz w:val="24"/>
          <w:szCs w:val="24"/>
        </w:rPr>
      </w:pPr>
      <w:bookmarkStart w:id="47" w:name="_Toc221108169"/>
      <w:r>
        <w:rPr>
          <w:rStyle w:val="27"/>
          <w:rFonts w:cs="Times New Roman"/>
        </w:rPr>
        <w:t>Supplementary Fig. 24 | Concentration-dependent Li</w:t>
      </w:r>
      <w:r>
        <w:rPr>
          <w:rStyle w:val="27"/>
          <w:rFonts w:cs="Times New Roman"/>
          <w:vertAlign w:val="superscript"/>
        </w:rPr>
        <w:t>+</w:t>
      </w:r>
      <w:r>
        <w:rPr>
          <w:rStyle w:val="27"/>
          <w:rFonts w:cs="Times New Roman"/>
        </w:rPr>
        <w:t xml:space="preserve"> solvation structures in LiPF</w:t>
      </w:r>
      <w:r>
        <w:rPr>
          <w:rStyle w:val="27"/>
          <w:rFonts w:cs="Times New Roman"/>
          <w:vertAlign w:val="subscript"/>
        </w:rPr>
        <w:t>6</w:t>
      </w:r>
      <w:r>
        <w:rPr>
          <w:rStyle w:val="27"/>
          <w:rFonts w:cs="Times New Roman"/>
        </w:rPr>
        <w:t>:EC:EMC:FEC electrolytes.</w:t>
      </w:r>
      <w:bookmarkEnd w:id="47"/>
      <w:r>
        <w:rPr>
          <w:rStyle w:val="27"/>
          <w:rFonts w:cs="Times New Roman"/>
        </w:rPr>
        <w:t xml:space="preserve"> </w:t>
      </w:r>
      <w:r>
        <w:rPr>
          <w:rFonts w:ascii="Times New Roman" w:hAnsi="Times New Roman" w:eastAsia="宋体" w:cs="Times New Roman"/>
          <w:sz w:val="24"/>
          <w:szCs w:val="24"/>
        </w:rPr>
        <w:t>Comparative assessment of 10 FFs across diverse chemical compositions and thermal conditions. Stacked bars (left axis) represent the</w:t>
      </w:r>
      <w:r>
        <w:rPr>
          <w:rFonts w:ascii="Times New Roman" w:hAnsi="Times New Roman" w:eastAsia="宋体" w:cs="Times New Roman"/>
          <w:i/>
          <w:iCs/>
          <w:sz w:val="24"/>
          <w:szCs w:val="24"/>
        </w:rPr>
        <w:t xml:space="preserve"> CN</w:t>
      </w:r>
      <w:r>
        <w:rPr>
          <w:rFonts w:ascii="Times New Roman" w:hAnsi="Times New Roman" w:eastAsia="宋体" w:cs="Times New Roman"/>
          <w:sz w:val="24"/>
          <w:szCs w:val="24"/>
        </w:rPr>
        <w:t xml:space="preserve">s for Li-O pairs involving the carbonyl oxygens of EMC, EC, and FEC. These specific interaction sites correspond to atoms O41, O22, and O31, respectively (as detailed in </w:t>
      </w:r>
      <w:r>
        <w:rPr>
          <w:rFonts w:ascii="Times New Roman" w:hAnsi="Times New Roman" w:eastAsia="宋体" w:cs="Times New Roman"/>
          <w:b/>
          <w:bCs/>
          <w:sz w:val="24"/>
          <w:szCs w:val="24"/>
        </w:rPr>
        <w:t>Supplementary Figs. 1-3</w:t>
      </w:r>
      <w:r>
        <w:rPr>
          <w:rFonts w:ascii="Times New Roman" w:hAnsi="Times New Roman" w:eastAsia="宋体" w:cs="Times New Roman"/>
          <w:sz w:val="24"/>
          <w:szCs w:val="24"/>
        </w:rPr>
        <w:t xml:space="preserve">). Blue circles connected by dashed lines (right axis) denote the </w:t>
      </w:r>
      <w:r>
        <w:rPr>
          <w:rFonts w:ascii="Times New Roman" w:hAnsi="Times New Roman" w:eastAsia="宋体" w:cs="Times New Roman"/>
          <w:i/>
          <w:iCs/>
          <w:sz w:val="24"/>
          <w:szCs w:val="24"/>
        </w:rPr>
        <w:t>c</w:t>
      </w:r>
      <w:r>
        <w:rPr>
          <w:rFonts w:ascii="Times New Roman" w:hAnsi="Times New Roman" w:eastAsia="宋体" w:cs="Times New Roman"/>
          <w:sz w:val="24"/>
          <w:szCs w:val="24"/>
        </w:rPr>
        <w:t>. (a, b) Ternary LCE (3LiPF</w:t>
      </w:r>
      <w:r>
        <w:rPr>
          <w:rFonts w:ascii="Times New Roman" w:hAnsi="Times New Roman" w:eastAsia="宋体" w:cs="Times New Roman"/>
          <w:sz w:val="24"/>
          <w:szCs w:val="24"/>
          <w:vertAlign w:val="subscript"/>
        </w:rPr>
        <w:t>6</w:t>
      </w:r>
      <w:r>
        <w:rPr>
          <w:rFonts w:ascii="Times New Roman" w:hAnsi="Times New Roman" w:eastAsia="宋体" w:cs="Times New Roman"/>
          <w:sz w:val="24"/>
          <w:szCs w:val="24"/>
        </w:rPr>
        <w:t>:13EC:20EMC) at 293.15 K and 333.15 K, respectively. (c, d) Quaternary LCE (3LiPF</w:t>
      </w:r>
      <w:r>
        <w:rPr>
          <w:rFonts w:ascii="Times New Roman" w:hAnsi="Times New Roman" w:eastAsia="宋体" w:cs="Times New Roman"/>
          <w:sz w:val="24"/>
          <w:szCs w:val="24"/>
          <w:vertAlign w:val="subscript"/>
        </w:rPr>
        <w:t>6</w:t>
      </w:r>
      <w:r>
        <w:rPr>
          <w:rFonts w:ascii="Times New Roman" w:hAnsi="Times New Roman" w:eastAsia="宋体" w:cs="Times New Roman"/>
          <w:sz w:val="24"/>
          <w:szCs w:val="24"/>
        </w:rPr>
        <w:t>:13EC:20EMC:4FEC) at 293.15 K and 333.15 K, respectively.</w:t>
      </w:r>
    </w:p>
    <w:p w14:paraId="6F3EDD5D">
      <w:pPr>
        <w:widowControl/>
        <w:adjustRightInd w:val="0"/>
        <w:snapToGrid w:val="0"/>
        <w:spacing w:line="360" w:lineRule="auto"/>
        <w:rPr>
          <w:rFonts w:ascii="Times New Roman" w:hAnsi="Times New Roman" w:eastAsia="宋体" w:cs="Times New Roman"/>
          <w:sz w:val="24"/>
          <w:szCs w:val="24"/>
        </w:rPr>
      </w:pPr>
    </w:p>
    <w:p w14:paraId="660CB734">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1DA739A6">
      <w:pPr>
        <w:widowControl/>
        <w:jc w:val="center"/>
        <w:rPr>
          <w:rFonts w:ascii="Times New Roman" w:hAnsi="Times New Roman" w:eastAsia="宋体" w:cs="Times New Roman"/>
          <w:sz w:val="24"/>
          <w:szCs w:val="24"/>
        </w:rPr>
      </w:pPr>
      <w:r>
        <w:rPr>
          <w:rFonts w:ascii="Times New Roman" w:hAnsi="Times New Roman" w:cs="Times New Roman"/>
        </w:rPr>
        <w:drawing>
          <wp:inline distT="0" distB="0" distL="0" distR="0">
            <wp:extent cx="5039995" cy="5031740"/>
            <wp:effectExtent l="0" t="0" r="8255" b="0"/>
            <wp:docPr id="1612943904" name="图片 3"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43904" name="图片 3" descr="日历&#10;&#10;AI 生成的内容可能不正确。"/>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040000" cy="5031841"/>
                    </a:xfrm>
                    <a:prstGeom prst="rect">
                      <a:avLst/>
                    </a:prstGeom>
                    <a:noFill/>
                    <a:ln>
                      <a:noFill/>
                    </a:ln>
                  </pic:spPr>
                </pic:pic>
              </a:graphicData>
            </a:graphic>
          </wp:inline>
        </w:drawing>
      </w:r>
    </w:p>
    <w:p w14:paraId="0B6469A9">
      <w:pPr>
        <w:widowControl/>
        <w:adjustRightInd w:val="0"/>
        <w:snapToGrid w:val="0"/>
        <w:spacing w:line="360" w:lineRule="auto"/>
        <w:rPr>
          <w:rFonts w:ascii="Times New Roman" w:hAnsi="Times New Roman" w:eastAsia="宋体" w:cs="Times New Roman"/>
          <w:sz w:val="24"/>
          <w:szCs w:val="24"/>
        </w:rPr>
      </w:pPr>
      <w:bookmarkStart w:id="48" w:name="_Toc221108170"/>
      <w:r>
        <w:rPr>
          <w:rStyle w:val="27"/>
          <w:rFonts w:cs="Times New Roman"/>
        </w:rPr>
        <w:t>Supplementary Fig. 25 | Comparison of PF</w:t>
      </w:r>
      <w:r>
        <w:rPr>
          <w:rStyle w:val="27"/>
          <w:rFonts w:cs="Times New Roman"/>
          <w:vertAlign w:val="subscript"/>
        </w:rPr>
        <w:t>6</w:t>
      </w:r>
      <w:r>
        <w:rPr>
          <w:rStyle w:val="27"/>
          <w:rFonts w:cs="Times New Roman"/>
          <w:vertAlign w:val="superscript"/>
        </w:rPr>
        <w:t>-</w:t>
      </w:r>
      <w:r>
        <w:rPr>
          <w:rStyle w:val="27"/>
          <w:rFonts w:cs="Times New Roman"/>
        </w:rPr>
        <w:t xml:space="preserve"> speciation in LiPF</w:t>
      </w:r>
      <w:r>
        <w:rPr>
          <w:rStyle w:val="27"/>
          <w:rFonts w:cs="Times New Roman"/>
          <w:vertAlign w:val="subscript"/>
        </w:rPr>
        <w:t>6</w:t>
      </w:r>
      <w:r>
        <w:rPr>
          <w:rStyle w:val="27"/>
          <w:rFonts w:cs="Times New Roman"/>
        </w:rPr>
        <w:t>:EC:EMC:FEC electrolytes.</w:t>
      </w:r>
      <w:bookmarkEnd w:id="48"/>
      <w:r>
        <w:rPr>
          <w:rStyle w:val="27"/>
          <w:rFonts w:cs="Times New Roman"/>
        </w:rPr>
        <w:t xml:space="preserve"> </w:t>
      </w:r>
      <w:r>
        <w:rPr>
          <w:rFonts w:ascii="Times New Roman" w:hAnsi="Times New Roman" w:eastAsia="宋体" w:cs="Times New Roman"/>
          <w:sz w:val="24"/>
          <w:szCs w:val="24"/>
        </w:rPr>
        <w:t>Population distributions of SSIP, CIP, AGG, AGG+ predicted by 10 FFs across diverse chemical compositions and thermal conditions. (a, b) Ternary LCE at 293.15 K and 333.15 K, respectively. (c, d) Quaternary LCE at 293.15 K and 333.15 K, respectively.</w:t>
      </w:r>
    </w:p>
    <w:p w14:paraId="7AB8727F">
      <w:pPr>
        <w:widowControl/>
        <w:adjustRightInd w:val="0"/>
        <w:snapToGrid w:val="0"/>
        <w:spacing w:line="360" w:lineRule="auto"/>
        <w:rPr>
          <w:rFonts w:ascii="Times New Roman" w:hAnsi="Times New Roman" w:eastAsia="宋体" w:cs="Times New Roman"/>
          <w:sz w:val="24"/>
          <w:szCs w:val="24"/>
        </w:rPr>
      </w:pPr>
    </w:p>
    <w:p w14:paraId="110D5FC3">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574CE112">
      <w:pPr>
        <w:widowControl/>
        <w:jc w:val="center"/>
        <w:rPr>
          <w:rFonts w:ascii="Times New Roman" w:hAnsi="Times New Roman" w:eastAsia="宋体" w:cs="Times New Roman"/>
          <w:sz w:val="24"/>
          <w:szCs w:val="24"/>
        </w:rPr>
      </w:pPr>
      <w:r>
        <w:rPr>
          <w:rFonts w:ascii="Times New Roman" w:hAnsi="Times New Roman" w:cs="Times New Roman"/>
        </w:rPr>
        <w:drawing>
          <wp:inline distT="0" distB="0" distL="0" distR="0">
            <wp:extent cx="5039995" cy="1710690"/>
            <wp:effectExtent l="0" t="0" r="8255" b="3810"/>
            <wp:docPr id="1539585905" name="图片 5" descr="图表, 饼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85905" name="图片 5" descr="图表, 饼图&#10;&#10;AI 生成的内容可能不正确。"/>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040000" cy="1711082"/>
                    </a:xfrm>
                    <a:prstGeom prst="rect">
                      <a:avLst/>
                    </a:prstGeom>
                    <a:noFill/>
                    <a:ln>
                      <a:noFill/>
                    </a:ln>
                  </pic:spPr>
                </pic:pic>
              </a:graphicData>
            </a:graphic>
          </wp:inline>
        </w:drawing>
      </w:r>
    </w:p>
    <w:p w14:paraId="0939407B">
      <w:pPr>
        <w:widowControl/>
        <w:adjustRightInd w:val="0"/>
        <w:snapToGrid w:val="0"/>
        <w:spacing w:line="360" w:lineRule="auto"/>
        <w:rPr>
          <w:rFonts w:ascii="Times New Roman" w:hAnsi="Times New Roman" w:eastAsia="宋体" w:cs="Times New Roman"/>
          <w:sz w:val="24"/>
          <w:szCs w:val="24"/>
        </w:rPr>
      </w:pPr>
      <w:bookmarkStart w:id="49" w:name="_Toc221108171"/>
      <w:r>
        <w:rPr>
          <w:rStyle w:val="27"/>
          <w:rFonts w:cs="Times New Roman"/>
        </w:rPr>
        <w:t>Supplementary Fig. 26 | Decomposition of Li</w:t>
      </w:r>
      <w:r>
        <w:rPr>
          <w:rStyle w:val="27"/>
          <w:rFonts w:cs="Times New Roman"/>
          <w:vertAlign w:val="superscript"/>
        </w:rPr>
        <w:t>+</w:t>
      </w:r>
      <w:r>
        <w:rPr>
          <w:rStyle w:val="27"/>
          <w:rFonts w:cs="Times New Roman"/>
        </w:rPr>
        <w:t xml:space="preserve"> solvation in 3LiPF</w:t>
      </w:r>
      <w:r>
        <w:rPr>
          <w:rStyle w:val="27"/>
          <w:rFonts w:cs="Times New Roman"/>
          <w:vertAlign w:val="subscript"/>
        </w:rPr>
        <w:t>6</w:t>
      </w:r>
      <w:r>
        <w:rPr>
          <w:rStyle w:val="27"/>
          <w:rFonts w:cs="Times New Roman"/>
        </w:rPr>
        <w:t>:13EC:20EMC (333.15 K).</w:t>
      </w:r>
      <w:bookmarkEnd w:id="49"/>
      <w:r>
        <w:rPr>
          <w:rStyle w:val="27"/>
          <w:rFonts w:cs="Times New Roman"/>
        </w:rPr>
        <w:t xml:space="preserve"> </w:t>
      </w:r>
      <w:r>
        <w:rPr>
          <w:rFonts w:ascii="Times New Roman" w:hAnsi="Times New Roman" w:eastAsia="宋体" w:cs="Times New Roman"/>
          <w:sz w:val="24"/>
          <w:szCs w:val="24"/>
        </w:rPr>
        <w:t>Pie charts illustrate the population distribution of coordinating species within the first solvation shell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as predicted by OPLS&amp;Pol. Classifications correspond to the stoichiometric coefficients in the general formula </w:t>
      </w:r>
      <w:r>
        <w:rPr>
          <w:rFonts w:ascii="Times New Roman" w:hAnsi="Times New Roman" w:cs="Times New Roman"/>
          <w:sz w:val="24"/>
          <w:szCs w:val="24"/>
        </w:rPr>
        <w:t>[Li(PF</w:t>
      </w:r>
      <w:r>
        <w:rPr>
          <w:rFonts w:ascii="Times New Roman" w:hAnsi="Times New Roman" w:cs="Times New Roman"/>
          <w:sz w:val="24"/>
          <w:szCs w:val="24"/>
          <w:vertAlign w:val="subscript"/>
        </w:rPr>
        <w:t>6</w:t>
      </w:r>
      <w:r>
        <w:rPr>
          <w:rFonts w:ascii="Times New Roman" w:hAnsi="Times New Roman" w:cs="Times New Roman"/>
          <w:sz w:val="24"/>
          <w:szCs w:val="24"/>
        </w:rPr>
        <w:t>)</w:t>
      </w:r>
      <w:r>
        <w:rPr>
          <w:rFonts w:ascii="Times New Roman" w:hAnsi="Times New Roman" w:cs="Times New Roman"/>
          <w:i/>
          <w:iCs/>
          <w:sz w:val="24"/>
          <w:szCs w:val="24"/>
          <w:vertAlign w:val="subscript"/>
        </w:rPr>
        <w:t>x</w:t>
      </w:r>
      <w:r>
        <w:rPr>
          <w:rFonts w:ascii="Times New Roman" w:hAnsi="Times New Roman" w:cs="Times New Roman"/>
          <w:sz w:val="24"/>
          <w:szCs w:val="24"/>
        </w:rPr>
        <w:t>(EC)</w:t>
      </w:r>
      <w:r>
        <w:rPr>
          <w:rFonts w:ascii="Times New Roman" w:hAnsi="Times New Roman" w:cs="Times New Roman"/>
          <w:i/>
          <w:iCs/>
          <w:sz w:val="24"/>
          <w:szCs w:val="24"/>
          <w:vertAlign w:val="subscript"/>
        </w:rPr>
        <w:t>y</w:t>
      </w:r>
      <w:r>
        <w:rPr>
          <w:rFonts w:ascii="Times New Roman" w:hAnsi="Times New Roman" w:cs="Times New Roman"/>
          <w:sz w:val="24"/>
          <w:szCs w:val="24"/>
        </w:rPr>
        <w:t>(EMC)</w:t>
      </w:r>
      <w:r>
        <w:rPr>
          <w:rFonts w:ascii="Times New Roman" w:hAnsi="Times New Roman" w:cs="Times New Roman"/>
          <w:i/>
          <w:iCs/>
          <w:sz w:val="24"/>
          <w:szCs w:val="24"/>
          <w:vertAlign w:val="subscript"/>
        </w:rPr>
        <w:t>z</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i/>
          <w:iCs/>
          <w:sz w:val="24"/>
          <w:szCs w:val="24"/>
          <w:vertAlign w:val="superscript"/>
        </w:rPr>
        <w:t>x</w:t>
      </w:r>
      <w:r>
        <w:rPr>
          <w:rFonts w:ascii="Times New Roman" w:hAnsi="Times New Roman" w:eastAsia="宋体" w:cs="Times New Roman"/>
          <w:sz w:val="24"/>
          <w:szCs w:val="24"/>
        </w:rPr>
        <w:t xml:space="preserve">. (a) Distribution of </w:t>
      </w:r>
      <w:r>
        <w:rPr>
          <w:rFonts w:ascii="Times New Roman" w:hAnsi="Times New Roman" w:cs="Times New Roman"/>
          <w:sz w:val="24"/>
          <w:szCs w:val="24"/>
        </w:rPr>
        <w:t>PF</w:t>
      </w:r>
      <w:r>
        <w:rPr>
          <w:rFonts w:ascii="Times New Roman" w:hAnsi="Times New Roman" w:cs="Times New Roman"/>
          <w:sz w:val="24"/>
          <w:szCs w:val="24"/>
          <w:vertAlign w:val="subscript"/>
        </w:rPr>
        <w:t>6</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anions (</w:t>
      </w:r>
      <w:r>
        <w:rPr>
          <w:rFonts w:ascii="Times New Roman" w:hAnsi="Times New Roman" w:eastAsia="宋体" w:cs="Times New Roman"/>
          <w:i/>
          <w:iCs/>
          <w:sz w:val="24"/>
          <w:szCs w:val="24"/>
        </w:rPr>
        <w:t>x</w:t>
      </w:r>
      <w:r>
        <w:rPr>
          <w:rFonts w:ascii="Times New Roman" w:hAnsi="Times New Roman" w:eastAsia="宋体" w:cs="Times New Roman"/>
          <w:sz w:val="24"/>
          <w:szCs w:val="24"/>
        </w:rPr>
        <w:t xml:space="preserve">). The predominance of the </w:t>
      </w:r>
      <w:r>
        <w:rPr>
          <w:rFonts w:ascii="Times New Roman" w:hAnsi="Times New Roman" w:eastAsia="宋体" w:cs="Times New Roman"/>
          <w:i/>
          <w:iCs/>
          <w:sz w:val="24"/>
          <w:szCs w:val="24"/>
        </w:rPr>
        <w:t>x</w:t>
      </w:r>
      <w:r>
        <w:rPr>
          <w:rFonts w:ascii="Times New Roman" w:hAnsi="Times New Roman" w:eastAsia="宋体" w:cs="Times New Roman"/>
          <w:sz w:val="24"/>
          <w:szCs w:val="24"/>
        </w:rPr>
        <w:t xml:space="preserve"> = 0 population (99.06%) indicates that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cations exist almost exclusively in a fully dissociated state. (b) Distribution of coordinated EC molecules (</w:t>
      </w:r>
      <w:r>
        <w:rPr>
          <w:rFonts w:ascii="Times New Roman" w:hAnsi="Times New Roman" w:eastAsia="宋体" w:cs="Times New Roman"/>
          <w:i/>
          <w:iCs/>
          <w:sz w:val="24"/>
          <w:szCs w:val="24"/>
        </w:rPr>
        <w:t>y</w:t>
      </w:r>
      <w:r>
        <w:rPr>
          <w:rFonts w:ascii="Times New Roman" w:hAnsi="Times New Roman" w:eastAsia="宋体" w:cs="Times New Roman"/>
          <w:sz w:val="24"/>
          <w:szCs w:val="24"/>
        </w:rPr>
        <w:t>). The tri-EC coordinated motif (</w:t>
      </w:r>
      <w:r>
        <w:rPr>
          <w:rFonts w:ascii="Times New Roman" w:hAnsi="Times New Roman" w:eastAsia="宋体" w:cs="Times New Roman"/>
          <w:i/>
          <w:iCs/>
          <w:sz w:val="24"/>
          <w:szCs w:val="24"/>
        </w:rPr>
        <w:t>y</w:t>
      </w:r>
      <w:r>
        <w:rPr>
          <w:rFonts w:ascii="Times New Roman" w:hAnsi="Times New Roman" w:eastAsia="宋体" w:cs="Times New Roman"/>
          <w:sz w:val="24"/>
          <w:szCs w:val="24"/>
        </w:rPr>
        <w:t xml:space="preserve"> = 3, 46.70%) represents the dominant structural unit, followed by the di-EC species (</w:t>
      </w:r>
      <w:r>
        <w:rPr>
          <w:rFonts w:ascii="Times New Roman" w:hAnsi="Times New Roman" w:eastAsia="宋体" w:cs="Times New Roman"/>
          <w:i/>
          <w:iCs/>
          <w:sz w:val="24"/>
          <w:szCs w:val="24"/>
        </w:rPr>
        <w:t>y</w:t>
      </w:r>
      <w:r>
        <w:rPr>
          <w:rFonts w:ascii="Times New Roman" w:hAnsi="Times New Roman" w:eastAsia="宋体" w:cs="Times New Roman"/>
          <w:sz w:val="24"/>
          <w:szCs w:val="24"/>
        </w:rPr>
        <w:t xml:space="preserve"> = 2, 30.37%). (c) Distribution of coordinated EMC molecules (</w:t>
      </w:r>
      <w:r>
        <w:rPr>
          <w:rFonts w:ascii="Times New Roman" w:hAnsi="Times New Roman" w:eastAsia="宋体" w:cs="Times New Roman"/>
          <w:i/>
          <w:iCs/>
          <w:sz w:val="24"/>
          <w:szCs w:val="24"/>
        </w:rPr>
        <w:t>z</w:t>
      </w:r>
      <w:r>
        <w:rPr>
          <w:rFonts w:ascii="Times New Roman" w:hAnsi="Times New Roman" w:eastAsia="宋体" w:cs="Times New Roman"/>
          <w:sz w:val="24"/>
          <w:szCs w:val="24"/>
        </w:rPr>
        <w:t>). The linear carbonate EMC participates actively in the first shell, primarily contributing one (</w:t>
      </w:r>
      <w:r>
        <w:rPr>
          <w:rFonts w:ascii="Times New Roman" w:hAnsi="Times New Roman" w:eastAsia="宋体" w:cs="Times New Roman"/>
          <w:i/>
          <w:iCs/>
          <w:sz w:val="24"/>
          <w:szCs w:val="24"/>
        </w:rPr>
        <w:t>z</w:t>
      </w:r>
      <w:r>
        <w:rPr>
          <w:rFonts w:ascii="Times New Roman" w:hAnsi="Times New Roman" w:eastAsia="宋体" w:cs="Times New Roman"/>
          <w:sz w:val="24"/>
          <w:szCs w:val="24"/>
        </w:rPr>
        <w:t xml:space="preserve"> = 1, 47.77%) or two (</w:t>
      </w:r>
      <w:r>
        <w:rPr>
          <w:rFonts w:ascii="Times New Roman" w:hAnsi="Times New Roman" w:eastAsia="宋体" w:cs="Times New Roman"/>
          <w:i/>
          <w:iCs/>
          <w:sz w:val="24"/>
          <w:szCs w:val="24"/>
        </w:rPr>
        <w:t>z</w:t>
      </w:r>
      <w:r>
        <w:rPr>
          <w:rFonts w:ascii="Times New Roman" w:hAnsi="Times New Roman" w:eastAsia="宋体" w:cs="Times New Roman"/>
          <w:sz w:val="24"/>
          <w:szCs w:val="24"/>
        </w:rPr>
        <w:t xml:space="preserve"> = 2, 33.36%) molecules.</w:t>
      </w:r>
    </w:p>
    <w:p w14:paraId="3B4DC337">
      <w:pPr>
        <w:widowControl/>
        <w:adjustRightInd w:val="0"/>
        <w:snapToGrid w:val="0"/>
        <w:spacing w:line="360" w:lineRule="auto"/>
        <w:rPr>
          <w:rFonts w:ascii="Times New Roman" w:hAnsi="Times New Roman" w:eastAsia="宋体" w:cs="Times New Roman"/>
          <w:sz w:val="24"/>
          <w:szCs w:val="24"/>
        </w:rPr>
      </w:pPr>
    </w:p>
    <w:p w14:paraId="53F99E38">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497AA1E3">
      <w:pPr>
        <w:widowControl/>
        <w:jc w:val="center"/>
        <w:rPr>
          <w:rFonts w:ascii="Times New Roman" w:hAnsi="Times New Roman" w:cs="Times New Roman"/>
          <w:b/>
          <w:bCs/>
        </w:rPr>
      </w:pPr>
      <w:r>
        <w:rPr>
          <w:rFonts w:ascii="Times New Roman" w:hAnsi="Times New Roman" w:cs="Times New Roman"/>
        </w:rPr>
        <w:drawing>
          <wp:inline distT="0" distB="0" distL="0" distR="0">
            <wp:extent cx="5491480" cy="3240405"/>
            <wp:effectExtent l="0" t="0" r="0" b="0"/>
            <wp:docPr id="327883050" name="图片 5" descr="表格, 树状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83050" name="图片 5" descr="表格, 树状图&#10;&#10;AI 生成的内容可能不正确。"/>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491480" cy="3240405"/>
                    </a:xfrm>
                    <a:prstGeom prst="rect">
                      <a:avLst/>
                    </a:prstGeom>
                    <a:noFill/>
                    <a:ln>
                      <a:noFill/>
                    </a:ln>
                  </pic:spPr>
                </pic:pic>
              </a:graphicData>
            </a:graphic>
          </wp:inline>
        </w:drawing>
      </w:r>
    </w:p>
    <w:p w14:paraId="18A741CE">
      <w:pPr>
        <w:widowControl/>
        <w:adjustRightInd w:val="0"/>
        <w:snapToGrid w:val="0"/>
        <w:spacing w:line="360" w:lineRule="auto"/>
        <w:rPr>
          <w:rFonts w:ascii="Times New Roman" w:hAnsi="Times New Roman" w:eastAsia="宋体" w:cs="Times New Roman"/>
          <w:sz w:val="24"/>
          <w:szCs w:val="24"/>
        </w:rPr>
      </w:pPr>
      <w:bookmarkStart w:id="50" w:name="_Toc221108172"/>
      <w:r>
        <w:rPr>
          <w:rStyle w:val="27"/>
          <w:rFonts w:cs="Times New Roman"/>
        </w:rPr>
        <w:t>Supplementary Fig. 27 | Structural diversity of Li</w:t>
      </w:r>
      <w:r>
        <w:rPr>
          <w:rStyle w:val="27"/>
          <w:rFonts w:cs="Times New Roman"/>
          <w:vertAlign w:val="superscript"/>
        </w:rPr>
        <w:t>+</w:t>
      </w:r>
      <w:r>
        <w:rPr>
          <w:rStyle w:val="27"/>
          <w:rFonts w:cs="Times New Roman"/>
        </w:rPr>
        <w:t xml:space="preserve"> solvation in 3LiPF</w:t>
      </w:r>
      <w:r>
        <w:rPr>
          <w:rStyle w:val="27"/>
          <w:rFonts w:cs="Times New Roman"/>
          <w:vertAlign w:val="subscript"/>
        </w:rPr>
        <w:t>6</w:t>
      </w:r>
      <w:r>
        <w:rPr>
          <w:rStyle w:val="27"/>
          <w:rFonts w:cs="Times New Roman"/>
        </w:rPr>
        <w:t>:13EC:20EMC (333.15 K).</w:t>
      </w:r>
      <w:bookmarkEnd w:id="50"/>
      <w:r>
        <w:rPr>
          <w:rStyle w:val="27"/>
          <w:rFonts w:cs="Times New Roman"/>
        </w:rPr>
        <w:t xml:space="preserve"> </w:t>
      </w:r>
      <w:r>
        <w:rPr>
          <w:rFonts w:ascii="Times New Roman" w:hAnsi="Times New Roman" w:eastAsia="宋体" w:cs="Times New Roman"/>
          <w:sz w:val="24"/>
          <w:szCs w:val="24"/>
        </w:rPr>
        <w:t>The treemap visualizes the heterogeneity of the first solvation shell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as predicted by OPLS&amp;Pol. Each tile represents a unique coordination complex defined by the general formula </w:t>
      </w:r>
      <w:r>
        <w:rPr>
          <w:rFonts w:ascii="Times New Roman" w:hAnsi="Times New Roman" w:cs="Times New Roman"/>
          <w:sz w:val="24"/>
          <w:szCs w:val="24"/>
        </w:rPr>
        <w:t>[Li(PF</w:t>
      </w:r>
      <w:r>
        <w:rPr>
          <w:rFonts w:ascii="Times New Roman" w:hAnsi="Times New Roman" w:cs="Times New Roman"/>
          <w:sz w:val="24"/>
          <w:szCs w:val="24"/>
          <w:vertAlign w:val="subscript"/>
        </w:rPr>
        <w:t>6</w:t>
      </w:r>
      <w:r>
        <w:rPr>
          <w:rFonts w:ascii="Times New Roman" w:hAnsi="Times New Roman" w:cs="Times New Roman"/>
          <w:sz w:val="24"/>
          <w:szCs w:val="24"/>
        </w:rPr>
        <w:t>)</w:t>
      </w:r>
      <w:r>
        <w:rPr>
          <w:rFonts w:ascii="Times New Roman" w:hAnsi="Times New Roman" w:cs="Times New Roman"/>
          <w:i/>
          <w:iCs/>
          <w:sz w:val="24"/>
          <w:szCs w:val="24"/>
          <w:vertAlign w:val="subscript"/>
        </w:rPr>
        <w:t>x</w:t>
      </w:r>
      <w:r>
        <w:rPr>
          <w:rFonts w:ascii="Times New Roman" w:hAnsi="Times New Roman" w:cs="Times New Roman"/>
          <w:sz w:val="24"/>
          <w:szCs w:val="24"/>
        </w:rPr>
        <w:t>(EC)</w:t>
      </w:r>
      <w:r>
        <w:rPr>
          <w:rFonts w:ascii="Times New Roman" w:hAnsi="Times New Roman" w:cs="Times New Roman"/>
          <w:i/>
          <w:iCs/>
          <w:sz w:val="24"/>
          <w:szCs w:val="24"/>
          <w:vertAlign w:val="subscript"/>
        </w:rPr>
        <w:t>y</w:t>
      </w:r>
      <w:r>
        <w:rPr>
          <w:rFonts w:ascii="Times New Roman" w:hAnsi="Times New Roman" w:cs="Times New Roman"/>
          <w:sz w:val="24"/>
          <w:szCs w:val="24"/>
        </w:rPr>
        <w:t>(EMC)</w:t>
      </w:r>
      <w:r>
        <w:rPr>
          <w:rFonts w:ascii="Times New Roman" w:hAnsi="Times New Roman" w:cs="Times New Roman"/>
          <w:i/>
          <w:iCs/>
          <w:sz w:val="24"/>
          <w:szCs w:val="24"/>
          <w:vertAlign w:val="subscript"/>
        </w:rPr>
        <w:t>z</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i/>
          <w:iCs/>
          <w:sz w:val="24"/>
          <w:szCs w:val="24"/>
          <w:vertAlign w:val="superscript"/>
        </w:rPr>
        <w:t>x</w:t>
      </w:r>
      <w:r>
        <w:rPr>
          <w:rFonts w:ascii="Times New Roman" w:hAnsi="Times New Roman" w:eastAsia="宋体" w:cs="Times New Roman"/>
          <w:sz w:val="24"/>
          <w:szCs w:val="24"/>
        </w:rPr>
        <w:t>, with the tile area proportional to its population. The analysis identifies a total of 28 distinct structural motifs. Individual tiles are explicitly labeled for major species with a population ≥ 0.50% (8 types), while the remaining 20 minor species are aggregated into the gray “Others” category (1.90%). Tiles are color-coded based on ligand composition: blue (1 component/homoleptic), green (2 components/binary). The table below details the top 12 dominant structures.</w:t>
      </w:r>
    </w:p>
    <w:p w14:paraId="6394462A">
      <w:pPr>
        <w:widowControl/>
        <w:adjustRightInd w:val="0"/>
        <w:snapToGrid w:val="0"/>
        <w:spacing w:line="360" w:lineRule="auto"/>
        <w:rPr>
          <w:rFonts w:ascii="Times New Roman" w:hAnsi="Times New Roman" w:eastAsia="宋体" w:cs="Times New Roman"/>
          <w:sz w:val="24"/>
          <w:szCs w:val="24"/>
        </w:rPr>
      </w:pPr>
    </w:p>
    <w:p w14:paraId="4A549A4A">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637F00DD">
      <w:pPr>
        <w:widowControl/>
        <w:jc w:val="center"/>
        <w:rPr>
          <w:rFonts w:ascii="Times New Roman" w:hAnsi="Times New Roman" w:eastAsia="宋体" w:cs="Times New Roman"/>
          <w:sz w:val="24"/>
          <w:szCs w:val="24"/>
        </w:rPr>
      </w:pPr>
      <w:r>
        <w:rPr>
          <w:rFonts w:ascii="Times New Roman" w:hAnsi="Times New Roman" w:cs="Times New Roman"/>
        </w:rPr>
        <w:drawing>
          <wp:inline distT="0" distB="0" distL="0" distR="0">
            <wp:extent cx="4319905" cy="3858260"/>
            <wp:effectExtent l="0" t="0" r="4445" b="8890"/>
            <wp:docPr id="2002097383" name="图片 6" descr="图表, 饼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097383" name="图片 6" descr="图表, 饼图&#10;&#10;AI 生成的内容可能不正确。"/>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4320000" cy="3858428"/>
                    </a:xfrm>
                    <a:prstGeom prst="rect">
                      <a:avLst/>
                    </a:prstGeom>
                    <a:noFill/>
                    <a:ln>
                      <a:noFill/>
                    </a:ln>
                  </pic:spPr>
                </pic:pic>
              </a:graphicData>
            </a:graphic>
          </wp:inline>
        </w:drawing>
      </w:r>
    </w:p>
    <w:p w14:paraId="10E22B8F">
      <w:pPr>
        <w:widowControl/>
        <w:adjustRightInd w:val="0"/>
        <w:snapToGrid w:val="0"/>
        <w:spacing w:line="360" w:lineRule="auto"/>
        <w:rPr>
          <w:rFonts w:ascii="Times New Roman" w:hAnsi="Times New Roman" w:eastAsia="宋体" w:cs="Times New Roman"/>
          <w:sz w:val="24"/>
          <w:szCs w:val="24"/>
        </w:rPr>
      </w:pPr>
      <w:bookmarkStart w:id="51" w:name="_Toc221108173"/>
      <w:r>
        <w:rPr>
          <w:rStyle w:val="27"/>
          <w:rFonts w:cs="Times New Roman"/>
        </w:rPr>
        <w:t>Supplementary Fig. 28 | Decomposition of Li</w:t>
      </w:r>
      <w:r>
        <w:rPr>
          <w:rStyle w:val="27"/>
          <w:rFonts w:cs="Times New Roman"/>
          <w:vertAlign w:val="superscript"/>
        </w:rPr>
        <w:t>+</w:t>
      </w:r>
      <w:r>
        <w:rPr>
          <w:rStyle w:val="27"/>
          <w:rFonts w:cs="Times New Roman"/>
        </w:rPr>
        <w:t xml:space="preserve"> solvation in 3LiPF</w:t>
      </w:r>
      <w:r>
        <w:rPr>
          <w:rStyle w:val="27"/>
          <w:rFonts w:cs="Times New Roman"/>
          <w:vertAlign w:val="subscript"/>
        </w:rPr>
        <w:t>6</w:t>
      </w:r>
      <w:r>
        <w:rPr>
          <w:rStyle w:val="27"/>
          <w:rFonts w:cs="Times New Roman"/>
        </w:rPr>
        <w:t>:13EC:20EMC:4FEC (333.15 K).</w:t>
      </w:r>
      <w:bookmarkEnd w:id="51"/>
      <w:r>
        <w:rPr>
          <w:rStyle w:val="27"/>
          <w:rFonts w:cs="Times New Roman"/>
        </w:rPr>
        <w:t xml:space="preserve"> </w:t>
      </w:r>
      <w:r>
        <w:rPr>
          <w:rFonts w:ascii="Times New Roman" w:hAnsi="Times New Roman" w:eastAsia="宋体" w:cs="Times New Roman"/>
          <w:sz w:val="24"/>
          <w:szCs w:val="24"/>
        </w:rPr>
        <w:t>Pie charts illustrate the population distribution of coordinating species within the first solvation shell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as predicted by OPLS&amp;Pol. Classifications correspond to the stoichiometric coefficients in the general formula</w:t>
      </w:r>
      <w:r>
        <w:rPr>
          <w:rFonts w:ascii="Times New Roman" w:hAnsi="Times New Roman" w:cs="Times New Roman"/>
          <w:sz w:val="24"/>
          <w:szCs w:val="24"/>
        </w:rPr>
        <w:t xml:space="preserve"> [Li(PF</w:t>
      </w:r>
      <w:r>
        <w:rPr>
          <w:rFonts w:ascii="Times New Roman" w:hAnsi="Times New Roman" w:cs="Times New Roman"/>
          <w:sz w:val="24"/>
          <w:szCs w:val="24"/>
          <w:vertAlign w:val="subscript"/>
        </w:rPr>
        <w:t>6</w:t>
      </w:r>
      <w:r>
        <w:rPr>
          <w:rFonts w:ascii="Times New Roman" w:hAnsi="Times New Roman" w:cs="Times New Roman"/>
          <w:sz w:val="24"/>
          <w:szCs w:val="24"/>
        </w:rPr>
        <w:t>)</w:t>
      </w:r>
      <w:r>
        <w:rPr>
          <w:rFonts w:ascii="Times New Roman" w:hAnsi="Times New Roman" w:cs="Times New Roman"/>
          <w:i/>
          <w:iCs/>
          <w:sz w:val="24"/>
          <w:szCs w:val="24"/>
          <w:vertAlign w:val="subscript"/>
        </w:rPr>
        <w:t>x</w:t>
      </w:r>
      <w:r>
        <w:rPr>
          <w:rFonts w:ascii="Times New Roman" w:hAnsi="Times New Roman" w:cs="Times New Roman"/>
          <w:sz w:val="24"/>
          <w:szCs w:val="24"/>
        </w:rPr>
        <w:t>(EC)</w:t>
      </w:r>
      <w:r>
        <w:rPr>
          <w:rFonts w:ascii="Times New Roman" w:hAnsi="Times New Roman" w:cs="Times New Roman"/>
          <w:i/>
          <w:iCs/>
          <w:sz w:val="24"/>
          <w:szCs w:val="24"/>
          <w:vertAlign w:val="subscript"/>
        </w:rPr>
        <w:t>y</w:t>
      </w:r>
      <w:r>
        <w:rPr>
          <w:rFonts w:ascii="Times New Roman" w:hAnsi="Times New Roman" w:cs="Times New Roman"/>
          <w:sz w:val="24"/>
          <w:szCs w:val="24"/>
        </w:rPr>
        <w:t>(EMC)</w:t>
      </w:r>
      <w:r>
        <w:rPr>
          <w:rFonts w:ascii="Times New Roman" w:hAnsi="Times New Roman" w:cs="Times New Roman"/>
          <w:i/>
          <w:iCs/>
          <w:sz w:val="24"/>
          <w:szCs w:val="24"/>
          <w:vertAlign w:val="subscript"/>
        </w:rPr>
        <w:t>z</w:t>
      </w:r>
      <w:r>
        <w:rPr>
          <w:rFonts w:ascii="Times New Roman" w:hAnsi="Times New Roman" w:cs="Times New Roman"/>
          <w:sz w:val="24"/>
          <w:szCs w:val="24"/>
        </w:rPr>
        <w:t>(FEC)</w:t>
      </w:r>
      <w:r>
        <w:rPr>
          <w:rFonts w:ascii="Times New Roman" w:hAnsi="Times New Roman" w:cs="Times New Roman"/>
          <w:i/>
          <w:iCs/>
          <w:sz w:val="24"/>
          <w:szCs w:val="24"/>
          <w:vertAlign w:val="subscript"/>
        </w:rPr>
        <w:t>k</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i/>
          <w:iCs/>
          <w:sz w:val="24"/>
          <w:szCs w:val="24"/>
          <w:vertAlign w:val="superscript"/>
        </w:rPr>
        <w:t>x</w:t>
      </w:r>
      <w:r>
        <w:rPr>
          <w:rFonts w:ascii="Times New Roman" w:hAnsi="Times New Roman" w:eastAsia="宋体" w:cs="Times New Roman"/>
          <w:sz w:val="24"/>
          <w:szCs w:val="24"/>
        </w:rPr>
        <w:t xml:space="preserve">. (a) Distribution of </w:t>
      </w:r>
      <w:r>
        <w:rPr>
          <w:rFonts w:ascii="Times New Roman" w:hAnsi="Times New Roman" w:cs="Times New Roman"/>
          <w:sz w:val="24"/>
          <w:szCs w:val="24"/>
        </w:rPr>
        <w:t>PF</w:t>
      </w:r>
      <w:r>
        <w:rPr>
          <w:rFonts w:ascii="Times New Roman" w:hAnsi="Times New Roman" w:cs="Times New Roman"/>
          <w:sz w:val="24"/>
          <w:szCs w:val="24"/>
          <w:vertAlign w:val="subscript"/>
        </w:rPr>
        <w:t>6</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anions (</w:t>
      </w:r>
      <w:r>
        <w:rPr>
          <w:rFonts w:ascii="Times New Roman" w:hAnsi="Times New Roman" w:eastAsia="宋体" w:cs="Times New Roman"/>
          <w:i/>
          <w:iCs/>
          <w:sz w:val="24"/>
          <w:szCs w:val="24"/>
        </w:rPr>
        <w:t>x</w:t>
      </w:r>
      <w:r>
        <w:rPr>
          <w:rFonts w:ascii="Times New Roman" w:hAnsi="Times New Roman" w:eastAsia="宋体" w:cs="Times New Roman"/>
          <w:sz w:val="24"/>
          <w:szCs w:val="24"/>
        </w:rPr>
        <w:t xml:space="preserve">). The exclusive presence of the </w:t>
      </w:r>
      <w:r>
        <w:rPr>
          <w:rFonts w:ascii="Times New Roman" w:hAnsi="Times New Roman" w:eastAsia="宋体" w:cs="Times New Roman"/>
          <w:i/>
          <w:iCs/>
          <w:sz w:val="24"/>
          <w:szCs w:val="24"/>
        </w:rPr>
        <w:t>x</w:t>
      </w:r>
      <w:r>
        <w:rPr>
          <w:rFonts w:ascii="Times New Roman" w:hAnsi="Times New Roman" w:eastAsia="宋体" w:cs="Times New Roman"/>
          <w:sz w:val="24"/>
          <w:szCs w:val="24"/>
        </w:rPr>
        <w:t xml:space="preserve"> = 0 population (100%) indicates that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cations exist fully dissociated in this system. (b) Distribution of coordinated EC molecules (</w:t>
      </w:r>
      <w:r>
        <w:rPr>
          <w:rFonts w:ascii="Times New Roman" w:hAnsi="Times New Roman" w:eastAsia="宋体" w:cs="Times New Roman"/>
          <w:i/>
          <w:iCs/>
          <w:sz w:val="24"/>
          <w:szCs w:val="24"/>
        </w:rPr>
        <w:t>y</w:t>
      </w:r>
      <w:r>
        <w:rPr>
          <w:rFonts w:ascii="Times New Roman" w:hAnsi="Times New Roman" w:eastAsia="宋体" w:cs="Times New Roman"/>
          <w:sz w:val="24"/>
          <w:szCs w:val="24"/>
        </w:rPr>
        <w:t>). The tri-EC coordinated motif (</w:t>
      </w:r>
      <w:r>
        <w:rPr>
          <w:rFonts w:ascii="Times New Roman" w:hAnsi="Times New Roman" w:eastAsia="宋体" w:cs="Times New Roman"/>
          <w:i/>
          <w:iCs/>
          <w:sz w:val="24"/>
          <w:szCs w:val="24"/>
        </w:rPr>
        <w:t>y</w:t>
      </w:r>
      <w:r>
        <w:rPr>
          <w:rFonts w:ascii="Times New Roman" w:hAnsi="Times New Roman" w:eastAsia="宋体" w:cs="Times New Roman"/>
          <w:sz w:val="24"/>
          <w:szCs w:val="24"/>
        </w:rPr>
        <w:t xml:space="preserve"> = 3, 38.04%) represents the dominant structural unit, followed by the di-EC species (</w:t>
      </w:r>
      <w:r>
        <w:rPr>
          <w:rFonts w:ascii="Times New Roman" w:hAnsi="Times New Roman" w:eastAsia="宋体" w:cs="Times New Roman"/>
          <w:i/>
          <w:iCs/>
          <w:sz w:val="24"/>
          <w:szCs w:val="24"/>
        </w:rPr>
        <w:t>y</w:t>
      </w:r>
      <w:r>
        <w:rPr>
          <w:rFonts w:ascii="Times New Roman" w:hAnsi="Times New Roman" w:eastAsia="宋体" w:cs="Times New Roman"/>
          <w:sz w:val="24"/>
          <w:szCs w:val="24"/>
        </w:rPr>
        <w:t xml:space="preserve"> = 2, 34.32%). (c) Distribution of coordinated EMC molecules (</w:t>
      </w:r>
      <w:r>
        <w:rPr>
          <w:rFonts w:ascii="Times New Roman" w:hAnsi="Times New Roman" w:eastAsia="宋体" w:cs="Times New Roman"/>
          <w:i/>
          <w:iCs/>
          <w:sz w:val="24"/>
          <w:szCs w:val="24"/>
        </w:rPr>
        <w:t>z</w:t>
      </w:r>
      <w:r>
        <w:rPr>
          <w:rFonts w:ascii="Times New Roman" w:hAnsi="Times New Roman" w:eastAsia="宋体" w:cs="Times New Roman"/>
          <w:sz w:val="24"/>
          <w:szCs w:val="24"/>
        </w:rPr>
        <w:t>). The linear carbonate EMC participates actively in the first shell, primarily contributing one (</w:t>
      </w:r>
      <w:r>
        <w:rPr>
          <w:rFonts w:ascii="Times New Roman" w:hAnsi="Times New Roman" w:eastAsia="宋体" w:cs="Times New Roman"/>
          <w:i/>
          <w:iCs/>
          <w:sz w:val="24"/>
          <w:szCs w:val="24"/>
        </w:rPr>
        <w:t>z</w:t>
      </w:r>
      <w:r>
        <w:rPr>
          <w:rFonts w:ascii="Times New Roman" w:hAnsi="Times New Roman" w:eastAsia="宋体" w:cs="Times New Roman"/>
          <w:sz w:val="24"/>
          <w:szCs w:val="24"/>
        </w:rPr>
        <w:t xml:space="preserve"> = 1, 42.83%) or two (</w:t>
      </w:r>
      <w:r>
        <w:rPr>
          <w:rFonts w:ascii="Times New Roman" w:hAnsi="Times New Roman" w:eastAsia="宋体" w:cs="Times New Roman"/>
          <w:i/>
          <w:iCs/>
          <w:sz w:val="24"/>
          <w:szCs w:val="24"/>
        </w:rPr>
        <w:t>z</w:t>
      </w:r>
      <w:r>
        <w:rPr>
          <w:rFonts w:ascii="Times New Roman" w:hAnsi="Times New Roman" w:eastAsia="宋体" w:cs="Times New Roman"/>
          <w:sz w:val="24"/>
          <w:szCs w:val="24"/>
        </w:rPr>
        <w:t xml:space="preserve"> = 2, 32.51%) molecules. (d) Distribution of coordinated FEC molecules (</w:t>
      </w:r>
      <w:r>
        <w:rPr>
          <w:rFonts w:ascii="Times New Roman" w:hAnsi="Times New Roman" w:eastAsia="宋体" w:cs="Times New Roman"/>
          <w:i/>
          <w:iCs/>
          <w:sz w:val="24"/>
          <w:szCs w:val="24"/>
        </w:rPr>
        <w:t>k</w:t>
      </w:r>
      <w:r>
        <w:rPr>
          <w:rFonts w:ascii="Times New Roman" w:hAnsi="Times New Roman" w:eastAsia="宋体" w:cs="Times New Roman"/>
          <w:sz w:val="24"/>
          <w:szCs w:val="24"/>
        </w:rPr>
        <w:t>). Although FEC remains uncoordinated in the majority of motifs (</w:t>
      </w:r>
      <w:r>
        <w:rPr>
          <w:rFonts w:ascii="Times New Roman" w:hAnsi="Times New Roman" w:eastAsia="宋体" w:cs="Times New Roman"/>
          <w:i/>
          <w:iCs/>
          <w:sz w:val="24"/>
          <w:szCs w:val="24"/>
        </w:rPr>
        <w:t>k</w:t>
      </w:r>
      <w:r>
        <w:rPr>
          <w:rFonts w:ascii="Times New Roman" w:hAnsi="Times New Roman" w:eastAsia="宋体" w:cs="Times New Roman"/>
          <w:sz w:val="24"/>
          <w:szCs w:val="24"/>
        </w:rPr>
        <w:t xml:space="preserve"> = 0, 76.97%), it is incorporated into the first shell of a significant fraction (23.03%) of cations, predominantly as a monodentate ligand (</w:t>
      </w:r>
      <w:r>
        <w:rPr>
          <w:rFonts w:ascii="Times New Roman" w:hAnsi="Times New Roman" w:eastAsia="宋体" w:cs="Times New Roman"/>
          <w:i/>
          <w:iCs/>
          <w:sz w:val="24"/>
          <w:szCs w:val="24"/>
        </w:rPr>
        <w:t>k</w:t>
      </w:r>
      <w:r>
        <w:rPr>
          <w:rFonts w:ascii="Times New Roman" w:hAnsi="Times New Roman" w:eastAsia="宋体" w:cs="Times New Roman"/>
          <w:sz w:val="24"/>
          <w:szCs w:val="24"/>
        </w:rPr>
        <w:t xml:space="preserve"> = 1, 21.73%).</w:t>
      </w:r>
    </w:p>
    <w:p w14:paraId="00830BF5">
      <w:pPr>
        <w:widowControl/>
        <w:jc w:val="left"/>
        <w:rPr>
          <w:rFonts w:ascii="Times New Roman" w:hAnsi="Times New Roman" w:eastAsia="宋体" w:cs="Times New Roman"/>
          <w:sz w:val="24"/>
          <w:szCs w:val="24"/>
        </w:rPr>
      </w:pPr>
    </w:p>
    <w:p w14:paraId="432C84F2">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6833D6D1">
      <w:pPr>
        <w:widowControl/>
        <w:jc w:val="center"/>
        <w:rPr>
          <w:rFonts w:ascii="Times New Roman" w:hAnsi="Times New Roman" w:cs="Times New Roman"/>
          <w:b/>
          <w:bCs/>
        </w:rPr>
      </w:pPr>
      <w:r>
        <w:rPr>
          <w:rFonts w:ascii="Times New Roman" w:hAnsi="Times New Roman" w:cs="Times New Roman"/>
        </w:rPr>
        <w:drawing>
          <wp:inline distT="0" distB="0" distL="0" distR="0">
            <wp:extent cx="5491480" cy="3240405"/>
            <wp:effectExtent l="0" t="0" r="0" b="0"/>
            <wp:docPr id="40911727" name="图片 6" descr="图表, 树状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11727" name="图片 6" descr="图表, 树状图&#10;&#10;AI 生成的内容可能不正确。"/>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491480" cy="3240405"/>
                    </a:xfrm>
                    <a:prstGeom prst="rect">
                      <a:avLst/>
                    </a:prstGeom>
                    <a:noFill/>
                    <a:ln>
                      <a:noFill/>
                    </a:ln>
                  </pic:spPr>
                </pic:pic>
              </a:graphicData>
            </a:graphic>
          </wp:inline>
        </w:drawing>
      </w:r>
    </w:p>
    <w:p w14:paraId="5EA6C840">
      <w:pPr>
        <w:widowControl/>
        <w:adjustRightInd w:val="0"/>
        <w:snapToGrid w:val="0"/>
        <w:spacing w:line="360" w:lineRule="auto"/>
        <w:rPr>
          <w:rFonts w:ascii="Times New Roman" w:hAnsi="Times New Roman" w:eastAsia="宋体" w:cs="Times New Roman"/>
          <w:sz w:val="24"/>
          <w:szCs w:val="24"/>
        </w:rPr>
      </w:pPr>
      <w:bookmarkStart w:id="52" w:name="_Toc221108174"/>
      <w:r>
        <w:rPr>
          <w:rStyle w:val="27"/>
          <w:rFonts w:cs="Times New Roman"/>
        </w:rPr>
        <w:t>Supplementary Fig. 29 | Structural diversity of Li solvation in 3LiPF</w:t>
      </w:r>
      <w:r>
        <w:rPr>
          <w:rStyle w:val="27"/>
          <w:rFonts w:cs="Times New Roman"/>
          <w:vertAlign w:val="subscript"/>
        </w:rPr>
        <w:t>6</w:t>
      </w:r>
      <w:r>
        <w:rPr>
          <w:rStyle w:val="27"/>
          <w:rFonts w:cs="Times New Roman"/>
        </w:rPr>
        <w:t>:13EC:20EMC:4FEC (333.15 K).</w:t>
      </w:r>
      <w:bookmarkEnd w:id="52"/>
      <w:r>
        <w:rPr>
          <w:rStyle w:val="27"/>
          <w:rFonts w:cs="Times New Roman"/>
        </w:rPr>
        <w:t xml:space="preserve"> </w:t>
      </w:r>
      <w:r>
        <w:rPr>
          <w:rFonts w:ascii="Times New Roman" w:hAnsi="Times New Roman" w:eastAsia="宋体" w:cs="Times New Roman"/>
          <w:sz w:val="24"/>
          <w:szCs w:val="24"/>
        </w:rPr>
        <w:t>The treemap visualizes the heterogeneity of the first solvation shell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as predicted by OPLS&amp;Pol. Each tile represents a unique coordination complex defined by the general formula</w:t>
      </w:r>
      <w:r>
        <w:rPr>
          <w:rFonts w:ascii="Times New Roman" w:hAnsi="Times New Roman" w:cs="Times New Roman"/>
          <w:sz w:val="24"/>
          <w:szCs w:val="24"/>
        </w:rPr>
        <w:t xml:space="preserve"> [Li(PF</w:t>
      </w:r>
      <w:r>
        <w:rPr>
          <w:rFonts w:ascii="Times New Roman" w:hAnsi="Times New Roman" w:cs="Times New Roman"/>
          <w:sz w:val="24"/>
          <w:szCs w:val="24"/>
          <w:vertAlign w:val="subscript"/>
        </w:rPr>
        <w:t>6</w:t>
      </w:r>
      <w:r>
        <w:rPr>
          <w:rFonts w:ascii="Times New Roman" w:hAnsi="Times New Roman" w:cs="Times New Roman"/>
          <w:sz w:val="24"/>
          <w:szCs w:val="24"/>
        </w:rPr>
        <w:t>)</w:t>
      </w:r>
      <w:r>
        <w:rPr>
          <w:rFonts w:ascii="Times New Roman" w:hAnsi="Times New Roman" w:cs="Times New Roman"/>
          <w:i/>
          <w:iCs/>
          <w:sz w:val="24"/>
          <w:szCs w:val="24"/>
          <w:vertAlign w:val="subscript"/>
        </w:rPr>
        <w:t>x</w:t>
      </w:r>
      <w:r>
        <w:rPr>
          <w:rFonts w:ascii="Times New Roman" w:hAnsi="Times New Roman" w:cs="Times New Roman"/>
          <w:sz w:val="24"/>
          <w:szCs w:val="24"/>
        </w:rPr>
        <w:t>(EC)</w:t>
      </w:r>
      <w:r>
        <w:rPr>
          <w:rFonts w:ascii="Times New Roman" w:hAnsi="Times New Roman" w:cs="Times New Roman"/>
          <w:i/>
          <w:iCs/>
          <w:sz w:val="24"/>
          <w:szCs w:val="24"/>
          <w:vertAlign w:val="subscript"/>
        </w:rPr>
        <w:t>y</w:t>
      </w:r>
      <w:r>
        <w:rPr>
          <w:rFonts w:ascii="Times New Roman" w:hAnsi="Times New Roman" w:cs="Times New Roman"/>
          <w:sz w:val="24"/>
          <w:szCs w:val="24"/>
        </w:rPr>
        <w:t>(EMC)</w:t>
      </w:r>
      <w:r>
        <w:rPr>
          <w:rFonts w:ascii="Times New Roman" w:hAnsi="Times New Roman" w:cs="Times New Roman"/>
          <w:i/>
          <w:iCs/>
          <w:sz w:val="24"/>
          <w:szCs w:val="24"/>
          <w:vertAlign w:val="subscript"/>
        </w:rPr>
        <w:t>z</w:t>
      </w:r>
      <w:r>
        <w:rPr>
          <w:rFonts w:ascii="Times New Roman" w:hAnsi="Times New Roman" w:cs="Times New Roman"/>
          <w:sz w:val="24"/>
          <w:szCs w:val="24"/>
        </w:rPr>
        <w:t>(FEC)</w:t>
      </w:r>
      <w:r>
        <w:rPr>
          <w:rFonts w:ascii="Times New Roman" w:hAnsi="Times New Roman" w:cs="Times New Roman"/>
          <w:i/>
          <w:iCs/>
          <w:sz w:val="24"/>
          <w:szCs w:val="24"/>
          <w:vertAlign w:val="subscript"/>
        </w:rPr>
        <w:t>k</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i/>
          <w:iCs/>
          <w:sz w:val="24"/>
          <w:szCs w:val="24"/>
          <w:vertAlign w:val="superscript"/>
        </w:rPr>
        <w:t>x</w:t>
      </w:r>
      <w:r>
        <w:rPr>
          <w:rFonts w:ascii="Times New Roman" w:hAnsi="Times New Roman" w:eastAsia="宋体" w:cs="Times New Roman"/>
          <w:sz w:val="24"/>
          <w:szCs w:val="24"/>
        </w:rPr>
        <w:t>, with the tile area proportional to its population. The analysis identifies a total of 68 distinct structural motifs. Individual tiles are explicitly labeled for major species with a population ≥ 0.50% (15 types), while the remaining 53 minor species are aggregated into the gray “Others” category (2.72%). Tiles are color-coded based on ligand composition: blue (1 component/homoleptic), green (2 components/binary), orange (3 components/ternary), and red (4 components/quaternary). The table below details the top 12 dominant structures.</w:t>
      </w:r>
    </w:p>
    <w:p w14:paraId="3F5D3989">
      <w:pPr>
        <w:widowControl/>
        <w:adjustRightInd w:val="0"/>
        <w:snapToGrid w:val="0"/>
        <w:spacing w:line="360" w:lineRule="auto"/>
        <w:rPr>
          <w:rFonts w:ascii="Times New Roman" w:hAnsi="Times New Roman" w:eastAsia="宋体" w:cs="Times New Roman"/>
          <w:sz w:val="24"/>
          <w:szCs w:val="24"/>
        </w:rPr>
      </w:pPr>
    </w:p>
    <w:p w14:paraId="76750107">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53B9A892">
      <w:pPr>
        <w:widowControl/>
        <w:jc w:val="center"/>
        <w:rPr>
          <w:rFonts w:ascii="Times New Roman" w:hAnsi="Times New Roman" w:eastAsia="宋体" w:cs="Times New Roman"/>
          <w:sz w:val="24"/>
          <w:szCs w:val="24"/>
        </w:rPr>
      </w:pPr>
      <w:r>
        <w:rPr>
          <w:rFonts w:ascii="Times New Roman" w:hAnsi="Times New Roman" w:cs="Times New Roman"/>
        </w:rPr>
        <w:drawing>
          <wp:inline distT="0" distB="0" distL="0" distR="0">
            <wp:extent cx="5039995" cy="4634230"/>
            <wp:effectExtent l="0" t="0" r="8255" b="0"/>
            <wp:docPr id="1661933491" name="图片 2" descr="图表, 条形图, 箱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33491" name="图片 2" descr="图表, 条形图, 箱线图&#10;&#10;AI 生成的内容可能不正确。"/>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040000" cy="4634376"/>
                    </a:xfrm>
                    <a:prstGeom prst="rect">
                      <a:avLst/>
                    </a:prstGeom>
                    <a:noFill/>
                    <a:ln>
                      <a:noFill/>
                    </a:ln>
                  </pic:spPr>
                </pic:pic>
              </a:graphicData>
            </a:graphic>
          </wp:inline>
        </w:drawing>
      </w:r>
    </w:p>
    <w:p w14:paraId="1484DBAF">
      <w:pPr>
        <w:widowControl/>
        <w:adjustRightInd w:val="0"/>
        <w:snapToGrid w:val="0"/>
        <w:spacing w:line="360" w:lineRule="auto"/>
        <w:rPr>
          <w:rFonts w:ascii="Times New Roman" w:hAnsi="Times New Roman" w:eastAsia="宋体" w:cs="Times New Roman"/>
          <w:sz w:val="24"/>
          <w:szCs w:val="24"/>
        </w:rPr>
      </w:pPr>
      <w:bookmarkStart w:id="53" w:name="_Toc221108175"/>
      <w:r>
        <w:rPr>
          <w:rStyle w:val="27"/>
          <w:rFonts w:cs="Times New Roman"/>
        </w:rPr>
        <w:t>Supplementary Fig. 30 | Concentration-dependent Li</w:t>
      </w:r>
      <w:r>
        <w:rPr>
          <w:rStyle w:val="27"/>
          <w:rFonts w:cs="Times New Roman"/>
          <w:vertAlign w:val="superscript"/>
        </w:rPr>
        <w:t>+</w:t>
      </w:r>
      <w:r>
        <w:rPr>
          <w:rStyle w:val="27"/>
          <w:rFonts w:cs="Times New Roman"/>
        </w:rPr>
        <w:t xml:space="preserve"> solvation structures in LiPF</w:t>
      </w:r>
      <w:r>
        <w:rPr>
          <w:rStyle w:val="27"/>
          <w:rFonts w:cs="Times New Roman"/>
          <w:vertAlign w:val="subscript"/>
        </w:rPr>
        <w:t>6</w:t>
      </w:r>
      <w:r>
        <w:rPr>
          <w:rStyle w:val="27"/>
          <w:rFonts w:cs="Times New Roman"/>
        </w:rPr>
        <w:t>:EC:EMC electrolytes.</w:t>
      </w:r>
      <w:bookmarkEnd w:id="53"/>
      <w:r>
        <w:rPr>
          <w:rStyle w:val="27"/>
          <w:rFonts w:cs="Times New Roman"/>
        </w:rPr>
        <w:t xml:space="preserve"> </w:t>
      </w:r>
      <w:r>
        <w:rPr>
          <w:rFonts w:ascii="Times New Roman" w:hAnsi="Times New Roman" w:eastAsia="宋体" w:cs="Times New Roman"/>
          <w:sz w:val="24"/>
          <w:szCs w:val="24"/>
        </w:rPr>
        <w:t>Comparative assessment of 10 FFs across varying salt-to-solvent ratios and thermal conditions. Stacked bars (left axis) represent the</w:t>
      </w:r>
      <w:r>
        <w:rPr>
          <w:rFonts w:ascii="Times New Roman" w:hAnsi="Times New Roman" w:eastAsia="宋体" w:cs="Times New Roman"/>
          <w:i/>
          <w:iCs/>
          <w:sz w:val="24"/>
          <w:szCs w:val="24"/>
        </w:rPr>
        <w:t xml:space="preserve"> CN</w:t>
      </w:r>
      <w:r>
        <w:rPr>
          <w:rFonts w:ascii="Times New Roman" w:hAnsi="Times New Roman" w:eastAsia="宋体" w:cs="Times New Roman"/>
          <w:sz w:val="24"/>
          <w:szCs w:val="24"/>
        </w:rPr>
        <w:t xml:space="preserve">s for Li-O pairs involving the carbonyl oxygens of EMC and EC. These specific interaction sites correspond to atoms O41, and O22, respectively (as detailed in </w:t>
      </w:r>
      <w:r>
        <w:rPr>
          <w:rFonts w:ascii="Times New Roman" w:hAnsi="Times New Roman" w:eastAsia="宋体" w:cs="Times New Roman"/>
          <w:b/>
          <w:bCs/>
          <w:sz w:val="24"/>
          <w:szCs w:val="24"/>
        </w:rPr>
        <w:t>Supplementary Figs. 1-3</w:t>
      </w:r>
      <w:r>
        <w:rPr>
          <w:rFonts w:ascii="Times New Roman" w:hAnsi="Times New Roman" w:eastAsia="宋体" w:cs="Times New Roman"/>
          <w:sz w:val="24"/>
          <w:szCs w:val="24"/>
        </w:rPr>
        <w:t xml:space="preserve">). Blue circles connected by dashed lines (right axis) denote the </w:t>
      </w:r>
      <w:r>
        <w:rPr>
          <w:rFonts w:ascii="Times New Roman" w:hAnsi="Times New Roman" w:eastAsia="宋体" w:cs="Times New Roman"/>
          <w:i/>
          <w:iCs/>
          <w:sz w:val="24"/>
          <w:szCs w:val="24"/>
        </w:rPr>
        <w:t>c</w:t>
      </w:r>
      <w:r>
        <w:rPr>
          <w:rFonts w:ascii="Times New Roman" w:hAnsi="Times New Roman" w:eastAsia="宋体" w:cs="Times New Roman"/>
          <w:sz w:val="24"/>
          <w:szCs w:val="24"/>
        </w:rPr>
        <w:t>. (a-c) Ternary LCEs (21LiPF</w:t>
      </w:r>
      <w:r>
        <w:rPr>
          <w:rFonts w:ascii="Times New Roman" w:hAnsi="Times New Roman" w:eastAsia="宋体" w:cs="Times New Roman"/>
          <w:sz w:val="24"/>
          <w:szCs w:val="24"/>
          <w:vertAlign w:val="subscript"/>
        </w:rPr>
        <w:t>6</w:t>
      </w:r>
      <w:r>
        <w:rPr>
          <w:rFonts w:ascii="Times New Roman" w:hAnsi="Times New Roman" w:eastAsia="宋体" w:cs="Times New Roman"/>
          <w:sz w:val="24"/>
          <w:szCs w:val="24"/>
        </w:rPr>
        <w:t>:50EC:132EMC, 39LiPF</w:t>
      </w:r>
      <w:r>
        <w:rPr>
          <w:rFonts w:ascii="Times New Roman" w:hAnsi="Times New Roman" w:eastAsia="宋体" w:cs="Times New Roman"/>
          <w:sz w:val="24"/>
          <w:szCs w:val="24"/>
          <w:vertAlign w:val="subscript"/>
        </w:rPr>
        <w:t>6</w:t>
      </w:r>
      <w:r>
        <w:rPr>
          <w:rFonts w:ascii="Times New Roman" w:hAnsi="Times New Roman" w:eastAsia="宋体" w:cs="Times New Roman"/>
          <w:sz w:val="24"/>
          <w:szCs w:val="24"/>
        </w:rPr>
        <w:t>:100EC:264EMC, and 8LiPF</w:t>
      </w:r>
      <w:r>
        <w:rPr>
          <w:rFonts w:ascii="Times New Roman" w:hAnsi="Times New Roman" w:eastAsia="宋体" w:cs="Times New Roman"/>
          <w:sz w:val="24"/>
          <w:szCs w:val="24"/>
          <w:vertAlign w:val="subscript"/>
        </w:rPr>
        <w:t>6</w:t>
      </w:r>
      <w:r>
        <w:rPr>
          <w:rFonts w:ascii="Times New Roman" w:hAnsi="Times New Roman" w:eastAsia="宋体" w:cs="Times New Roman"/>
          <w:sz w:val="24"/>
          <w:szCs w:val="24"/>
        </w:rPr>
        <w:t xml:space="preserve">:25EC:66EMC) with decreasing </w:t>
      </w:r>
      <w:r>
        <w:rPr>
          <w:rFonts w:ascii="Times New Roman" w:hAnsi="Times New Roman" w:eastAsia="宋体" w:cs="Times New Roman"/>
          <w:i/>
          <w:iCs/>
          <w:sz w:val="24"/>
          <w:szCs w:val="24"/>
        </w:rPr>
        <w:t>c</w:t>
      </w:r>
      <w:r>
        <w:rPr>
          <w:rFonts w:ascii="Times New Roman" w:hAnsi="Times New Roman" w:eastAsia="宋体" w:cs="Times New Roman"/>
          <w:sz w:val="24"/>
          <w:szCs w:val="24"/>
        </w:rPr>
        <w:t xml:space="preserve"> at 333.15 K, respectively. (d) Ternary LCE (7LiPF</w:t>
      </w:r>
      <w:r>
        <w:rPr>
          <w:rFonts w:ascii="Times New Roman" w:hAnsi="Times New Roman" w:eastAsia="宋体" w:cs="Times New Roman"/>
          <w:sz w:val="24"/>
          <w:szCs w:val="24"/>
          <w:vertAlign w:val="subscript"/>
        </w:rPr>
        <w:t>6</w:t>
      </w:r>
      <w:r>
        <w:rPr>
          <w:rFonts w:ascii="Times New Roman" w:hAnsi="Times New Roman" w:eastAsia="宋体" w:cs="Times New Roman"/>
          <w:sz w:val="24"/>
          <w:szCs w:val="24"/>
        </w:rPr>
        <w:t>:20EC:40EMC) at 303.15 K.</w:t>
      </w:r>
    </w:p>
    <w:p w14:paraId="47EC789A">
      <w:pPr>
        <w:widowControl/>
        <w:jc w:val="left"/>
        <w:rPr>
          <w:rFonts w:ascii="Times New Roman" w:hAnsi="Times New Roman" w:eastAsia="宋体" w:cs="Times New Roman"/>
          <w:sz w:val="24"/>
          <w:szCs w:val="24"/>
        </w:rPr>
      </w:pPr>
    </w:p>
    <w:p w14:paraId="55DB9658">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3AD226E8">
      <w:pPr>
        <w:widowControl/>
        <w:jc w:val="center"/>
        <w:rPr>
          <w:rFonts w:ascii="Times New Roman" w:hAnsi="Times New Roman" w:eastAsia="宋体" w:cs="Times New Roman"/>
          <w:sz w:val="24"/>
          <w:szCs w:val="24"/>
        </w:rPr>
      </w:pPr>
      <w:r>
        <w:rPr>
          <w:rFonts w:ascii="Times New Roman" w:hAnsi="Times New Roman" w:cs="Times New Roman"/>
        </w:rPr>
        <w:drawing>
          <wp:inline distT="0" distB="0" distL="0" distR="0">
            <wp:extent cx="5039995" cy="5030470"/>
            <wp:effectExtent l="0" t="0" r="8255" b="0"/>
            <wp:docPr id="1976617997" name="图片 4" descr="图片包含 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17997" name="图片 4" descr="图片包含 日历&#10;&#10;AI 生成的内容可能不正确。"/>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040000" cy="5030675"/>
                    </a:xfrm>
                    <a:prstGeom prst="rect">
                      <a:avLst/>
                    </a:prstGeom>
                    <a:noFill/>
                    <a:ln>
                      <a:noFill/>
                    </a:ln>
                  </pic:spPr>
                </pic:pic>
              </a:graphicData>
            </a:graphic>
          </wp:inline>
        </w:drawing>
      </w:r>
    </w:p>
    <w:p w14:paraId="7636106E">
      <w:pPr>
        <w:widowControl/>
        <w:adjustRightInd w:val="0"/>
        <w:snapToGrid w:val="0"/>
        <w:spacing w:line="360" w:lineRule="auto"/>
        <w:rPr>
          <w:rFonts w:ascii="Times New Roman" w:hAnsi="Times New Roman" w:eastAsia="宋体" w:cs="Times New Roman"/>
          <w:sz w:val="24"/>
          <w:szCs w:val="24"/>
        </w:rPr>
      </w:pPr>
      <w:bookmarkStart w:id="54" w:name="_Toc221108176"/>
      <w:r>
        <w:rPr>
          <w:rStyle w:val="27"/>
          <w:rFonts w:cs="Times New Roman"/>
        </w:rPr>
        <w:t>Supplementary Fig. 31 | Comparison of PF</w:t>
      </w:r>
      <w:r>
        <w:rPr>
          <w:rStyle w:val="27"/>
          <w:rFonts w:cs="Times New Roman"/>
          <w:vertAlign w:val="subscript"/>
        </w:rPr>
        <w:t>6</w:t>
      </w:r>
      <w:r>
        <w:rPr>
          <w:rStyle w:val="27"/>
          <w:rFonts w:cs="Times New Roman"/>
          <w:vertAlign w:val="superscript"/>
        </w:rPr>
        <w:t>-</w:t>
      </w:r>
      <w:r>
        <w:rPr>
          <w:rStyle w:val="27"/>
          <w:rFonts w:cs="Times New Roman"/>
        </w:rPr>
        <w:t xml:space="preserve"> speciation in LiPF</w:t>
      </w:r>
      <w:r>
        <w:rPr>
          <w:rStyle w:val="27"/>
          <w:rFonts w:cs="Times New Roman"/>
          <w:vertAlign w:val="subscript"/>
        </w:rPr>
        <w:t>6</w:t>
      </w:r>
      <w:r>
        <w:rPr>
          <w:rStyle w:val="27"/>
          <w:rFonts w:cs="Times New Roman"/>
        </w:rPr>
        <w:t>:EC:EMC electrolytes.</w:t>
      </w:r>
      <w:bookmarkEnd w:id="54"/>
      <w:r>
        <w:rPr>
          <w:rStyle w:val="27"/>
          <w:rFonts w:cs="Times New Roman"/>
        </w:rPr>
        <w:t xml:space="preserve"> </w:t>
      </w:r>
      <w:r>
        <w:rPr>
          <w:rFonts w:ascii="Times New Roman" w:hAnsi="Times New Roman" w:eastAsia="宋体" w:cs="Times New Roman"/>
          <w:sz w:val="24"/>
          <w:szCs w:val="24"/>
        </w:rPr>
        <w:t xml:space="preserve">Population distributions of SSIP, CIP, AGG, AGG+ predicted by 10 FFs across varying salt-to-solvent ratios and thermal conditions. (a-c) Ternary LCEs with decreasing </w:t>
      </w:r>
      <w:r>
        <w:rPr>
          <w:rFonts w:ascii="Times New Roman" w:hAnsi="Times New Roman" w:eastAsia="宋体" w:cs="Times New Roman"/>
          <w:i/>
          <w:iCs/>
          <w:sz w:val="24"/>
          <w:szCs w:val="24"/>
        </w:rPr>
        <w:t>c</w:t>
      </w:r>
      <w:r>
        <w:rPr>
          <w:rFonts w:ascii="Times New Roman" w:hAnsi="Times New Roman" w:eastAsia="宋体" w:cs="Times New Roman"/>
          <w:sz w:val="24"/>
          <w:szCs w:val="24"/>
        </w:rPr>
        <w:t xml:space="preserve"> at 333.15 K, respectively. (d) Ternary LCE at 303.15 K.</w:t>
      </w:r>
    </w:p>
    <w:p w14:paraId="3878BA1F">
      <w:pPr>
        <w:widowControl/>
        <w:adjustRightInd w:val="0"/>
        <w:snapToGrid w:val="0"/>
        <w:spacing w:line="360" w:lineRule="auto"/>
        <w:rPr>
          <w:rFonts w:ascii="Times New Roman" w:hAnsi="Times New Roman" w:eastAsia="宋体" w:cs="Times New Roman"/>
          <w:sz w:val="24"/>
          <w:szCs w:val="24"/>
        </w:rPr>
      </w:pPr>
    </w:p>
    <w:p w14:paraId="0A88FF59">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08F26B8F">
      <w:pPr>
        <w:widowControl/>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5039995" cy="1500505"/>
            <wp:effectExtent l="0" t="0" r="0" b="4445"/>
            <wp:docPr id="8" name="图片 7"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图示, 示意图&#10;&#10;AI 生成的内容可能不正确。"/>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5040000" cy="1500914"/>
                    </a:xfrm>
                    <a:prstGeom prst="rect">
                      <a:avLst/>
                    </a:prstGeom>
                  </pic:spPr>
                </pic:pic>
              </a:graphicData>
            </a:graphic>
          </wp:inline>
        </w:drawing>
      </w:r>
    </w:p>
    <w:p w14:paraId="21BFD587">
      <w:pPr>
        <w:widowControl/>
        <w:adjustRightInd w:val="0"/>
        <w:snapToGrid w:val="0"/>
        <w:spacing w:line="360" w:lineRule="auto"/>
        <w:rPr>
          <w:rFonts w:ascii="Times New Roman" w:hAnsi="Times New Roman" w:cs="Times New Roman"/>
          <w:sz w:val="24"/>
          <w:szCs w:val="24"/>
        </w:rPr>
      </w:pPr>
      <w:bookmarkStart w:id="55" w:name="_Toc221108177"/>
      <w:r>
        <w:rPr>
          <w:rStyle w:val="27"/>
          <w:rFonts w:cs="Times New Roman"/>
        </w:rPr>
        <w:t>Supplementary Fig. 32 | Simulation configurations for LiPF</w:t>
      </w:r>
      <w:r>
        <w:rPr>
          <w:rStyle w:val="27"/>
          <w:rFonts w:cs="Times New Roman"/>
          <w:vertAlign w:val="subscript"/>
        </w:rPr>
        <w:t>6</w:t>
      </w:r>
      <w:r>
        <w:rPr>
          <w:rStyle w:val="27"/>
          <w:rFonts w:cs="Times New Roman"/>
        </w:rPr>
        <w:t>:EC:DMC carbonate-based systems.</w:t>
      </w:r>
      <w:bookmarkEnd w:id="55"/>
      <w:r>
        <w:rPr>
          <w:rStyle w:val="27"/>
          <w:rFonts w:cs="Times New Roman"/>
        </w:rPr>
        <w:t xml:space="preserve"> </w:t>
      </w:r>
      <w:r>
        <w:rPr>
          <w:rFonts w:ascii="Times New Roman" w:hAnsi="Times New Roman" w:eastAsia="宋体" w:cs="Times New Roman"/>
          <w:sz w:val="24"/>
          <w:szCs w:val="24"/>
        </w:rPr>
        <w:t>Overview of FF variants and MD simulation configurations for LiPF</w:t>
      </w:r>
      <w:r>
        <w:rPr>
          <w:rFonts w:ascii="Times New Roman" w:hAnsi="Times New Roman" w:eastAsia="宋体" w:cs="Times New Roman"/>
          <w:sz w:val="24"/>
          <w:szCs w:val="24"/>
          <w:vertAlign w:val="subscript"/>
        </w:rPr>
        <w:t>6</w:t>
      </w:r>
      <w:r>
        <w:rPr>
          <w:rFonts w:ascii="Times New Roman" w:hAnsi="Times New Roman" w:eastAsia="宋体" w:cs="Times New Roman"/>
          <w:sz w:val="24"/>
          <w:szCs w:val="24"/>
        </w:rPr>
        <w:t xml:space="preserve">:EC:DMC electrolyte and </w:t>
      </w:r>
      <w:r>
        <w:rPr>
          <w:rFonts w:ascii="Times New Roman" w:hAnsi="Times New Roman" w:cs="Times New Roman"/>
          <w:sz w:val="24"/>
          <w:szCs w:val="24"/>
        </w:rPr>
        <w:t>neat solvent (DMC)</w:t>
      </w:r>
      <w:r>
        <w:rPr>
          <w:rFonts w:ascii="Times New Roman" w:hAnsi="Times New Roman" w:eastAsia="宋体" w:cs="Times New Roman"/>
          <w:sz w:val="24"/>
          <w:szCs w:val="24"/>
        </w:rPr>
        <w:t>. This set of MD simulations comprises 14 unique configurations, with molar ratios adopted from the literature.</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{"citationID":"8Ovhunqj","properties":{"formattedCitation":"\\super 24,25\\nosupersub{}","plainCitation":"24,25","noteIndex":0},"citationItems":[{"id":1030,"uris":["http://zotero.org/users/17156447/items/4EREMGMU"],"itemData":{"id":1030,"type":"article-journal","abstract":"Abstract\n            \n              Developing high-energy and efficient battery technologies is a crucial aspect of advancing the electrification of transportation and aviation. However, battery innovations can take years to deliver. In the case of non-aqueous battery electrolyte solutions, the many design variables in selecting multiple solvents, salts and their relative ratios make electrolyte optimization time-consuming and laborious. To overcome these issues, we propose in this work an experimental design that couples robotics (a custom-built automated experiment named \"Clio”) to machine-learning (a Bayesian optimization-based experiment planner named \"Dragonfly”). An autonomous optimization of the electrolyte conductivity over a single-salt and ternary solvent design space identifies six fast-charging non-aqueous electrolyte solutions in two work-days and forty-two experiments. This result represents a six-fold time acceleration compared to a random search performed by the same automated experiment. To validate the practical use of these electrolytes, we tested them in a 220 mAh graphite</w:instrText>
      </w:r>
      <w:r>
        <w:rPr>
          <w:rFonts w:ascii="Cambria Math" w:hAnsi="Cambria Math" w:cs="Cambria Math"/>
          <w:sz w:val="24"/>
          <w:szCs w:val="24"/>
        </w:rPr>
        <w:instrText xml:space="preserve">∣∣</w:instrText>
      </w:r>
      <w:r>
        <w:rPr>
          <w:rFonts w:ascii="Times New Roman" w:hAnsi="Times New Roman" w:cs="Times New Roman"/>
          <w:sz w:val="24"/>
          <w:szCs w:val="24"/>
        </w:rPr>
        <w:instrText xml:space="preserve">LiNi\n              0.5\n              Mn\n              0.3\n              Co\n              0.2\n              O\n              2\n              pouch cell configuration. All the pouch cells containing the robot-developed electrolytes demonstrate improved fast-charging capability against a baseline experiment that uses a non-aqueous electrolyte solution selected a priori from the design space.","container-title":"Nature Communications","DOI":"10.1038/s41467-022-32938-1","ISSN":"2041-1723","issue":"1","journalAbbreviation":"Nat. Commun.","language":"en","note":"90 citations (Crossref/DOI) [2025-06-11]\nTLDR: An automated workflow is proposed that couples robotic experiments with machine learning to optimize liquid electrolyte formulations without human intervention to overcome time-consuming and laborious electrolyte optimization.\nJCR分区: Q1\n5年影响因子: 16.1","page":"5454","source":"DOI.org (Crossref)","title":"Autonomous optimization of non-aqueous li-ion battery electrolytes via robotic experimentation and machine learning coupling","volume":"13","author":[{"family":"Dave","given":"Adarsh"},{"family":"Mitchell","given":"Jared"},{"family":"Burke","given":"Sven"},{"family":"Lin","given":"Hongyi"},{"family":"Whitacre","given":"Jay"},{"family":"Viswanathan","given":"Venkatasubramanian"}],"issued":{"date-parts":[["2022",9,27]]}}},{"id":1329,"uris":["http://zotero.org/users/17156447/items/J3BIK2Y9"],"itemData":{"id":1329,"type":"article-journal","abstract":"Organic materials are promising candidates for next-generation battery systems. However, many organic battery materials suﬀer from high solubility in common battery electrolytes. Such solubility can be overcome by introducing tailored high-molecular-weight polymer structures, for example, by crosslinking, requiring enhanced synthetic eﬀorts. We herein propose a diﬀerent strategy by optimizing the battery electrolyte to obtain insolubility of non-cross-linked poly(3-vinyl-N-methylphenothiazine) (PVMPT). Successive investigation and theoretical insights into carbonate-based electrolytes and their interplay with PVMPT led to a strong decrease in the solubility of the redox polymer in ethylene carbonate/ethyl methyl carbonate (3:7) with 1 M LiPF6. This allowed accessing its full theoretical speciﬁc capacity by changing the charge/discharge mechanism compared to previous reports. Through electrochemical, spectroscopic, and theoretical investigations, we show that changing the constituents of the electrolyte signiﬁcantly inﬂuences the interactions between the electrolyte molecules and the redox polymer PVMPT. Our study demonstrates that choosing the ideal electrolyte composition without chemical modiﬁcation of the active material is a successful strategy to enhance the performance of organic polymer-based batteries.","container-title":"ACS Applied Materials &amp; Interfaces","DOI":"10.1021/acsami.0c20012","ISSN":"1944-8244, 1944-8252","issue":"10","journalAbbreviation":"ACS Appl. Mater. Interfaces","language":"en","license":"https://creativecommons.org/licenses/by/4.0/","note":"38 citations (Crossref/DOI) [2025-10-28]\nTLDR: This study demonstrates that choosing the ideal electrolyte composition without chemical modification of the active material is a successful strategy to enhance the performance of organic polymer-based batteries.","page":"12442-12453","source":"DOI.org (Crossref)","title":"Insights into the solubility of poly(vinylphenothiazine) in carbonate-based battery electrolytes","volume":"13","author":[{"family":"Perner","given":"Verena"},{"family":"Diddens","given":"Diddo"},{"family":"Otteny","given":"Fabian"},{"family":"Küpers","given":"Verena"},{"family":"Bieker","given":"Peter"},{"family":"Esser","given":"Birgit"},{"family":"Winter","given":"Martin"},{"family":"Kolek","given":"Martin"}],"issued":{"date-parts":[["2021",3,17]]}}}],"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24,25</w:t>
      </w:r>
      <w:r>
        <w:rPr>
          <w:rFonts w:ascii="Times New Roman" w:hAnsi="Times New Roman" w:cs="Times New Roman"/>
          <w:sz w:val="24"/>
          <w:szCs w:val="24"/>
        </w:rPr>
        <w:fldChar w:fldCharType="end"/>
      </w:r>
    </w:p>
    <w:p w14:paraId="3F6C9F93">
      <w:pPr>
        <w:widowControl/>
        <w:adjustRightInd w:val="0"/>
        <w:snapToGrid w:val="0"/>
        <w:spacing w:line="360" w:lineRule="auto"/>
        <w:rPr>
          <w:rFonts w:ascii="Times New Roman" w:hAnsi="Times New Roman" w:eastAsia="宋体" w:cs="Times New Roman"/>
          <w:sz w:val="24"/>
          <w:szCs w:val="24"/>
        </w:rPr>
      </w:pPr>
    </w:p>
    <w:p w14:paraId="576F58E3">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6B1C4149">
      <w:pPr>
        <w:widowControl/>
        <w:jc w:val="center"/>
        <w:rPr>
          <w:rFonts w:ascii="Times New Roman" w:hAnsi="Times New Roman" w:eastAsia="宋体" w:cs="Times New Roman"/>
          <w:sz w:val="24"/>
          <w:szCs w:val="24"/>
        </w:rPr>
      </w:pPr>
      <w:r>
        <w:rPr>
          <w:rFonts w:ascii="Times New Roman" w:hAnsi="Times New Roman" w:cs="Times New Roman"/>
        </w:rPr>
        <w:drawing>
          <wp:inline distT="0" distB="0" distL="0" distR="0">
            <wp:extent cx="5039995" cy="3943985"/>
            <wp:effectExtent l="0" t="0" r="8255" b="0"/>
            <wp:docPr id="269369911" name="图片 2"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69911" name="图片 2" descr="图表&#10;&#10;AI 生成的内容可能不正确。"/>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040000" cy="3944348"/>
                    </a:xfrm>
                    <a:prstGeom prst="rect">
                      <a:avLst/>
                    </a:prstGeom>
                    <a:noFill/>
                    <a:ln>
                      <a:noFill/>
                    </a:ln>
                  </pic:spPr>
                </pic:pic>
              </a:graphicData>
            </a:graphic>
          </wp:inline>
        </w:drawing>
      </w:r>
    </w:p>
    <w:p w14:paraId="79431CB6">
      <w:pPr>
        <w:widowControl/>
        <w:adjustRightInd w:val="0"/>
        <w:snapToGrid w:val="0"/>
        <w:spacing w:line="360" w:lineRule="auto"/>
        <w:rPr>
          <w:rFonts w:ascii="Times New Roman" w:hAnsi="Times New Roman" w:eastAsia="宋体" w:cs="Times New Roman"/>
          <w:sz w:val="24"/>
          <w:szCs w:val="24"/>
        </w:rPr>
      </w:pPr>
      <w:bookmarkStart w:id="56" w:name="_Toc221108178"/>
      <w:r>
        <w:rPr>
          <w:rStyle w:val="27"/>
          <w:rFonts w:cs="Times New Roman"/>
        </w:rPr>
        <w:t>Supplementary Fig. 33 | Comparison of Li</w:t>
      </w:r>
      <w:r>
        <w:rPr>
          <w:rStyle w:val="27"/>
          <w:rFonts w:cs="Times New Roman"/>
          <w:vertAlign w:val="superscript"/>
        </w:rPr>
        <w:t>+</w:t>
      </w:r>
      <w:r>
        <w:rPr>
          <w:rStyle w:val="27"/>
          <w:rFonts w:cs="Times New Roman"/>
        </w:rPr>
        <w:t xml:space="preserve"> solvation structures and PF</w:t>
      </w:r>
      <w:r>
        <w:rPr>
          <w:rStyle w:val="27"/>
          <w:rFonts w:cs="Times New Roman"/>
          <w:vertAlign w:val="subscript"/>
        </w:rPr>
        <w:t>6</w:t>
      </w:r>
      <w:r>
        <w:rPr>
          <w:rStyle w:val="27"/>
          <w:rFonts w:cs="Times New Roman"/>
          <w:vertAlign w:val="superscript"/>
        </w:rPr>
        <w:t>-</w:t>
      </w:r>
      <w:r>
        <w:rPr>
          <w:rStyle w:val="27"/>
          <w:rFonts w:cs="Times New Roman"/>
        </w:rPr>
        <w:t xml:space="preserve"> speciation in LiPF</w:t>
      </w:r>
      <w:r>
        <w:rPr>
          <w:rStyle w:val="27"/>
          <w:rFonts w:cs="Times New Roman"/>
          <w:vertAlign w:val="subscript"/>
        </w:rPr>
        <w:t>6</w:t>
      </w:r>
      <w:r>
        <w:rPr>
          <w:rStyle w:val="27"/>
          <w:rFonts w:cs="Times New Roman"/>
        </w:rPr>
        <w:t>:EC:DMC electrolytes.</w:t>
      </w:r>
      <w:bookmarkEnd w:id="56"/>
      <w:r>
        <w:rPr>
          <w:rFonts w:ascii="Times New Roman" w:hAnsi="Times New Roman" w:eastAsia="宋体" w:cs="Times New Roman"/>
          <w:sz w:val="24"/>
          <w:szCs w:val="24"/>
        </w:rPr>
        <w:t xml:space="preserve"> Comparative assessment of 10 FFs for ternary LCE (1LiPF</w:t>
      </w:r>
      <w:r>
        <w:rPr>
          <w:rFonts w:ascii="Times New Roman" w:hAnsi="Times New Roman" w:eastAsia="宋体" w:cs="Times New Roman"/>
          <w:sz w:val="24"/>
          <w:szCs w:val="24"/>
          <w:vertAlign w:val="subscript"/>
        </w:rPr>
        <w:t>6</w:t>
      </w:r>
      <w:r>
        <w:rPr>
          <w:rFonts w:ascii="Times New Roman" w:hAnsi="Times New Roman" w:eastAsia="宋体" w:cs="Times New Roman"/>
          <w:sz w:val="24"/>
          <w:szCs w:val="24"/>
        </w:rPr>
        <w:t xml:space="preserve">:3EC:7DMC) at 298.15 K. (a) Stacked bars (left axis) represent the </w:t>
      </w:r>
      <w:r>
        <w:rPr>
          <w:rFonts w:ascii="Times New Roman" w:hAnsi="Times New Roman" w:eastAsia="宋体" w:cs="Times New Roman"/>
          <w:i/>
          <w:iCs/>
          <w:sz w:val="24"/>
          <w:szCs w:val="24"/>
        </w:rPr>
        <w:t>CN</w:t>
      </w:r>
      <w:r>
        <w:rPr>
          <w:rFonts w:ascii="Times New Roman" w:hAnsi="Times New Roman" w:eastAsia="宋体" w:cs="Times New Roman"/>
          <w:sz w:val="24"/>
          <w:szCs w:val="24"/>
        </w:rPr>
        <w:t xml:space="preserve">s for Li-O pairs involving the carbonyl oxygens of DMC and EC. These specific interaction sites correspond to atoms O52, and O22, respectively (as detailed in </w:t>
      </w:r>
      <w:r>
        <w:rPr>
          <w:rFonts w:ascii="Times New Roman" w:hAnsi="Times New Roman" w:eastAsia="宋体" w:cs="Times New Roman"/>
          <w:b/>
          <w:bCs/>
          <w:sz w:val="24"/>
          <w:szCs w:val="24"/>
        </w:rPr>
        <w:t>Supplementary Figs. 1-3</w:t>
      </w:r>
      <w:r>
        <w:rPr>
          <w:rFonts w:ascii="Times New Roman" w:hAnsi="Times New Roman" w:eastAsia="宋体" w:cs="Times New Roman"/>
          <w:sz w:val="24"/>
          <w:szCs w:val="24"/>
        </w:rPr>
        <w:t xml:space="preserve">). Blue circles connected by dashed lines (right axis) denote the </w:t>
      </w:r>
      <w:r>
        <w:rPr>
          <w:rFonts w:ascii="Times New Roman" w:hAnsi="Times New Roman" w:eastAsia="宋体" w:cs="Times New Roman"/>
          <w:i/>
          <w:iCs/>
          <w:sz w:val="24"/>
          <w:szCs w:val="24"/>
        </w:rPr>
        <w:t>c</w:t>
      </w:r>
      <w:r>
        <w:rPr>
          <w:rFonts w:ascii="Times New Roman" w:hAnsi="Times New Roman" w:eastAsia="宋体" w:cs="Times New Roman"/>
          <w:sz w:val="24"/>
          <w:szCs w:val="24"/>
        </w:rPr>
        <w:t>. (b) Population distributions of SSIP, CIP, AGG, AGG+.</w:t>
      </w:r>
    </w:p>
    <w:p w14:paraId="75B99A92">
      <w:pPr>
        <w:widowControl/>
        <w:jc w:val="left"/>
        <w:rPr>
          <w:rFonts w:ascii="Times New Roman" w:hAnsi="Times New Roman" w:eastAsia="宋体" w:cs="Times New Roman"/>
          <w:sz w:val="24"/>
          <w:szCs w:val="24"/>
        </w:rPr>
      </w:pPr>
    </w:p>
    <w:p w14:paraId="6C6BC467">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14:paraId="4B2DC7CA">
      <w:pPr>
        <w:pStyle w:val="2"/>
        <w:spacing w:after="156"/>
        <w:rPr>
          <w:rFonts w:cs="Times New Roman" w:eastAsiaTheme="minorEastAsia"/>
        </w:rPr>
      </w:pPr>
      <w:bookmarkStart w:id="57" w:name="_Toc221108179"/>
      <w:r>
        <w:rPr>
          <w:rFonts w:cs="Times New Roman" w:eastAsiaTheme="minorEastAsia"/>
        </w:rPr>
        <w:t xml:space="preserve">Supplementary Note 9 | </w:t>
      </w:r>
      <w:r>
        <w:rPr>
          <w:rFonts w:cs="Times New Roman"/>
        </w:rPr>
        <w:t>Polarization-Stabilized Aggregation in Fluorosulfonyl Electrolytes</w:t>
      </w:r>
      <w:bookmarkEnd w:id="57"/>
    </w:p>
    <w:p w14:paraId="7FB65315">
      <w:pPr>
        <w:widowControl/>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5039995" cy="1497330"/>
            <wp:effectExtent l="0" t="0" r="0" b="7620"/>
            <wp:docPr id="3" name="图片 2"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示, 示意图&#10;&#10;AI 生成的内容可能不正确。"/>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5040000" cy="1497917"/>
                    </a:xfrm>
                    <a:prstGeom prst="rect">
                      <a:avLst/>
                    </a:prstGeom>
                  </pic:spPr>
                </pic:pic>
              </a:graphicData>
            </a:graphic>
          </wp:inline>
        </w:drawing>
      </w:r>
    </w:p>
    <w:p w14:paraId="1E419BEB">
      <w:pPr>
        <w:widowControl/>
        <w:adjustRightInd w:val="0"/>
        <w:snapToGrid w:val="0"/>
        <w:spacing w:line="360" w:lineRule="auto"/>
        <w:rPr>
          <w:rFonts w:ascii="Times New Roman" w:hAnsi="Times New Roman" w:cs="Times New Roman"/>
          <w:sz w:val="24"/>
          <w:szCs w:val="24"/>
        </w:rPr>
      </w:pPr>
      <w:bookmarkStart w:id="58" w:name="_Toc221108180"/>
      <w:r>
        <w:rPr>
          <w:rStyle w:val="27"/>
          <w:rFonts w:cs="Times New Roman"/>
        </w:rPr>
        <w:t>Supplementary Fig. 34 | Simulation configurations for LiFSI:PSF fluorosulfonyl-based systems.</w:t>
      </w:r>
      <w:bookmarkEnd w:id="58"/>
      <w:r>
        <w:rPr>
          <w:rStyle w:val="27"/>
          <w:rFonts w:cs="Times New Roman"/>
        </w:rPr>
        <w:t xml:space="preserve"> </w:t>
      </w:r>
      <w:r>
        <w:rPr>
          <w:rFonts w:ascii="Times New Roman" w:hAnsi="Times New Roman" w:eastAsia="宋体" w:cs="Times New Roman"/>
          <w:sz w:val="24"/>
          <w:szCs w:val="24"/>
        </w:rPr>
        <w:t xml:space="preserve">Overview of FF variants and MD simulation configurations for </w:t>
      </w:r>
      <w:r>
        <w:rPr>
          <w:rFonts w:ascii="Times New Roman" w:hAnsi="Times New Roman" w:cs="Times New Roman"/>
          <w:sz w:val="24"/>
          <w:szCs w:val="24"/>
        </w:rPr>
        <w:t>LiFSI:PSF electrolyte and neat solvent (PSF)</w:t>
      </w:r>
      <w:r>
        <w:rPr>
          <w:rFonts w:ascii="Times New Roman" w:hAnsi="Times New Roman" w:eastAsia="宋体" w:cs="Times New Roman"/>
          <w:sz w:val="24"/>
          <w:szCs w:val="24"/>
        </w:rPr>
        <w:t>. This set of MD simulations comprises 14 unique configurations, with molar ratios adopted from the literature.</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{"citationID":"01kjN6ZL","properties":{"formattedCitation":"\\super 26\\nosupersub{}","plainCitation":"26","noteIndex":0},"citationItems":[{"id":1319,"uris":["http://zotero.org/users/17156447/items/5ILW38C5"],"itemData":{"id":1319,"type":"article-journal","abstract":"Abstract\n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26</w:t>
      </w:r>
      <w:r>
        <w:rPr>
          <w:rFonts w:ascii="Times New Roman" w:hAnsi="Times New Roman" w:cs="Times New Roman"/>
          <w:sz w:val="24"/>
          <w:szCs w:val="24"/>
        </w:rPr>
        <w:fldChar w:fldCharType="end"/>
      </w:r>
    </w:p>
    <w:p w14:paraId="732A78AC">
      <w:pPr>
        <w:widowControl/>
        <w:adjustRightInd w:val="0"/>
        <w:snapToGrid w:val="0"/>
        <w:spacing w:line="360" w:lineRule="auto"/>
        <w:rPr>
          <w:rFonts w:ascii="Times New Roman" w:hAnsi="Times New Roman" w:eastAsia="宋体" w:cs="Times New Roman"/>
          <w:sz w:val="24"/>
          <w:szCs w:val="24"/>
        </w:rPr>
      </w:pPr>
    </w:p>
    <w:p w14:paraId="2640BEBF">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5B83B51C">
      <w:pPr>
        <w:widowControl/>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5039995" cy="1497330"/>
            <wp:effectExtent l="0" t="0" r="0" b="7620"/>
            <wp:docPr id="1757641069" name="图片 3"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41069" name="图片 3" descr="图示, 示意图&#10;&#10;AI 生成的内容可能不正确。"/>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5040000" cy="1497917"/>
                    </a:xfrm>
                    <a:prstGeom prst="rect">
                      <a:avLst/>
                    </a:prstGeom>
                  </pic:spPr>
                </pic:pic>
              </a:graphicData>
            </a:graphic>
          </wp:inline>
        </w:drawing>
      </w:r>
    </w:p>
    <w:p w14:paraId="524FB212">
      <w:pPr>
        <w:widowControl/>
        <w:adjustRightInd w:val="0"/>
        <w:snapToGrid w:val="0"/>
        <w:spacing w:line="360" w:lineRule="auto"/>
        <w:rPr>
          <w:rFonts w:ascii="Times New Roman" w:hAnsi="Times New Roman" w:eastAsia="宋体" w:cs="Times New Roman"/>
          <w:sz w:val="24"/>
          <w:szCs w:val="24"/>
        </w:rPr>
      </w:pPr>
      <w:bookmarkStart w:id="59" w:name="_Toc221108181"/>
      <w:r>
        <w:rPr>
          <w:rStyle w:val="27"/>
          <w:rFonts w:cs="Times New Roman"/>
        </w:rPr>
        <w:t>Supplementary Fig. 35 | Simulation configurations for LiFSI:TPSF fluorosulfonyl-based systems.</w:t>
      </w:r>
      <w:bookmarkEnd w:id="59"/>
      <w:r>
        <w:rPr>
          <w:rStyle w:val="27"/>
          <w:rFonts w:cs="Times New Roman"/>
        </w:rPr>
        <w:t xml:space="preserve"> </w:t>
      </w:r>
      <w:r>
        <w:rPr>
          <w:rFonts w:ascii="Times New Roman" w:hAnsi="Times New Roman" w:eastAsia="宋体" w:cs="Times New Roman"/>
          <w:sz w:val="24"/>
          <w:szCs w:val="24"/>
        </w:rPr>
        <w:t xml:space="preserve">Overview of FF variants and MD simulation configurations for </w:t>
      </w:r>
      <w:r>
        <w:rPr>
          <w:rFonts w:ascii="Times New Roman" w:hAnsi="Times New Roman" w:cs="Times New Roman"/>
          <w:sz w:val="24"/>
          <w:szCs w:val="24"/>
        </w:rPr>
        <w:t>LiFSI:TPSF electrolyte and neat solvent (TPSF)</w:t>
      </w:r>
      <w:r>
        <w:rPr>
          <w:rFonts w:ascii="Times New Roman" w:hAnsi="Times New Roman" w:eastAsia="宋体" w:cs="Times New Roman"/>
          <w:sz w:val="24"/>
          <w:szCs w:val="24"/>
        </w:rPr>
        <w:t>. This set of MD simulations comprises 14 unique configurations, with molar ratios adopted from the literature.</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{"citationID":"p5y2bYWk","properties":{"formattedCitation":"\\super 26\\uc0\\u8211{}28\\nosupersub{}","plainCitation":"26–28","noteIndex":0},"citationItems":[{"id":1319,"uris":["http://zotero.org/users/17156447/items/5ILW38C5"],"itemData":{"id":1319,"type":"article-journal","abstract":"Abstract\n            \n              Electrolyte design is critical for high‐energy lithium‐metal batteries (LMBs) because it dictates the aggressive Li–electrolyte interphase that governs cycling stability and Coulombic efficiency (CE). However, traditional high‐ or locally high‐concentration electrolytes, which achieve good Li‐metal compatibility by the formation of anion‒solvent‒Li\n              +\n              aggregates (AGG), typically suffer from poor ionic conductivity (e.g., ≈1 mS cm\n              −1\n              ). Therefore, achieving both high ionic conductivity and AGG‐dominated solvation structure under dilute conditions still remains a challenge. Herein, a novel dilute electrolyte with vehicular aggregates (DVA) mechanism is proposed by employing pyrrolidine‐1‐sulfonyl fluoride (PSF) solvent with optimal steric hindrance effect. Based on this DVA electrolyte, the uniquely AGG‐dominated solvation structure under dilute conditions achieve high ionic conductivity (4.9 mS cm\n              −1\n              ) featuring its vehicular ion‐transport mechanism. It exhibits good Li‐metal compatibility with high stripping‐plating CE of ≈99.5% with inorganic (LiF, Li\n              2\n              O)‐rich robust solid‒electrolyte interphase. Furthermore, the electrolyte effectively suppresses the stress‐corrosion cracking, transition‐metal dissolution, gas evolution, and detrimental surface degradation on the cathode side, thus enabling 4.6‐V‐class LMBs with ultra‐high‐Ni cathodes to deliver a high discharge capacity of 228.4 mAh g\n              −1\n              , excellent rate capability up to 2C, and 87% capacity retention after 150 cycles. This work offers a promising approach for designing advanced electrolytes for high‐energy LMBs.","container-title":"Advanced Materials","DOI":"10.1002/adma.202512236","ISSN":"0935-9648, 1521-4095","issue":"4","journalAbbreviation":"Adv. Mater.","language":"en","note":"0 citations (Crossref/DOI) [2025-10-22]\nJCR分区: Q1\n5年影响因子: 28.9","page":"e12236","source":"DOI.org (Crossref)","title":"Dilute electrolyte with vehicular aggregates for stable high‐energy lithium‐metal batteries","volume":"38","author":[{"family":"Han","given":"Xue"},{"family":"Wang","given":"Chenlu"},{"family":"Xu","given":"Longji"},{"family":"Li","given":"Nan"},{"family":"Zhang","given":"Zi"},{"family":"Wu","given":"Qisheng"},{"family":"Li","given":"Yao"},{"family":"Xue","given":"Weijiang"}],"issued":{"date-parts":[["2026",1,1]]}}},{"id":1325,"uris":["http://zotero.org/users/17156447/items/RJIU83Q4"],"itemData":{"id":1325,"type":"article-journal","container-title":"Nature Energy","DOI":"10.1038/s41560-021-00792-y","ISSN":"2058-7546","issue":"5","journalAbbreviation":"Nat. Energy","language":"en","note":"565 citations (Crossref/DOI) [2025-10-27]\nJCR分区: Q1\n5年影响因子: 68.9","page":"495-505","source":"DOI.org (Crossref)","title":"Ultra-high-voltage ni-rich layered cathodes in practical li metal batteries enabled by a sulfonamide-based electrolyte","volume":"6","author":[{"family":"Xue","given":"Weijiang"},{"family":"Huang","given":"Mingjun"},{"family":"Li","given":"Yutao"},{"family":"Zhu","given":"Yun Guang"},{"family":"Gao","given":"Rui"},{"family":"Xiao","given":"Xianghui"},{"family":"Zhang","given":"Wenxu"},{"family":"Li","given":"Sipei"},{"family":"Xu","given":"Guiyin"},{"family":"Yu","given":"Yang"},{"family":"Li","given":"Peng"},{"family":"Lopez","given":"Jeffrey"},{"family":"Yu","given":"Daiwei"},{"family":"Dong","given":"Yanhao"},{"family":"Fan","given":"Weiwei"},{"family":"Shi","given":"Zhe"},{"family":"Xiong","given":"Rui"},{"family":"Sun","given":"Cheng-Jun"},{"family":"Hwang","given":"Inhui"},{"family":"Lee","given":"Wah-Keat"},{"family":"Shao-Horn","given":"Yang"},{"family":"Johnson","given":"Jeremiah A."},{"family":"Li","given":"Ju"}],"issued":{"date-parts":[["2021",3,25]]}}},{"id":1327,"uris":["http://zotero.org/users/17156447/items/CZ698LBT"],"itemData":{"id":1327,"type":"article-journal","abstract":"Abstract\n            \n              To fulfill the requirements for practical applications, it is urgent to boost the gravimetric energy density of sodium‐ion batteries. An effective way is to increase the charging voltage of O3‐type layered cathodes preferably to 4.2 V versus Na/Na\n              +\n              (V\n              Na\n              ). Nevertheless, it is extremely challenging to achieve stable cycling of the cathodes at such a high cut‐off voltage. Here a novel electrolyte strategy to design an intermolecular‐reinforced electrolyte (IRE) is presented, utilizing meticulously protected ether molecules, which facilitates stable high‐voltage cycling of the commercially viable NaNi\n              1/3\n              Fe\n              1/3\n              Mn\n              1/3\n              O\n              2\n              (NFM). While the NFM with the IRE exhibits a high specific capacity of ≈158 mAh g\n              −1\n              at 4.2 V\n              Na\n              (130 mAh g\n              −1\n              at 4.0 V\n              Na\n              ), the aggressive cathode surface can still be effectively stabilized by the formation of favorable thin and inorganic‐rich cathode−electrolyte interfaces. Remarkably, under a high cut‐off voltage of 4.2 V\n              Na\n              , an industrial ampere‐hour‐level NFM||hard carbon pouch cell with the IRE electrolyte shows an excellent long‐term cycling stability with 82.8% capacity retention after 800 cycles, largely outperforming the localized high‐concentration electrolyte (82.9% after 200 cycles).","container-title":"Advanced Materials","DOI":"10.1002/adma.202415611","ISSN":"0935-9648, 1521-4095","issue":"12","journalAbbreviation":"Adv. Mater.","language":"en","note":"21 citations (Crossref/DOI) [2025-10-27]\nJCR分区: Q1\n5年影响因子: 28.9","page":"2415611","source":"DOI.org (Crossref)","title":"4.2 V O3‐layered cathodes in sodium‐ion pouch cells enabled by an intermolecular‐reinforced ether electrolyte","volume":"37","author":[{"family":"Cui","given":"Xinke"},{"family":"Ding","given":"Shuicen"},{"family":"Niu","given":"Yaoshen"},{"family":"Wang","given":"Hongkang"},{"family":"Lu","given":"Yaxiang"},{"family":"Hu","given":"Yongsheng"},{"family":"Xue","given":"Weijiang"}],"issued":{"date-parts":[["2025",3]]}}}],"schema":"https://github.com/citation-style-language/schema/raw/master/csl-citation.json"} </w:instrText>
      </w:r>
      <w:r>
        <w:rPr>
          <w:rFonts w:ascii="Times New Roman" w:hAnsi="Times New Roman" w:cs="Times New Roman"/>
          <w:sz w:val="24"/>
          <w:szCs w:val="24"/>
        </w:rPr>
        <w:fldChar w:fldCharType="separate"/>
      </w:r>
      <w:r>
        <w:rPr>
          <w:rFonts w:ascii="Times New Roman" w:hAnsi="Times New Roman" w:eastAsia="等线" w:cs="Times New Roman"/>
          <w:kern w:val="0"/>
          <w:sz w:val="24"/>
          <w:vertAlign w:val="superscript"/>
        </w:rPr>
        <w:t>26–28</w:t>
      </w:r>
      <w:r>
        <w:rPr>
          <w:rFonts w:ascii="Times New Roman" w:hAnsi="Times New Roman" w:cs="Times New Roman"/>
          <w:sz w:val="24"/>
          <w:szCs w:val="24"/>
        </w:rPr>
        <w:fldChar w:fldCharType="end"/>
      </w:r>
    </w:p>
    <w:p w14:paraId="7F3FEC0D">
      <w:pPr>
        <w:widowControl/>
        <w:adjustRightInd w:val="0"/>
        <w:snapToGrid w:val="0"/>
        <w:spacing w:line="360" w:lineRule="auto"/>
        <w:rPr>
          <w:rFonts w:ascii="Times New Roman" w:hAnsi="Times New Roman" w:eastAsia="宋体" w:cs="Times New Roman"/>
          <w:sz w:val="24"/>
          <w:szCs w:val="24"/>
        </w:rPr>
      </w:pPr>
    </w:p>
    <w:p w14:paraId="424168CE">
      <w:pPr>
        <w:widowControl/>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137EECFC">
      <w:pPr>
        <w:widowControl/>
        <w:spacing w:line="360" w:lineRule="auto"/>
        <w:jc w:val="center"/>
        <w:rPr>
          <w:rFonts w:ascii="Times New Roman" w:hAnsi="Times New Roman" w:cs="Times New Roman"/>
          <w:sz w:val="24"/>
          <w:szCs w:val="24"/>
        </w:rPr>
      </w:pPr>
      <w:r>
        <w:drawing>
          <wp:inline distT="0" distB="0" distL="0" distR="0">
            <wp:extent cx="5039995" cy="2952750"/>
            <wp:effectExtent l="0" t="0" r="8255" b="0"/>
            <wp:docPr id="1061613447" name="图片 10"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13447" name="图片 10" descr="图表, 散点图&#10;&#10;AI 生成的内容可能不正确。"/>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040000" cy="2953016"/>
                    </a:xfrm>
                    <a:prstGeom prst="rect">
                      <a:avLst/>
                    </a:prstGeom>
                    <a:noFill/>
                    <a:ln>
                      <a:noFill/>
                    </a:ln>
                  </pic:spPr>
                </pic:pic>
              </a:graphicData>
            </a:graphic>
          </wp:inline>
        </w:drawing>
      </w:r>
    </w:p>
    <w:p w14:paraId="5BC95D8E">
      <w:pPr>
        <w:widowControl/>
        <w:adjustRightInd w:val="0"/>
        <w:snapToGrid w:val="0"/>
        <w:spacing w:line="360" w:lineRule="auto"/>
        <w:rPr>
          <w:rFonts w:ascii="Times New Roman" w:hAnsi="Times New Roman" w:eastAsia="宋体" w:cs="Times New Roman"/>
          <w:sz w:val="24"/>
          <w:szCs w:val="24"/>
        </w:rPr>
      </w:pPr>
      <w:bookmarkStart w:id="60" w:name="_Toc221108182"/>
      <w:r>
        <w:rPr>
          <w:rStyle w:val="27"/>
          <w:rFonts w:cs="Times New Roman"/>
        </w:rPr>
        <w:t>Supplementary Fig. 36 | Comparison of FSI</w:t>
      </w:r>
      <w:r>
        <w:rPr>
          <w:rStyle w:val="27"/>
          <w:rFonts w:cs="Times New Roman"/>
          <w:vertAlign w:val="superscript"/>
        </w:rPr>
        <w:t>-</w:t>
      </w:r>
      <w:r>
        <w:rPr>
          <w:rStyle w:val="27"/>
          <w:rFonts w:cs="Times New Roman"/>
        </w:rPr>
        <w:t xml:space="preserve"> speciation in LiFSI:PSF and LiFSI:TPSF electrolytes.</w:t>
      </w:r>
      <w:bookmarkEnd w:id="60"/>
      <w:r>
        <w:rPr>
          <w:rFonts w:ascii="Times New Roman" w:hAnsi="Times New Roman" w:eastAsia="宋体" w:cs="Times New Roman"/>
          <w:sz w:val="24"/>
          <w:szCs w:val="24"/>
        </w:rPr>
        <w:t xml:space="preserve"> Population distributions of SSIP, CIP, AGG, AGG+ predicted by 10 FFs for the LCEs at 298.15 K. (a) 1LiFSI:6.5PSF. (b) 1LiFSI:5TPSF.</w:t>
      </w:r>
    </w:p>
    <w:p w14:paraId="67EB8B37">
      <w:pPr>
        <w:widowControl/>
        <w:adjustRightInd w:val="0"/>
        <w:snapToGrid w:val="0"/>
        <w:spacing w:line="360" w:lineRule="auto"/>
        <w:rPr>
          <w:rFonts w:ascii="Times New Roman" w:hAnsi="Times New Roman" w:eastAsia="宋体" w:cs="Times New Roman"/>
          <w:sz w:val="24"/>
          <w:szCs w:val="24"/>
        </w:rPr>
      </w:pPr>
    </w:p>
    <w:p w14:paraId="38CF9000">
      <w:pPr>
        <w:widowControl/>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158B09DB">
      <w:pPr>
        <w:widowControl/>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5039995" cy="2019935"/>
            <wp:effectExtent l="0" t="0" r="0" b="0"/>
            <wp:docPr id="636337247"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37247" name="图片 1" descr="图表&#10;&#10;AI 生成的内容可能不正确。"/>
                    <pic:cNvPicPr>
                      <a:picLocks noChangeAspect="1"/>
                    </pic:cNvPicPr>
                  </pic:nvPicPr>
                  <pic:blipFill>
                    <a:blip r:embed="rId90"/>
                    <a:stretch>
                      <a:fillRect/>
                    </a:stretch>
                  </pic:blipFill>
                  <pic:spPr>
                    <a:xfrm>
                      <a:off x="0" y="0"/>
                      <a:ext cx="5040000" cy="2020546"/>
                    </a:xfrm>
                    <a:prstGeom prst="rect">
                      <a:avLst/>
                    </a:prstGeom>
                  </pic:spPr>
                </pic:pic>
              </a:graphicData>
            </a:graphic>
          </wp:inline>
        </w:drawing>
      </w:r>
    </w:p>
    <w:p w14:paraId="24A241F3">
      <w:pPr>
        <w:widowControl/>
        <w:adjustRightInd w:val="0"/>
        <w:snapToGrid w:val="0"/>
        <w:spacing w:line="360" w:lineRule="auto"/>
        <w:rPr>
          <w:rFonts w:ascii="Times New Roman" w:hAnsi="Times New Roman" w:eastAsia="宋体" w:cs="Times New Roman"/>
          <w:sz w:val="24"/>
          <w:szCs w:val="24"/>
        </w:rPr>
      </w:pPr>
      <w:bookmarkStart w:id="61" w:name="_Toc221108183"/>
      <w:r>
        <w:rPr>
          <w:rStyle w:val="27"/>
          <w:rFonts w:cs="Times New Roman"/>
          <w:szCs w:val="24"/>
        </w:rPr>
        <w:t>Supplementary Fig. 37 | Decomposition of Li</w:t>
      </w:r>
      <w:r>
        <w:rPr>
          <w:rStyle w:val="27"/>
          <w:rFonts w:cs="Times New Roman"/>
          <w:szCs w:val="24"/>
          <w:vertAlign w:val="superscript"/>
        </w:rPr>
        <w:t>+</w:t>
      </w:r>
      <w:r>
        <w:rPr>
          <w:rStyle w:val="27"/>
          <w:rFonts w:cs="Times New Roman"/>
          <w:szCs w:val="24"/>
        </w:rPr>
        <w:t xml:space="preserve"> solvation in 1LiFSI:6.5PSF (298.15 K).</w:t>
      </w:r>
      <w:bookmarkEnd w:id="61"/>
      <w:r>
        <w:rPr>
          <w:rFonts w:ascii="Times New Roman" w:hAnsi="Times New Roman" w:eastAsia="宋体" w:cs="Times New Roman"/>
          <w:sz w:val="24"/>
          <w:szCs w:val="24"/>
        </w:rPr>
        <w:t xml:space="preserve"> Pie charts illustrate the population distribution of coordinating species within the first solvation shell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as predicted by OPLS&amp;Pol. Classifications correspond to the stoichiometric coefficients in the general formula</w:t>
      </w:r>
      <w:r>
        <w:rPr>
          <w:rFonts w:ascii="Times New Roman" w:hAnsi="Times New Roman" w:cs="Times New Roman"/>
          <w:sz w:val="24"/>
          <w:szCs w:val="24"/>
        </w:rPr>
        <w:t xml:space="preserve"> [Li(FSI)</w:t>
      </w:r>
      <w:r>
        <w:rPr>
          <w:rFonts w:ascii="Times New Roman" w:hAnsi="Times New Roman" w:cs="Times New Roman"/>
          <w:i/>
          <w:iCs/>
          <w:sz w:val="24"/>
          <w:szCs w:val="24"/>
          <w:vertAlign w:val="subscript"/>
        </w:rPr>
        <w:t>x</w:t>
      </w:r>
      <w:r>
        <w:rPr>
          <w:rFonts w:ascii="Times New Roman" w:hAnsi="Times New Roman" w:cs="Times New Roman"/>
          <w:sz w:val="24"/>
          <w:szCs w:val="24"/>
        </w:rPr>
        <w:t>(PSF)</w:t>
      </w:r>
      <w:r>
        <w:rPr>
          <w:rFonts w:ascii="Times New Roman" w:hAnsi="Times New Roman" w:cs="Times New Roman"/>
          <w:i/>
          <w:iCs/>
          <w:sz w:val="24"/>
          <w:szCs w:val="24"/>
          <w:vertAlign w:val="subscript"/>
        </w:rPr>
        <w:t>y</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i/>
          <w:iCs/>
          <w:sz w:val="24"/>
          <w:szCs w:val="24"/>
          <w:vertAlign w:val="superscript"/>
        </w:rPr>
        <w:t>x</w:t>
      </w:r>
      <w:r>
        <w:rPr>
          <w:rFonts w:ascii="Times New Roman" w:hAnsi="Times New Roman" w:eastAsia="宋体" w:cs="Times New Roman"/>
          <w:sz w:val="24"/>
          <w:szCs w:val="24"/>
        </w:rPr>
        <w:t xml:space="preserve">. Left: Distribution of </w:t>
      </w:r>
      <w:r>
        <w:rPr>
          <w:rFonts w:ascii="Times New Roman" w:hAnsi="Times New Roman" w:cs="Times New Roman"/>
          <w:sz w:val="24"/>
          <w:szCs w:val="24"/>
        </w:rPr>
        <w:t>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anions (</w:t>
      </w:r>
      <w:r>
        <w:rPr>
          <w:rFonts w:ascii="Times New Roman" w:hAnsi="Times New Roman" w:eastAsia="宋体" w:cs="Times New Roman"/>
          <w:i/>
          <w:iCs/>
          <w:sz w:val="24"/>
          <w:szCs w:val="24"/>
        </w:rPr>
        <w:t>x</w:t>
      </w:r>
      <w:r>
        <w:rPr>
          <w:rFonts w:ascii="Times New Roman" w:hAnsi="Times New Roman" w:eastAsia="宋体" w:cs="Times New Roman"/>
          <w:sz w:val="24"/>
          <w:szCs w:val="24"/>
        </w:rPr>
        <w:t>). Right: Distribution of coordinated PSF molecules (</w:t>
      </w:r>
      <w:r>
        <w:rPr>
          <w:rFonts w:ascii="Times New Roman" w:hAnsi="Times New Roman" w:eastAsia="宋体" w:cs="Times New Roman"/>
          <w:i/>
          <w:iCs/>
          <w:sz w:val="24"/>
          <w:szCs w:val="24"/>
        </w:rPr>
        <w:t>y</w:t>
      </w:r>
      <w:r>
        <w:rPr>
          <w:rFonts w:ascii="Times New Roman" w:hAnsi="Times New Roman" w:eastAsia="宋体" w:cs="Times New Roman"/>
          <w:sz w:val="24"/>
          <w:szCs w:val="24"/>
        </w:rPr>
        <w:t>).</w:t>
      </w:r>
    </w:p>
    <w:p w14:paraId="1E16DD23">
      <w:pPr>
        <w:widowControl/>
        <w:adjustRightInd w:val="0"/>
        <w:snapToGrid w:val="0"/>
        <w:spacing w:line="360" w:lineRule="auto"/>
        <w:rPr>
          <w:rFonts w:ascii="Times New Roman" w:hAnsi="Times New Roman" w:eastAsia="宋体" w:cs="Times New Roman"/>
          <w:sz w:val="24"/>
          <w:szCs w:val="24"/>
        </w:rPr>
      </w:pPr>
    </w:p>
    <w:p w14:paraId="6E2E37D1">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7A5E7F7D">
      <w:pPr>
        <w:widowControl/>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5491480" cy="3171190"/>
            <wp:effectExtent l="0" t="0" r="0" b="0"/>
            <wp:docPr id="961142089" name="图片 4" descr="树状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42089" name="图片 4" descr="树状图&#10;&#10;AI 生成的内容可能不正确。"/>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491480" cy="3171190"/>
                    </a:xfrm>
                    <a:prstGeom prst="rect">
                      <a:avLst/>
                    </a:prstGeom>
                    <a:noFill/>
                    <a:ln>
                      <a:noFill/>
                    </a:ln>
                  </pic:spPr>
                </pic:pic>
              </a:graphicData>
            </a:graphic>
          </wp:inline>
        </w:drawing>
      </w:r>
    </w:p>
    <w:p w14:paraId="5E33813D">
      <w:pPr>
        <w:widowControl/>
        <w:adjustRightInd w:val="0"/>
        <w:snapToGrid w:val="0"/>
        <w:spacing w:line="360" w:lineRule="auto"/>
        <w:rPr>
          <w:rFonts w:ascii="Times New Roman" w:hAnsi="Times New Roman" w:cs="Times New Roman"/>
          <w:sz w:val="24"/>
          <w:szCs w:val="24"/>
        </w:rPr>
      </w:pPr>
      <w:bookmarkStart w:id="62" w:name="_Toc221108184"/>
      <w:r>
        <w:rPr>
          <w:rStyle w:val="27"/>
          <w:rFonts w:cs="Times New Roman"/>
        </w:rPr>
        <w:t>Supplementary Fig. 38 | Structural diversity of Li</w:t>
      </w:r>
      <w:r>
        <w:rPr>
          <w:rStyle w:val="27"/>
          <w:rFonts w:cs="Times New Roman"/>
          <w:vertAlign w:val="superscript"/>
        </w:rPr>
        <w:t>+</w:t>
      </w:r>
      <w:r>
        <w:rPr>
          <w:rStyle w:val="27"/>
          <w:rFonts w:cs="Times New Roman"/>
        </w:rPr>
        <w:t xml:space="preserve"> solvation in 1LiFSI:6.5PSF (298.15 K).</w:t>
      </w:r>
      <w:bookmarkEnd w:id="62"/>
      <w:r>
        <w:rPr>
          <w:rStyle w:val="27"/>
          <w:rFonts w:cs="Times New Roman"/>
        </w:rPr>
        <w:t xml:space="preserve"> </w:t>
      </w:r>
      <w:r>
        <w:rPr>
          <w:rFonts w:ascii="Times New Roman" w:hAnsi="Times New Roman" w:eastAsia="宋体" w:cs="Times New Roman"/>
          <w:sz w:val="24"/>
          <w:szCs w:val="24"/>
        </w:rPr>
        <w:t>The treemap visualizes the heterogeneity of the first solvation shell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as predicted by OPLS&amp;Pol. Each tile represents a unique coordination complex defined by the general formula</w:t>
      </w:r>
      <w:r>
        <w:rPr>
          <w:rFonts w:ascii="Times New Roman" w:hAnsi="Times New Roman" w:cs="Times New Roman"/>
          <w:sz w:val="24"/>
          <w:szCs w:val="24"/>
        </w:rPr>
        <w:t xml:space="preserve"> [Li(FSI)</w:t>
      </w:r>
      <w:r>
        <w:rPr>
          <w:rFonts w:ascii="Times New Roman" w:hAnsi="Times New Roman" w:cs="Times New Roman"/>
          <w:i/>
          <w:iCs/>
          <w:sz w:val="24"/>
          <w:szCs w:val="24"/>
          <w:vertAlign w:val="subscript"/>
        </w:rPr>
        <w:t>x</w:t>
      </w:r>
      <w:r>
        <w:rPr>
          <w:rFonts w:ascii="Times New Roman" w:hAnsi="Times New Roman" w:cs="Times New Roman"/>
          <w:sz w:val="24"/>
          <w:szCs w:val="24"/>
        </w:rPr>
        <w:t>(PSF)</w:t>
      </w:r>
      <w:r>
        <w:rPr>
          <w:rFonts w:ascii="Times New Roman" w:hAnsi="Times New Roman" w:cs="Times New Roman"/>
          <w:i/>
          <w:iCs/>
          <w:sz w:val="24"/>
          <w:szCs w:val="24"/>
          <w:vertAlign w:val="subscript"/>
        </w:rPr>
        <w:t>y</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i/>
          <w:iCs/>
          <w:sz w:val="24"/>
          <w:szCs w:val="24"/>
          <w:vertAlign w:val="superscript"/>
        </w:rPr>
        <w:t>x</w:t>
      </w:r>
      <w:r>
        <w:rPr>
          <w:rFonts w:ascii="Times New Roman" w:hAnsi="Times New Roman" w:eastAsia="宋体" w:cs="Times New Roman"/>
          <w:sz w:val="24"/>
          <w:szCs w:val="24"/>
        </w:rPr>
        <w:t>, with the tile area proportional to its population. The analysis identifies a total of 20 distinct structural motifs. Individual tiles are explicitly labeled for major species with a population ≥ 0.50% (13 types), while the remaining 7 minor species are aggregated into the gray “Others” category (1.77%). Tiles are color-coded based on ligand composition: blue (1 component/homoleptic) and green (2 components/binary). The table below details the top 12 dominant structures.</w:t>
      </w:r>
    </w:p>
    <w:p w14:paraId="58E6DFB7">
      <w:pPr>
        <w:widowControl/>
        <w:adjustRightInd w:val="0"/>
        <w:snapToGrid w:val="0"/>
        <w:spacing w:line="360" w:lineRule="auto"/>
        <w:rPr>
          <w:rFonts w:ascii="Times New Roman" w:hAnsi="Times New Roman" w:eastAsia="宋体" w:cs="Times New Roman"/>
          <w:sz w:val="24"/>
          <w:szCs w:val="24"/>
        </w:rPr>
      </w:pPr>
    </w:p>
    <w:p w14:paraId="2C2152B0">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1301F902">
      <w:pPr>
        <w:widowControl/>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5491480" cy="2180590"/>
            <wp:effectExtent l="0" t="0" r="0" b="0"/>
            <wp:docPr id="544479816"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79816" name="图片 1" descr="图表&#10;&#10;AI 生成的内容可能不正确。"/>
                    <pic:cNvPicPr>
                      <a:picLocks noChangeAspect="1"/>
                    </pic:cNvPicPr>
                  </pic:nvPicPr>
                  <pic:blipFill>
                    <a:blip r:embed="rId92"/>
                    <a:stretch>
                      <a:fillRect/>
                    </a:stretch>
                  </pic:blipFill>
                  <pic:spPr>
                    <a:xfrm>
                      <a:off x="0" y="0"/>
                      <a:ext cx="5491480" cy="2180590"/>
                    </a:xfrm>
                    <a:prstGeom prst="rect">
                      <a:avLst/>
                    </a:prstGeom>
                  </pic:spPr>
                </pic:pic>
              </a:graphicData>
            </a:graphic>
          </wp:inline>
        </w:drawing>
      </w:r>
    </w:p>
    <w:p w14:paraId="6075CF89">
      <w:pPr>
        <w:widowControl/>
        <w:adjustRightInd w:val="0"/>
        <w:snapToGrid w:val="0"/>
        <w:spacing w:line="360" w:lineRule="auto"/>
        <w:rPr>
          <w:rFonts w:ascii="Times New Roman" w:hAnsi="Times New Roman" w:eastAsia="宋体" w:cs="Times New Roman"/>
          <w:sz w:val="24"/>
          <w:szCs w:val="24"/>
        </w:rPr>
      </w:pPr>
      <w:bookmarkStart w:id="63" w:name="_Toc221108185"/>
      <w:r>
        <w:rPr>
          <w:rStyle w:val="27"/>
          <w:rFonts w:cs="Times New Roman"/>
          <w:szCs w:val="24"/>
        </w:rPr>
        <w:t>Supplementary Fig. 39 | Decomposition of Li</w:t>
      </w:r>
      <w:r>
        <w:rPr>
          <w:rStyle w:val="27"/>
          <w:rFonts w:cs="Times New Roman"/>
          <w:szCs w:val="24"/>
          <w:vertAlign w:val="superscript"/>
        </w:rPr>
        <w:t>+</w:t>
      </w:r>
      <w:r>
        <w:rPr>
          <w:rStyle w:val="27"/>
          <w:rFonts w:cs="Times New Roman"/>
          <w:szCs w:val="24"/>
        </w:rPr>
        <w:t xml:space="preserve"> solvation in 1LiFSI:5TPSF (298.15 K).</w:t>
      </w:r>
      <w:bookmarkEnd w:id="63"/>
      <w:r>
        <w:rPr>
          <w:rFonts w:ascii="Times New Roman" w:hAnsi="Times New Roman" w:eastAsia="宋体" w:cs="Times New Roman"/>
          <w:sz w:val="24"/>
          <w:szCs w:val="24"/>
        </w:rPr>
        <w:t xml:space="preserve"> Pie charts illustrate the population distribution of coordinating species within the first solvation shell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as predicted by OPLS&amp;Pol. Classifications correspond to the stoichiometric coefficients in the general formula</w:t>
      </w:r>
      <w:r>
        <w:rPr>
          <w:rFonts w:ascii="Times New Roman" w:hAnsi="Times New Roman" w:cs="Times New Roman"/>
          <w:sz w:val="24"/>
          <w:szCs w:val="24"/>
        </w:rPr>
        <w:t xml:space="preserve"> [Li(FSI)</w:t>
      </w:r>
      <w:r>
        <w:rPr>
          <w:rFonts w:ascii="Times New Roman" w:hAnsi="Times New Roman" w:cs="Times New Roman"/>
          <w:i/>
          <w:iCs/>
          <w:sz w:val="24"/>
          <w:szCs w:val="24"/>
          <w:vertAlign w:val="subscript"/>
        </w:rPr>
        <w:t>x</w:t>
      </w:r>
      <w:r>
        <w:rPr>
          <w:rFonts w:ascii="Times New Roman" w:hAnsi="Times New Roman" w:cs="Times New Roman"/>
          <w:sz w:val="24"/>
          <w:szCs w:val="24"/>
        </w:rPr>
        <w:t>(TPSF)</w:t>
      </w:r>
      <w:r>
        <w:rPr>
          <w:rFonts w:ascii="Times New Roman" w:hAnsi="Times New Roman" w:cs="Times New Roman"/>
          <w:i/>
          <w:iCs/>
          <w:sz w:val="24"/>
          <w:szCs w:val="24"/>
          <w:vertAlign w:val="subscript"/>
        </w:rPr>
        <w:t>y</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i/>
          <w:iCs/>
          <w:sz w:val="24"/>
          <w:szCs w:val="24"/>
          <w:vertAlign w:val="superscript"/>
        </w:rPr>
        <w:t>x</w:t>
      </w:r>
      <w:r>
        <w:rPr>
          <w:rFonts w:ascii="Times New Roman" w:hAnsi="Times New Roman" w:eastAsia="宋体" w:cs="Times New Roman"/>
          <w:sz w:val="24"/>
          <w:szCs w:val="24"/>
        </w:rPr>
        <w:t xml:space="preserve">. Left: Distribution of </w:t>
      </w:r>
      <w:r>
        <w:rPr>
          <w:rFonts w:ascii="Times New Roman" w:hAnsi="Times New Roman" w:cs="Times New Roman"/>
          <w:sz w:val="24"/>
          <w:szCs w:val="24"/>
        </w:rPr>
        <w:t>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anions (</w:t>
      </w:r>
      <w:r>
        <w:rPr>
          <w:rFonts w:ascii="Times New Roman" w:hAnsi="Times New Roman" w:eastAsia="宋体" w:cs="Times New Roman"/>
          <w:i/>
          <w:iCs/>
          <w:sz w:val="24"/>
          <w:szCs w:val="24"/>
        </w:rPr>
        <w:t>x</w:t>
      </w:r>
      <w:r>
        <w:rPr>
          <w:rFonts w:ascii="Times New Roman" w:hAnsi="Times New Roman" w:eastAsia="宋体" w:cs="Times New Roman"/>
          <w:sz w:val="24"/>
          <w:szCs w:val="24"/>
        </w:rPr>
        <w:t>). Right: Distribution of coordinated TPSF molecules (</w:t>
      </w:r>
      <w:r>
        <w:rPr>
          <w:rFonts w:ascii="Times New Roman" w:hAnsi="Times New Roman" w:eastAsia="宋体" w:cs="Times New Roman"/>
          <w:i/>
          <w:iCs/>
          <w:sz w:val="24"/>
          <w:szCs w:val="24"/>
        </w:rPr>
        <w:t>y</w:t>
      </w:r>
      <w:r>
        <w:rPr>
          <w:rFonts w:ascii="Times New Roman" w:hAnsi="Times New Roman" w:eastAsia="宋体" w:cs="Times New Roman"/>
          <w:sz w:val="24"/>
          <w:szCs w:val="24"/>
        </w:rPr>
        <w:t>).</w:t>
      </w:r>
    </w:p>
    <w:p w14:paraId="06CD0AF1">
      <w:pPr>
        <w:widowControl/>
        <w:adjustRightInd w:val="0"/>
        <w:snapToGrid w:val="0"/>
        <w:spacing w:line="360" w:lineRule="auto"/>
        <w:rPr>
          <w:rFonts w:ascii="Times New Roman" w:hAnsi="Times New Roman" w:eastAsia="宋体" w:cs="Times New Roman"/>
          <w:sz w:val="24"/>
          <w:szCs w:val="24"/>
        </w:rPr>
      </w:pPr>
    </w:p>
    <w:p w14:paraId="032986F6">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56FD9CE6">
      <w:pPr>
        <w:widowControl/>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5491480" cy="3171190"/>
            <wp:effectExtent l="0" t="0" r="0" b="0"/>
            <wp:docPr id="1935241798" name="图片 3" descr="图表, 树状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41798" name="图片 3" descr="图表, 树状图&#10;&#10;AI 生成的内容可能不正确。"/>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5491480" cy="3171190"/>
                    </a:xfrm>
                    <a:prstGeom prst="rect">
                      <a:avLst/>
                    </a:prstGeom>
                    <a:noFill/>
                    <a:ln>
                      <a:noFill/>
                    </a:ln>
                  </pic:spPr>
                </pic:pic>
              </a:graphicData>
            </a:graphic>
          </wp:inline>
        </w:drawing>
      </w:r>
    </w:p>
    <w:p w14:paraId="6D9787D3">
      <w:pPr>
        <w:widowControl/>
        <w:adjustRightInd w:val="0"/>
        <w:snapToGrid w:val="0"/>
        <w:spacing w:line="360" w:lineRule="auto"/>
        <w:rPr>
          <w:rFonts w:ascii="Times New Roman" w:hAnsi="Times New Roman" w:cs="Times New Roman"/>
          <w:sz w:val="24"/>
          <w:szCs w:val="24"/>
        </w:rPr>
      </w:pPr>
      <w:bookmarkStart w:id="64" w:name="_Toc221108186"/>
      <w:r>
        <w:rPr>
          <w:rStyle w:val="27"/>
          <w:rFonts w:cs="Times New Roman"/>
        </w:rPr>
        <w:t>Supplementary Fig. 40 | Structural diversity of Li</w:t>
      </w:r>
      <w:r>
        <w:rPr>
          <w:rStyle w:val="27"/>
          <w:rFonts w:cs="Times New Roman"/>
          <w:vertAlign w:val="superscript"/>
        </w:rPr>
        <w:t>+</w:t>
      </w:r>
      <w:r>
        <w:rPr>
          <w:rStyle w:val="27"/>
          <w:rFonts w:cs="Times New Roman"/>
        </w:rPr>
        <w:t xml:space="preserve"> solvation</w:t>
      </w:r>
      <w:r>
        <w:rPr>
          <w:rStyle w:val="27"/>
          <w:rFonts w:cs="Times New Roman"/>
          <w:szCs w:val="24"/>
        </w:rPr>
        <w:t xml:space="preserve"> in 1LiFSI:5TPSF (298.15 K)</w:t>
      </w:r>
      <w:r>
        <w:rPr>
          <w:rStyle w:val="27"/>
          <w:rFonts w:cs="Times New Roman"/>
        </w:rPr>
        <w:t>.</w:t>
      </w:r>
      <w:bookmarkEnd w:id="64"/>
      <w:r>
        <w:rPr>
          <w:rStyle w:val="27"/>
          <w:rFonts w:cs="Times New Roman"/>
        </w:rPr>
        <w:t xml:space="preserve"> </w:t>
      </w:r>
      <w:r>
        <w:rPr>
          <w:rFonts w:ascii="Times New Roman" w:hAnsi="Times New Roman" w:eastAsia="宋体" w:cs="Times New Roman"/>
          <w:sz w:val="24"/>
          <w:szCs w:val="24"/>
        </w:rPr>
        <w:t>The treemap visualizes the heterogeneity of the first solvation shell of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as predicted by OPLS&amp;Pol. Each tile represents a unique coordination complex defined by the general formula</w:t>
      </w:r>
      <w:r>
        <w:rPr>
          <w:rFonts w:ascii="Times New Roman" w:hAnsi="Times New Roman" w:cs="Times New Roman"/>
          <w:sz w:val="24"/>
          <w:szCs w:val="24"/>
        </w:rPr>
        <w:t xml:space="preserve"> [Li(FSI)</w:t>
      </w:r>
      <w:r>
        <w:rPr>
          <w:rFonts w:ascii="Times New Roman" w:hAnsi="Times New Roman" w:cs="Times New Roman"/>
          <w:i/>
          <w:iCs/>
          <w:sz w:val="24"/>
          <w:szCs w:val="24"/>
          <w:vertAlign w:val="subscript"/>
        </w:rPr>
        <w:t>x</w:t>
      </w:r>
      <w:r>
        <w:rPr>
          <w:rFonts w:ascii="Times New Roman" w:hAnsi="Times New Roman" w:cs="Times New Roman"/>
          <w:sz w:val="24"/>
          <w:szCs w:val="24"/>
        </w:rPr>
        <w:t>(TPSF)</w:t>
      </w:r>
      <w:r>
        <w:rPr>
          <w:rFonts w:ascii="Times New Roman" w:hAnsi="Times New Roman" w:cs="Times New Roman"/>
          <w:i/>
          <w:iCs/>
          <w:sz w:val="24"/>
          <w:szCs w:val="24"/>
          <w:vertAlign w:val="subscript"/>
        </w:rPr>
        <w:t>y</w:t>
      </w:r>
      <w:r>
        <w:rPr>
          <w:rFonts w:ascii="Times New Roman" w:hAnsi="Times New Roman" w:cs="Times New Roman"/>
          <w:sz w:val="24"/>
          <w:szCs w:val="24"/>
        </w:rPr>
        <w:t>]</w:t>
      </w:r>
      <w:r>
        <w:rPr>
          <w:rFonts w:ascii="Times New Roman" w:hAnsi="Times New Roman" w:cs="Times New Roman"/>
          <w:sz w:val="24"/>
          <w:szCs w:val="24"/>
          <w:vertAlign w:val="superscript"/>
        </w:rPr>
        <w:t>1-</w:t>
      </w:r>
      <w:r>
        <w:rPr>
          <w:rFonts w:ascii="Times New Roman" w:hAnsi="Times New Roman" w:cs="Times New Roman"/>
          <w:i/>
          <w:iCs/>
          <w:sz w:val="24"/>
          <w:szCs w:val="24"/>
          <w:vertAlign w:val="superscript"/>
        </w:rPr>
        <w:t>x</w:t>
      </w:r>
      <w:r>
        <w:rPr>
          <w:rFonts w:ascii="Times New Roman" w:hAnsi="Times New Roman" w:eastAsia="宋体" w:cs="Times New Roman"/>
          <w:sz w:val="24"/>
          <w:szCs w:val="24"/>
        </w:rPr>
        <w:t>, with the tile area proportional to its population. The analysis identifies a total of 20 distinct structural motifs. Individual tiles are explicitly labeled for major species with a population ≥ 0.50% (11 types), while the remaining 9 minor species are aggregated into the gray “Others” category (1.74%). Tiles are color-coded based on ligand composition: blue (1 component/homoleptic) and green (2 components/binary). The table below details the top 12 dominant structures.</w:t>
      </w:r>
    </w:p>
    <w:p w14:paraId="69429C11">
      <w:pPr>
        <w:widowControl/>
        <w:adjustRightInd w:val="0"/>
        <w:snapToGrid w:val="0"/>
        <w:spacing w:line="360" w:lineRule="auto"/>
        <w:rPr>
          <w:rFonts w:ascii="Times New Roman" w:hAnsi="Times New Roman" w:eastAsia="宋体" w:cs="Times New Roman"/>
          <w:sz w:val="24"/>
          <w:szCs w:val="24"/>
        </w:rPr>
      </w:pPr>
    </w:p>
    <w:p w14:paraId="3B6A201A">
      <w:pPr>
        <w:widowControl/>
        <w:adjustRightInd w:val="0"/>
        <w:snapToGrid w:val="0"/>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4445712D">
      <w:pPr>
        <w:widowControl/>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5039995" cy="3992245"/>
            <wp:effectExtent l="0" t="0" r="8255" b="8255"/>
            <wp:docPr id="1478946583" name="图片 5"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946583" name="图片 5" descr="图表, 条形图&#10;&#10;AI 生成的内容可能不正确。"/>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040000" cy="3992720"/>
                    </a:xfrm>
                    <a:prstGeom prst="rect">
                      <a:avLst/>
                    </a:prstGeom>
                    <a:noFill/>
                    <a:ln>
                      <a:noFill/>
                    </a:ln>
                  </pic:spPr>
                </pic:pic>
              </a:graphicData>
            </a:graphic>
          </wp:inline>
        </w:drawing>
      </w:r>
    </w:p>
    <w:p w14:paraId="3713B599">
      <w:pPr>
        <w:widowControl/>
        <w:adjustRightInd w:val="0"/>
        <w:snapToGrid w:val="0"/>
        <w:spacing w:line="360" w:lineRule="auto"/>
        <w:rPr>
          <w:rFonts w:ascii="Times New Roman" w:hAnsi="Times New Roman" w:eastAsia="宋体" w:cs="Times New Roman"/>
          <w:sz w:val="24"/>
          <w:szCs w:val="24"/>
        </w:rPr>
      </w:pPr>
      <w:bookmarkStart w:id="65" w:name="_Toc221108187"/>
      <w:r>
        <w:rPr>
          <w:rStyle w:val="27"/>
          <w:rFonts w:cs="Times New Roman"/>
        </w:rPr>
        <w:t>Supplementary Fig. 41 | Comparison of densities for LiFSI:PSF and LiFSI:TPSF electrolytes.</w:t>
      </w:r>
      <w:bookmarkEnd w:id="65"/>
      <w:r>
        <w:rPr>
          <w:rStyle w:val="27"/>
          <w:rFonts w:cs="Times New Roman"/>
        </w:rPr>
        <w:t xml:space="preserve"> </w:t>
      </w:r>
      <w:r>
        <w:rPr>
          <w:rFonts w:ascii="Times New Roman" w:hAnsi="Times New Roman" w:eastAsia="宋体" w:cs="Times New Roman"/>
          <w:sz w:val="24"/>
          <w:szCs w:val="24"/>
        </w:rPr>
        <w:t>Calculated densities predicted by 10 FFs and experimental densities for the LCEs at 298.15 K. (a) 1LiFSI:6.5PSF. (b) 1LiFSI:5TPSF.</w:t>
      </w:r>
    </w:p>
    <w:p w14:paraId="0A2A77CA">
      <w:pPr>
        <w:widowControl/>
        <w:adjustRightInd w:val="0"/>
        <w:snapToGrid w:val="0"/>
        <w:spacing w:line="360" w:lineRule="auto"/>
        <w:rPr>
          <w:rFonts w:ascii="Times New Roman" w:hAnsi="Times New Roman" w:eastAsia="宋体" w:cs="Times New Roman"/>
          <w:sz w:val="24"/>
          <w:szCs w:val="24"/>
        </w:rPr>
      </w:pPr>
    </w:p>
    <w:p w14:paraId="1A42459F">
      <w:pPr>
        <w:widowControl/>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5553145B">
      <w:pPr>
        <w:pStyle w:val="2"/>
        <w:spacing w:after="156"/>
        <w:rPr>
          <w:rFonts w:cs="Times New Roman"/>
        </w:rPr>
      </w:pPr>
      <w:bookmarkStart w:id="66" w:name="_Toc218798807"/>
      <w:bookmarkStart w:id="67" w:name="_Toc221108188"/>
      <w:r>
        <w:rPr>
          <w:rFonts w:cs="Times New Roman"/>
        </w:rPr>
        <w:t xml:space="preserve">Supplementary Note 10 | </w:t>
      </w:r>
      <w:bookmarkEnd w:id="66"/>
      <w:r>
        <w:rPr>
          <w:rFonts w:cs="Times New Roman"/>
        </w:rPr>
        <w:t>Analysis of Transport Properties and Ionic Conductivity</w:t>
      </w:r>
      <w:bookmarkEnd w:id="67"/>
    </w:p>
    <w:p w14:paraId="51DDB253">
      <w:pPr>
        <w:pStyle w:val="39"/>
        <w:ind w:firstLine="480" w:firstLineChars="200"/>
        <w:rPr>
          <w:rFonts w:ascii="Times New Roman" w:hAnsi="Times New Roman"/>
          <w:lang w:eastAsia="zh-CN"/>
        </w:rPr>
      </w:pPr>
      <w:r>
        <w:rPr>
          <w:rFonts w:ascii="Times New Roman" w:hAnsi="Times New Roman"/>
          <w:lang w:eastAsia="zh-CN"/>
        </w:rPr>
        <w:t>Self-diffusion coefficients (</w:t>
      </w:r>
      <w:r>
        <w:rPr>
          <w:rFonts w:ascii="Times New Roman" w:hAnsi="Times New Roman"/>
          <w:i/>
          <w:iCs/>
          <w:lang w:eastAsia="zh-CN"/>
        </w:rPr>
        <w:t>D</w:t>
      </w:r>
      <w:r>
        <w:rPr>
          <w:rFonts w:ascii="Times New Roman" w:hAnsi="Times New Roman"/>
          <w:lang w:eastAsia="zh-CN"/>
        </w:rPr>
        <w:t>) for all species were calculated from the slope of the mean squared displacement (MSD) according to the Einstein relation:</w:t>
      </w:r>
    </w:p>
    <w:p w14:paraId="7EB778C5">
      <w:pPr>
        <w:pStyle w:val="39"/>
        <w:ind w:right="119" w:firstLine="0"/>
        <w:jc w:val="right"/>
        <w:rPr>
          <w:rFonts w:ascii="Times New Roman" w:hAnsi="Times New Roman"/>
          <w:lang w:eastAsia="zh-CN"/>
        </w:rPr>
      </w:pPr>
      <w:r>
        <w:rPr>
          <w:rFonts w:ascii="Times New Roman" w:hAnsi="Times New Roman"/>
          <w:position w:val="-24"/>
          <w:lang w:eastAsia="zh-CN"/>
        </w:rPr>
        <w:object>
          <v:shape id="_x0000_i1049" o:spt="75" type="#_x0000_t75" style="height:30.95pt;width:222.95pt;" o:ole="t" filled="f" o:preferrelative="t" stroked="f" coordsize="21600,21600">
            <v:path/>
            <v:fill on="f" focussize="0,0"/>
            <v:stroke on="f" joinstyle="miter"/>
            <v:imagedata r:id="rId96" o:title=""/>
            <o:lock v:ext="edit" aspectratio="t"/>
            <w10:wrap type="none"/>
            <w10:anchorlock/>
          </v:shape>
          <o:OLEObject Type="Embed" ProgID="Equation.DSMT4" ShapeID="_x0000_i1049" DrawAspect="Content" ObjectID="_1468075749" r:id="rId95">
            <o:LockedField>false</o:LockedField>
          </o:OLEObject>
        </w:object>
      </w:r>
      <w:r>
        <w:rPr>
          <w:rFonts w:ascii="Times New Roman" w:hAnsi="Times New Roman"/>
          <w:lang w:eastAsia="zh-CN"/>
        </w:rPr>
        <w:t xml:space="preserve">           (24)</w:t>
      </w:r>
    </w:p>
    <w:p w14:paraId="0AD19D4E">
      <w:pPr>
        <w:pStyle w:val="39"/>
        <w:ind w:firstLine="480" w:firstLineChars="200"/>
        <w:rPr>
          <w:rFonts w:ascii="Times New Roman" w:hAnsi="Times New Roman"/>
          <w:lang w:eastAsia="zh-CN"/>
        </w:rPr>
      </w:pPr>
      <w:r>
        <w:rPr>
          <w:rFonts w:ascii="Times New Roman" w:hAnsi="Times New Roman"/>
          <w:lang w:eastAsia="zh-CN"/>
        </w:rPr>
        <w:t>Here,</w:t>
      </w:r>
      <w:r>
        <w:rPr>
          <w:rFonts w:ascii="Times New Roman" w:hAnsi="Times New Roman"/>
          <w:b/>
          <w:bCs/>
          <w:i/>
          <w:iCs/>
          <w:lang w:eastAsia="zh-CN"/>
        </w:rPr>
        <w:t xml:space="preserve"> </w:t>
      </w:r>
      <w:r>
        <w:rPr>
          <w:rFonts w:ascii="Times New Roman" w:hAnsi="Times New Roman"/>
          <w:b/>
          <w:bCs/>
          <w:lang w:eastAsia="zh-CN"/>
        </w:rPr>
        <w:t>r</w:t>
      </w:r>
      <w:r>
        <w:rPr>
          <w:rFonts w:ascii="Times New Roman" w:hAnsi="Times New Roman"/>
          <w:i/>
          <w:iCs/>
          <w:vertAlign w:val="subscript"/>
          <w:lang w:eastAsia="zh-CN"/>
        </w:rPr>
        <w:t>i</w:t>
      </w:r>
      <w:r>
        <w:rPr>
          <w:rFonts w:ascii="Times New Roman" w:hAnsi="Times New Roman"/>
          <w:lang w:eastAsia="zh-CN"/>
        </w:rPr>
        <w:t>(</w:t>
      </w:r>
      <w:r>
        <w:rPr>
          <w:rFonts w:ascii="Times New Roman" w:hAnsi="Times New Roman"/>
          <w:i/>
          <w:iCs/>
          <w:lang w:eastAsia="zh-CN"/>
        </w:rPr>
        <w:t>t</w:t>
      </w:r>
      <w:r>
        <w:rPr>
          <w:rFonts w:ascii="Times New Roman" w:hAnsi="Times New Roman"/>
          <w:lang w:eastAsia="zh-CN"/>
        </w:rPr>
        <w:t xml:space="preserve">) is the CoM position of species </w:t>
      </w:r>
      <w:r>
        <w:rPr>
          <w:rFonts w:ascii="Times New Roman" w:hAnsi="Times New Roman"/>
          <w:i/>
          <w:iCs/>
          <w:lang w:eastAsia="zh-CN"/>
        </w:rPr>
        <w:t>i</w:t>
      </w:r>
      <w:r>
        <w:rPr>
          <w:rFonts w:ascii="Times New Roman" w:hAnsi="Times New Roman"/>
          <w:lang w:eastAsia="zh-CN"/>
        </w:rPr>
        <w:t xml:space="preserve"> at time </w:t>
      </w:r>
      <w:r>
        <w:rPr>
          <w:rFonts w:ascii="Times New Roman" w:hAnsi="Times New Roman"/>
          <w:i/>
          <w:iCs/>
          <w:lang w:eastAsia="zh-CN"/>
        </w:rPr>
        <w:t>t</w:t>
      </w:r>
      <w:r>
        <w:rPr>
          <w:rFonts w:ascii="Times New Roman" w:hAnsi="Times New Roman"/>
          <w:lang w:eastAsia="zh-CN"/>
        </w:rPr>
        <w:t xml:space="preserve">. To minimize statistical noise and ensure convergence, the MSDs were computed using multiple time origins (time averaging), denoted by the average over starting times </w:t>
      </w:r>
      <w:r>
        <w:rPr>
          <w:rFonts w:ascii="Times New Roman" w:hAnsi="Times New Roman"/>
          <w:i/>
          <w:iCs/>
          <w:lang w:eastAsia="zh-CN"/>
        </w:rPr>
        <w:t>τ</w:t>
      </w:r>
      <w:r>
        <w:rPr>
          <w:rFonts w:ascii="Times New Roman" w:hAnsi="Times New Roman"/>
          <w:lang w:eastAsia="zh-CN"/>
        </w:rPr>
        <w:t>. To rigorously identify the true diffusive regime, the MSD profiles were analyzed on a double-logarithmic scale. The linear fitting window was strictly selected within the region where the slope of the log-log plot reached unity (slope ~ 1), confirming that the species had relaxed out of the initial ballistic or sub-diffusive regimes and exhibited Fickian diffusion dynamics.</w:t>
      </w:r>
    </w:p>
    <w:p w14:paraId="10E09D81">
      <w:pPr>
        <w:pStyle w:val="39"/>
        <w:spacing w:line="360" w:lineRule="auto"/>
        <w:ind w:firstLine="0"/>
        <w:jc w:val="center"/>
        <w:rPr>
          <w:rFonts w:ascii="Times New Roman" w:hAnsi="Times New Roman"/>
          <w:lang w:eastAsia="zh-CN"/>
        </w:rPr>
      </w:pPr>
      <w:r>
        <w:rPr>
          <w:rFonts w:ascii="Times New Roman" w:hAnsi="Times New Roman"/>
          <w:lang w:eastAsia="zh-CN"/>
        </w:rPr>
        <w:drawing>
          <wp:inline distT="0" distB="0" distL="0" distR="0">
            <wp:extent cx="5039995" cy="1304290"/>
            <wp:effectExtent l="0" t="0" r="8255" b="0"/>
            <wp:docPr id="1487208600"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08600" name="图片 1" descr="图表, 折线图&#10;&#10;AI 生成的内容可能不正确。"/>
                    <pic:cNvPicPr>
                      <a:picLocks noChangeAspect="1"/>
                    </pic:cNvPicPr>
                  </pic:nvPicPr>
                  <pic:blipFill>
                    <a:blip r:embed="rId97"/>
                    <a:stretch>
                      <a:fillRect/>
                    </a:stretch>
                  </pic:blipFill>
                  <pic:spPr>
                    <a:xfrm>
                      <a:off x="0" y="0"/>
                      <a:ext cx="5040000" cy="1304292"/>
                    </a:xfrm>
                    <a:prstGeom prst="rect">
                      <a:avLst/>
                    </a:prstGeom>
                  </pic:spPr>
                </pic:pic>
              </a:graphicData>
            </a:graphic>
          </wp:inline>
        </w:drawing>
      </w:r>
    </w:p>
    <w:p w14:paraId="12E3922A">
      <w:pPr>
        <w:pStyle w:val="39"/>
        <w:spacing w:line="360" w:lineRule="auto"/>
        <w:ind w:firstLine="0"/>
        <w:rPr>
          <w:rFonts w:ascii="Times New Roman" w:hAnsi="Times New Roman" w:eastAsia="宋体"/>
          <w:szCs w:val="24"/>
          <w:lang w:eastAsia="zh-CN"/>
        </w:rPr>
      </w:pPr>
      <w:bookmarkStart w:id="68" w:name="_Toc221108189"/>
      <w:r>
        <w:rPr>
          <w:rStyle w:val="27"/>
          <w:rFonts w:cs="Times New Roman"/>
        </w:rPr>
        <w:t xml:space="preserve">Supplementary Fig. 42 | </w:t>
      </w:r>
      <w:r>
        <w:rPr>
          <w:rStyle w:val="27"/>
          <w:rFonts w:cs="Times New Roman"/>
          <w:lang w:eastAsia="zh-CN"/>
        </w:rPr>
        <w:t>MSDs</w:t>
      </w:r>
      <w:r>
        <w:rPr>
          <w:rStyle w:val="27"/>
          <w:rFonts w:cs="Times New Roman"/>
        </w:rPr>
        <w:t xml:space="preserve"> of species in 1LiFSI:1.4DME (333.15 K)</w:t>
      </w:r>
      <w:r>
        <w:rPr>
          <w:rStyle w:val="27"/>
          <w:rFonts w:cs="Times New Roman"/>
          <w:lang w:eastAsia="zh-CN"/>
        </w:rPr>
        <w:t xml:space="preserve"> based on OPLS&amp;Pol</w:t>
      </w:r>
      <w:r>
        <w:rPr>
          <w:rStyle w:val="27"/>
          <w:rFonts w:cs="Times New Roman"/>
        </w:rPr>
        <w:t>.</w:t>
      </w:r>
      <w:bookmarkEnd w:id="68"/>
    </w:p>
    <w:p w14:paraId="7AFFDD84">
      <w:pPr>
        <w:pStyle w:val="39"/>
        <w:ind w:firstLine="480" w:firstLineChars="200"/>
        <w:rPr>
          <w:rFonts w:ascii="Times New Roman" w:hAnsi="Times New Roman"/>
          <w:lang w:eastAsia="zh-CN"/>
        </w:rPr>
      </w:pPr>
      <w:r>
        <w:rPr>
          <w:rFonts w:ascii="Times New Roman" w:hAnsi="Times New Roman"/>
          <w:lang w:eastAsia="zh-CN"/>
        </w:rPr>
        <w:t>The ionic conductivity was estimated using the Nernst-Einstein (NE) equation (</w:t>
      </w:r>
      <w:r>
        <w:rPr>
          <w:rFonts w:ascii="Times New Roman" w:hAnsi="Times New Roman"/>
          <w:i/>
          <w:iCs/>
          <w:lang w:eastAsia="zh-CN"/>
        </w:rPr>
        <w:t>σ</w:t>
      </w:r>
      <w:r>
        <w:rPr>
          <w:rFonts w:ascii="Times New Roman" w:hAnsi="Times New Roman"/>
          <w:vertAlign w:val="subscript"/>
          <w:lang w:eastAsia="zh-CN"/>
        </w:rPr>
        <w:t>NE</w:t>
      </w:r>
      <w:r>
        <w:rPr>
          <w:rFonts w:ascii="Times New Roman" w:hAnsi="Times New Roman"/>
          <w:lang w:eastAsia="zh-CN"/>
        </w:rPr>
        <w:t xml:space="preserve">), which assumes that charge carriers move independently (i.e., uncorrelated motion). </w:t>
      </w:r>
      <w:r>
        <w:rPr>
          <w:rFonts w:ascii="Times New Roman" w:hAnsi="Times New Roman"/>
          <w:i/>
          <w:iCs/>
          <w:lang w:eastAsia="zh-CN"/>
        </w:rPr>
        <w:t>σ</w:t>
      </w:r>
      <w:r>
        <w:rPr>
          <w:rFonts w:ascii="Times New Roman" w:hAnsi="Times New Roman"/>
          <w:vertAlign w:val="subscript"/>
          <w:lang w:eastAsia="zh-CN"/>
        </w:rPr>
        <w:t>NE</w:t>
      </w:r>
      <w:r>
        <w:rPr>
          <w:rFonts w:ascii="Times New Roman" w:hAnsi="Times New Roman"/>
          <w:lang w:eastAsia="zh-CN"/>
        </w:rPr>
        <w:t xml:space="preserve"> is computed as the sum of cationic (</w:t>
      </w:r>
      <w:r>
        <w:rPr>
          <w:rFonts w:ascii="Times New Roman" w:hAnsi="Times New Roman"/>
          <w:i/>
          <w:iCs/>
          <w:lang w:eastAsia="zh-CN"/>
        </w:rPr>
        <w:t>σ</w:t>
      </w:r>
      <w:r>
        <w:rPr>
          <w:rFonts w:ascii="Times New Roman" w:hAnsi="Times New Roman"/>
          <w:vertAlign w:val="subscript"/>
          <w:lang w:eastAsia="zh-CN"/>
        </w:rPr>
        <w:t>+</w:t>
      </w:r>
      <w:r>
        <w:rPr>
          <w:rFonts w:ascii="Times New Roman" w:hAnsi="Times New Roman"/>
          <w:lang w:eastAsia="zh-CN"/>
        </w:rPr>
        <w:t>) and anionic (</w:t>
      </w:r>
      <w:r>
        <w:rPr>
          <w:rFonts w:ascii="Times New Roman" w:hAnsi="Times New Roman"/>
          <w:i/>
          <w:iCs/>
          <w:lang w:eastAsia="zh-CN"/>
        </w:rPr>
        <w:t>σ</w:t>
      </w:r>
      <w:r>
        <w:rPr>
          <w:rFonts w:ascii="Times New Roman" w:hAnsi="Times New Roman"/>
          <w:vertAlign w:val="subscript"/>
          <w:lang w:eastAsia="zh-CN"/>
        </w:rPr>
        <w:t>-</w:t>
      </w:r>
      <w:r>
        <w:rPr>
          <w:rFonts w:ascii="Times New Roman" w:hAnsi="Times New Roman"/>
          <w:lang w:eastAsia="zh-CN"/>
        </w:rPr>
        <w:t>) contributions, collectively governed by salt concentrations (</w:t>
      </w:r>
      <w:r>
        <w:rPr>
          <w:rFonts w:ascii="Times New Roman" w:hAnsi="Times New Roman"/>
          <w:i/>
          <w:iCs/>
          <w:lang w:eastAsia="zh-CN"/>
        </w:rPr>
        <w:t>c</w:t>
      </w:r>
      <w:r>
        <w:rPr>
          <w:rFonts w:ascii="Times New Roman" w:hAnsi="Times New Roman"/>
          <w:lang w:eastAsia="zh-CN"/>
        </w:rPr>
        <w:t>), ionic diffusion coefficients (</w:t>
      </w:r>
      <w:r>
        <w:rPr>
          <w:rFonts w:ascii="Times New Roman" w:hAnsi="Times New Roman"/>
          <w:i/>
          <w:iCs/>
          <w:lang w:eastAsia="zh-CN"/>
        </w:rPr>
        <w:t>D</w:t>
      </w:r>
      <w:r>
        <w:rPr>
          <w:rFonts w:ascii="Times New Roman" w:hAnsi="Times New Roman"/>
          <w:vertAlign w:val="subscript"/>
          <w:lang w:eastAsia="zh-CN"/>
        </w:rPr>
        <w:t>+</w:t>
      </w:r>
      <w:r>
        <w:rPr>
          <w:rFonts w:ascii="Times New Roman" w:hAnsi="Times New Roman"/>
          <w:lang w:eastAsia="zh-CN"/>
        </w:rPr>
        <w:t xml:space="preserve"> and </w:t>
      </w:r>
      <w:r>
        <w:rPr>
          <w:rFonts w:ascii="Times New Roman" w:hAnsi="Times New Roman"/>
          <w:i/>
          <w:iCs/>
          <w:lang w:eastAsia="zh-CN"/>
        </w:rPr>
        <w:t>D</w:t>
      </w:r>
      <w:r>
        <w:rPr>
          <w:rFonts w:ascii="Times New Roman" w:hAnsi="Times New Roman"/>
          <w:vertAlign w:val="subscript"/>
          <w:lang w:eastAsia="zh-CN"/>
        </w:rPr>
        <w:t>-</w:t>
      </w:r>
      <w:r>
        <w:rPr>
          <w:rFonts w:ascii="Times New Roman" w:hAnsi="Times New Roman"/>
          <w:lang w:eastAsia="zh-CN"/>
        </w:rPr>
        <w:t>), and temperatures (</w:t>
      </w:r>
      <w:r>
        <w:rPr>
          <w:rFonts w:ascii="Times New Roman" w:hAnsi="Times New Roman"/>
          <w:i/>
          <w:iCs/>
          <w:lang w:eastAsia="zh-CN"/>
        </w:rPr>
        <w:t>T</w:t>
      </w:r>
      <w:r>
        <w:rPr>
          <w:rFonts w:ascii="Times New Roman" w:hAnsi="Times New Roman"/>
          <w:lang w:eastAsia="zh-CN"/>
        </w:rPr>
        <w:t>):</w:t>
      </w:r>
    </w:p>
    <w:p w14:paraId="434A5CA2">
      <w:pPr>
        <w:pStyle w:val="39"/>
        <w:ind w:right="119" w:firstLine="0"/>
        <w:jc w:val="right"/>
        <w:rPr>
          <w:rFonts w:ascii="Times New Roman" w:hAnsi="Times New Roman"/>
          <w:lang w:eastAsia="zh-CN"/>
        </w:rPr>
      </w:pPr>
      <w:r>
        <w:rPr>
          <w:rFonts w:ascii="Times New Roman" w:hAnsi="Times New Roman"/>
          <w:position w:val="-30"/>
          <w:lang w:eastAsia="zh-CN"/>
        </w:rPr>
        <w:object>
          <v:shape id="_x0000_i1050" o:spt="75" type="#_x0000_t75" style="height:35.35pt;width:272.55pt;" o:ole="t" filled="f" o:preferrelative="t" stroked="f" coordsize="21600,21600">
            <v:path/>
            <v:fill on="f" focussize="0,0"/>
            <v:stroke on="f" joinstyle="miter"/>
            <v:imagedata r:id="rId99" o:title=""/>
            <o:lock v:ext="edit" aspectratio="t"/>
            <w10:wrap type="none"/>
            <w10:anchorlock/>
          </v:shape>
          <o:OLEObject Type="Embed" ProgID="Equation.DSMT4" ShapeID="_x0000_i1050" DrawAspect="Content" ObjectID="_1468075750" r:id="rId98">
            <o:LockedField>false</o:LockedField>
          </o:OLEObject>
        </w:object>
      </w:r>
      <w:r>
        <w:rPr>
          <w:rFonts w:ascii="Times New Roman" w:hAnsi="Times New Roman"/>
          <w:lang w:eastAsia="zh-CN"/>
        </w:rPr>
        <w:t xml:space="preserve">       (25)</w:t>
      </w:r>
    </w:p>
    <w:p w14:paraId="2CE58703">
      <w:pPr>
        <w:pStyle w:val="39"/>
        <w:ind w:firstLine="480" w:firstLineChars="200"/>
        <w:rPr>
          <w:rFonts w:ascii="Times New Roman" w:hAnsi="Times New Roman"/>
          <w:szCs w:val="24"/>
          <w:lang w:eastAsia="zh-CN"/>
        </w:rPr>
      </w:pPr>
      <w:r>
        <w:rPr>
          <w:rFonts w:ascii="Times New Roman" w:hAnsi="Times New Roman"/>
          <w:szCs w:val="24"/>
          <w:lang w:eastAsia="zh-CN"/>
        </w:rPr>
        <w:t xml:space="preserve">Here, </w:t>
      </w:r>
      <w:r>
        <w:rPr>
          <w:rFonts w:ascii="Times New Roman" w:hAnsi="Times New Roman"/>
          <w:i/>
          <w:iCs/>
          <w:szCs w:val="24"/>
          <w:lang w:eastAsia="zh-CN"/>
        </w:rPr>
        <w:t>N</w:t>
      </w:r>
      <w:r>
        <w:rPr>
          <w:rFonts w:ascii="Times New Roman" w:hAnsi="Times New Roman"/>
          <w:szCs w:val="24"/>
          <w:vertAlign w:val="subscript"/>
          <w:lang w:eastAsia="zh-CN"/>
        </w:rPr>
        <w:t>A</w:t>
      </w:r>
      <w:r>
        <w:rPr>
          <w:rFonts w:ascii="Times New Roman" w:hAnsi="Times New Roman"/>
          <w:szCs w:val="24"/>
          <w:lang w:eastAsia="zh-CN"/>
        </w:rPr>
        <w:t xml:space="preserve"> is the Avogadro constant, </w:t>
      </w:r>
      <w:r>
        <w:rPr>
          <w:rFonts w:ascii="Times New Roman" w:hAnsi="Times New Roman"/>
          <w:i/>
          <w:iCs/>
          <w:szCs w:val="24"/>
          <w:lang w:eastAsia="zh-CN"/>
        </w:rPr>
        <w:t>k</w:t>
      </w:r>
      <w:r>
        <w:rPr>
          <w:rFonts w:ascii="Times New Roman" w:hAnsi="Times New Roman"/>
          <w:szCs w:val="24"/>
          <w:vertAlign w:val="subscript"/>
          <w:lang w:eastAsia="zh-CN"/>
        </w:rPr>
        <w:t>B</w:t>
      </w:r>
      <w:r>
        <w:rPr>
          <w:rFonts w:ascii="Times New Roman" w:hAnsi="Times New Roman"/>
          <w:szCs w:val="24"/>
          <w:lang w:eastAsia="zh-CN"/>
        </w:rPr>
        <w:t xml:space="preserve"> is the Boltzmann constant.</w:t>
      </w:r>
    </w:p>
    <w:p w14:paraId="2B95E3C5">
      <w:pPr>
        <w:widowControl/>
        <w:spacing w:line="360" w:lineRule="auto"/>
        <w:jc w:val="center"/>
        <w:rPr>
          <w:rFonts w:ascii="Times New Roman" w:hAnsi="Times New Roman" w:cs="Times New Roman"/>
          <w:sz w:val="24"/>
          <w:szCs w:val="24"/>
        </w:rPr>
      </w:pPr>
      <w:r>
        <w:rPr>
          <w:rFonts w:ascii="Times New Roman" w:hAnsi="Times New Roman" w:cs="Times New Roman"/>
        </w:rPr>
        <w:drawing>
          <wp:inline distT="0" distB="0" distL="0" distR="0">
            <wp:extent cx="5039995" cy="3782695"/>
            <wp:effectExtent l="0" t="0" r="8255" b="8255"/>
            <wp:docPr id="548702618" name="图片 9"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02618" name="图片 9" descr="图示&#10;&#10;AI 生成的内容可能不正确。"/>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5040000" cy="3782914"/>
                    </a:xfrm>
                    <a:prstGeom prst="rect">
                      <a:avLst/>
                    </a:prstGeom>
                    <a:noFill/>
                    <a:ln>
                      <a:noFill/>
                    </a:ln>
                  </pic:spPr>
                </pic:pic>
              </a:graphicData>
            </a:graphic>
          </wp:inline>
        </w:drawing>
      </w:r>
    </w:p>
    <w:p w14:paraId="51EAFDF3">
      <w:pPr>
        <w:widowControl/>
        <w:adjustRightInd w:val="0"/>
        <w:snapToGrid w:val="0"/>
        <w:spacing w:line="360" w:lineRule="auto"/>
        <w:rPr>
          <w:rFonts w:ascii="Times New Roman" w:hAnsi="Times New Roman" w:eastAsia="宋体" w:cs="Times New Roman"/>
          <w:sz w:val="24"/>
          <w:szCs w:val="24"/>
        </w:rPr>
      </w:pPr>
      <w:bookmarkStart w:id="69" w:name="_Toc218798808"/>
      <w:bookmarkStart w:id="70" w:name="_Toc221108190"/>
      <w:r>
        <w:rPr>
          <w:rStyle w:val="27"/>
          <w:rFonts w:cs="Times New Roman"/>
        </w:rPr>
        <w:t>Supplementary Fig. 43 | Dynamic properties of species in 1LiFSI:1.4DME (333.15 K).</w:t>
      </w:r>
      <w:bookmarkEnd w:id="69"/>
      <w:bookmarkEnd w:id="70"/>
      <w:r>
        <w:rPr>
          <w:rStyle w:val="27"/>
          <w:rFonts w:cs="Times New Roman"/>
        </w:rPr>
        <w:t xml:space="preserve"> </w:t>
      </w:r>
      <w:r>
        <w:rPr>
          <w:rFonts w:ascii="Times New Roman" w:hAnsi="Times New Roman" w:eastAsia="宋体" w:cs="Times New Roman"/>
          <w:sz w:val="24"/>
          <w:szCs w:val="24"/>
        </w:rPr>
        <w:t xml:space="preserve">(a) The </w:t>
      </w:r>
      <w:r>
        <w:rPr>
          <w:rFonts w:ascii="Times New Roman" w:hAnsi="Times New Roman" w:eastAsia="宋体" w:cs="Times New Roman"/>
          <w:i/>
          <w:iCs/>
          <w:sz w:val="24"/>
          <w:szCs w:val="24"/>
        </w:rPr>
        <w:t>c</w:t>
      </w:r>
      <w:r>
        <w:rPr>
          <w:rFonts w:ascii="Times New Roman" w:hAnsi="Times New Roman" w:eastAsia="宋体" w:cs="Times New Roman"/>
          <w:sz w:val="24"/>
          <w:szCs w:val="24"/>
        </w:rPr>
        <w:t xml:space="preserve"> predicted by different FFs</w:t>
      </w:r>
      <w:r>
        <w:rPr>
          <w:rFonts w:ascii="Times New Roman" w:hAnsi="Times New Roman" w:cs="Times New Roman"/>
          <w:sz w:val="24"/>
          <w:szCs w:val="24"/>
        </w:rPr>
        <w:t xml:space="preserve"> </w:t>
      </w:r>
      <w:r>
        <w:rPr>
          <w:rFonts w:ascii="Times New Roman" w:hAnsi="Times New Roman" w:eastAsia="宋体" w:cs="Times New Roman"/>
          <w:sz w:val="24"/>
          <w:szCs w:val="24"/>
        </w:rPr>
        <w:t>versus previously reported results using APPLE&amp;P.</w:t>
      </w:r>
      <w:r>
        <w:rPr>
          <w:rFonts w:ascii="Times New Roman" w:hAnsi="Times New Roman" w:eastAsia="宋体" w:cs="Times New Roman"/>
          <w:sz w:val="24"/>
          <w:szCs w:val="24"/>
          <w:highlight w:val="yellow"/>
        </w:rPr>
        <w:fldChar w:fldCharType="begin"/>
      </w:r>
      <w:r>
        <w:rPr>
          <w:rFonts w:ascii="Times New Roman" w:hAnsi="Times New Roman" w:eastAsia="宋体" w:cs="Times New Roman"/>
          <w:sz w:val="24"/>
          <w:szCs w:val="24"/>
          <w:highlight w:val="yellow"/>
        </w:rPr>
        <w:instrText xml:space="preserve"> ADDIN ZOTERO_ITEM CSL_CITATION {"citationID":"PtvoUtRM","properties":{"formattedCitation":"\\super 13\\nosupersub{}","plainCitation":"13","noteIndex":0},"citationItems":[{"id":218,"uris":["http://zotero.org/users/17156447/items/Q3TP4JZN"],"itemData":{"id":218,"type":"article-journal","abstract":"Abstract\n            \n              Lithium metal is an ideal battery anode. However, dendrite growth and limited Coulombic efficiency during cycling have prevented its practical application in rechargeable batteries. Herein, we report that the use of highly concentrated electrolytes composed of ether solvents and the lithium bis(fluorosulfonyl)imide salt enables the high-rate cycling of a lithium metal anode at high Coulombic efficiency (up to 99.1%) without dendrite growth. With 4 M lithium bis(fluorosulfonyl)imide in 1,2-dimethoxyethane as the electrolyte, a lithium|lithium cell can be cycled at 10 mA cm\n              −2\n              for more than 6,000 cycles, and a copper|lithium cell can be cycled at 4 mA cm\n              −2\n              for more than 1,000 cycles with an average Coulombic efficiency of 98.4%. These excellent performances can be attributed to the increased solvent coordination and increased availability of lithium ion concentration in the electrolyte. Further development of this electrolyte may enable practical applications for lithium metal anode in rechargeable batteries.","container-title":"Nature Communications","DOI":"10.1038/ncomms7362","ISSN":"2041-1723","issue":"1","journalAbbreviation":"Nat. Commun.","language":"en","note":"2204 citations (Crossref/DOI) [2025-05-22]\n2201 citations (Crossref/DOI) [2025-05-16]\nTLDR: It is reported that the use of highly concentrated electrolytes composed of ether solvents and the lithium bis(fluorosulfonyl)imide salt enables the high-rate cycling of a lithium metal anode at high Coulombic efficiency (up to 99.1%) without dendrite growth.\nJCR分区: Q1\n中科院分区升级版: 综合性期刊1区\n影响因子: 14.7\n5年影响因子: 16.1\n南农高质量: A","page":"6362","source":"DOI.org (Crossref)","title":"High rate and stable cycling of lithium metal anode","volume":"6","author":[{"family":"Qian","given":"Jiangfeng"},{"family":"Henderson","given":"Wesley A."},{"family":"Xu","given":"Wu"},{"family":"Bhattacharya","given":"Priyanka"},{"family":"Engelhard","given":"Mark"},{"family":"Borodin","given":"Oleg"},{"family":"Zhang","given":"Ji-Guang"}],"issued":{"date-parts":[["2015",2,20]]}}}],"schema":"https://github.com/citation-style-language/schema/raw/master/csl-citation.json"} </w:instrText>
      </w:r>
      <w:r>
        <w:rPr>
          <w:rFonts w:ascii="Times New Roman" w:hAnsi="Times New Roman" w:eastAsia="宋体" w:cs="Times New Roman"/>
          <w:sz w:val="24"/>
          <w:szCs w:val="24"/>
          <w:highlight w:val="yellow"/>
        </w:rPr>
        <w:fldChar w:fldCharType="separate"/>
      </w:r>
      <w:r>
        <w:rPr>
          <w:rFonts w:ascii="Times New Roman" w:hAnsi="Times New Roman" w:eastAsia="等线" w:cs="Times New Roman"/>
          <w:kern w:val="0"/>
          <w:sz w:val="24"/>
          <w:vertAlign w:val="superscript"/>
        </w:rPr>
        <w:t>13</w:t>
      </w:r>
      <w:r>
        <w:rPr>
          <w:rFonts w:ascii="Times New Roman" w:hAnsi="Times New Roman" w:eastAsia="宋体" w:cs="Times New Roman"/>
          <w:sz w:val="24"/>
          <w:szCs w:val="24"/>
          <w:highlight w:val="yellow"/>
        </w:rPr>
        <w:fldChar w:fldCharType="end"/>
      </w:r>
      <w:r>
        <w:rPr>
          <w:rFonts w:ascii="Times New Roman" w:hAnsi="Times New Roman" w:eastAsia="宋体" w:cs="Times New Roman"/>
          <w:sz w:val="24"/>
          <w:szCs w:val="24"/>
        </w:rPr>
        <w:t xml:space="preserve"> (b) The </w:t>
      </w:r>
      <w:r>
        <w:rPr>
          <w:rFonts w:ascii="Times New Roman" w:hAnsi="Times New Roman" w:eastAsia="宋体" w:cs="Times New Roman"/>
          <w:i/>
          <w:iCs/>
          <w:sz w:val="24"/>
          <w:szCs w:val="24"/>
        </w:rPr>
        <w:t>D</w:t>
      </w:r>
      <w:r>
        <w:rPr>
          <w:rFonts w:ascii="Times New Roman" w:hAnsi="Times New Roman" w:eastAsia="宋体" w:cs="Times New Roman"/>
          <w:sz w:val="24"/>
          <w:szCs w:val="24"/>
        </w:rPr>
        <w:t xml:space="preserve"> for Li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FSI</w:t>
      </w:r>
      <w:r>
        <w:rPr>
          <w:rFonts w:ascii="Times New Roman" w:hAnsi="Times New Roman" w:eastAsia="宋体" w:cs="Times New Roman"/>
          <w:sz w:val="24"/>
          <w:szCs w:val="24"/>
          <w:vertAlign w:val="superscript"/>
        </w:rPr>
        <w:t>-</w:t>
      </w:r>
      <w:r>
        <w:rPr>
          <w:rFonts w:ascii="Times New Roman" w:hAnsi="Times New Roman" w:eastAsia="宋体" w:cs="Times New Roman"/>
          <w:sz w:val="24"/>
          <w:szCs w:val="24"/>
        </w:rPr>
        <w:t xml:space="preserve">, and DME across all FFs. (c) The </w:t>
      </w:r>
      <w:r>
        <w:rPr>
          <w:rFonts w:ascii="Times New Roman" w:hAnsi="Times New Roman" w:eastAsia="宋体" w:cs="Times New Roman"/>
          <w:i/>
          <w:iCs/>
          <w:sz w:val="24"/>
          <w:szCs w:val="24"/>
        </w:rPr>
        <w:t>σ</w:t>
      </w:r>
      <w:r>
        <w:rPr>
          <w:rFonts w:ascii="Times New Roman" w:hAnsi="Times New Roman" w:eastAsia="宋体" w:cs="Times New Roman"/>
          <w:sz w:val="24"/>
          <w:szCs w:val="24"/>
          <w:vertAlign w:val="subscript"/>
        </w:rPr>
        <w:t>NE</w:t>
      </w:r>
      <w:r>
        <w:rPr>
          <w:rFonts w:ascii="Times New Roman" w:hAnsi="Times New Roman" w:eastAsia="宋体" w:cs="Times New Roman"/>
          <w:sz w:val="24"/>
          <w:szCs w:val="24"/>
        </w:rPr>
        <w:t xml:space="preserve">, </w:t>
      </w:r>
      <w:r>
        <w:rPr>
          <w:rFonts w:ascii="Times New Roman" w:hAnsi="Times New Roman" w:eastAsia="宋体" w:cs="Times New Roman"/>
          <w:i/>
          <w:iCs/>
          <w:sz w:val="24"/>
          <w:szCs w:val="24"/>
        </w:rPr>
        <w:t>σ</w:t>
      </w:r>
      <w:r>
        <w:rPr>
          <w:rFonts w:ascii="Times New Roman" w:hAnsi="Times New Roman" w:eastAsia="宋体" w:cs="Times New Roman"/>
          <w:sz w:val="24"/>
          <w:szCs w:val="24"/>
          <w:vertAlign w:val="subscript"/>
        </w:rPr>
        <w:t>+</w:t>
      </w:r>
      <w:r>
        <w:rPr>
          <w:rFonts w:ascii="Times New Roman" w:hAnsi="Times New Roman" w:eastAsia="宋体" w:cs="Times New Roman"/>
          <w:sz w:val="24"/>
          <w:szCs w:val="24"/>
        </w:rPr>
        <w:t xml:space="preserve"> and </w:t>
      </w:r>
      <w:r>
        <w:rPr>
          <w:rFonts w:ascii="Times New Roman" w:hAnsi="Times New Roman" w:eastAsia="宋体" w:cs="Times New Roman"/>
          <w:i/>
          <w:iCs/>
          <w:sz w:val="24"/>
          <w:szCs w:val="24"/>
        </w:rPr>
        <w:t>σ</w:t>
      </w:r>
      <w:r>
        <w:rPr>
          <w:rFonts w:ascii="Times New Roman" w:hAnsi="Times New Roman" w:eastAsia="宋体" w:cs="Times New Roman"/>
          <w:sz w:val="24"/>
          <w:szCs w:val="24"/>
          <w:vertAlign w:val="subscript"/>
        </w:rPr>
        <w:t>-</w:t>
      </w:r>
      <w:r>
        <w:rPr>
          <w:rFonts w:ascii="Times New Roman" w:hAnsi="Times New Roman" w:eastAsia="宋体" w:cs="Times New Roman"/>
          <w:sz w:val="24"/>
          <w:szCs w:val="24"/>
        </w:rPr>
        <w:t>, calculated for each FF. Note that OPLS&amp;Pol and APPLE&amp;P serve as benchmarks, while “Other FFs” denotes the collection of CFFs and CL&amp;Pol series (</w:t>
      </w:r>
      <w:r>
        <w:rPr>
          <w:rFonts w:ascii="Times New Roman" w:hAnsi="Times New Roman" w:cs="Times New Roman"/>
          <w:sz w:val="24"/>
          <w:szCs w:val="24"/>
        </w:rPr>
        <w:t xml:space="preserve">including </w:t>
      </w:r>
      <w:r>
        <w:rPr>
          <w:rFonts w:ascii="Times New Roman" w:hAnsi="Times New Roman" w:eastAsia="宋体" w:cs="Times New Roman"/>
          <w:i/>
          <w:iCs/>
          <w:sz w:val="24"/>
          <w:szCs w:val="24"/>
        </w:rPr>
        <w:t>K</w:t>
      </w:r>
      <w:r>
        <w:rPr>
          <w:rFonts w:ascii="Times New Roman" w:hAnsi="Times New Roman" w:eastAsia="宋体" w:cs="Times New Roman"/>
          <w:sz w:val="24"/>
          <w:szCs w:val="24"/>
          <w:vertAlign w:val="subscript"/>
        </w:rPr>
        <w:t>pred</w:t>
      </w:r>
      <w:r>
        <w:rPr>
          <w:rFonts w:ascii="Times New Roman" w:hAnsi="Times New Roman" w:cs="Times New Roman"/>
          <w:sz w:val="24"/>
          <w:szCs w:val="24"/>
        </w:rPr>
        <w:t xml:space="preserve"> and </w:t>
      </w:r>
      <w:r>
        <w:rPr>
          <w:rFonts w:ascii="Times New Roman" w:hAnsi="Times New Roman" w:eastAsia="宋体" w:cs="Times New Roman"/>
          <w:i/>
          <w:iCs/>
          <w:sz w:val="24"/>
          <w:szCs w:val="24"/>
        </w:rPr>
        <w:t>K</w:t>
      </w:r>
      <w:r>
        <w:rPr>
          <w:rFonts w:ascii="Times New Roman" w:hAnsi="Times New Roman" w:eastAsia="宋体" w:cs="Times New Roman"/>
          <w:sz w:val="24"/>
          <w:szCs w:val="24"/>
          <w:vertAlign w:val="subscript"/>
        </w:rPr>
        <w:t>SAPT</w:t>
      </w:r>
      <w:r>
        <w:rPr>
          <w:rFonts w:ascii="Times New Roman" w:hAnsi="Times New Roman" w:eastAsia="宋体" w:cs="Times New Roman"/>
          <w:sz w:val="24"/>
          <w:szCs w:val="24"/>
        </w:rPr>
        <w:t>)</w:t>
      </w:r>
      <w:r>
        <w:rPr>
          <w:rFonts w:ascii="Times New Roman" w:hAnsi="Times New Roman" w:cs="Times New Roman"/>
          <w:sz w:val="24"/>
          <w:szCs w:val="24"/>
          <w:highlight w:val="yellow"/>
        </w:rPr>
        <w:fldChar w:fldCharType="begin"/>
      </w:r>
      <w:r>
        <w:rPr>
          <w:rFonts w:ascii="Times New Roman" w:hAnsi="Times New Roman" w:cs="Times New Roman"/>
          <w:sz w:val="24"/>
          <w:szCs w:val="24"/>
          <w:highlight w:val="yellow"/>
        </w:rPr>
        <w:instrText xml:space="preserve"> ADDIN ZOTERO_ITEM CSL_CITATION {"citationID":"vXv13XnD","properties":{"formattedCitation":"\\super 4\\uc0\\u8211{}6,53\\nosupersub{}","plainCitation":"4–6,53","noteIndex":0},"citationItems":[{"id":1315,"uris":["http://zotero.org/users/17156447/items/6KDBJX4M"],"itemData":{"id":1315,"type":"article-journal","abstract":"One important development in interaction potential models, or atomistic force fields, for molecular simulation is the inclusion of explicit polarisation, which represents the induction effects of charged or polar molecules on polarisable electron clouds. Polarisation can be included through fluctuating charges, induced multipoles, or Drude dipoles. This work uses Drude dipoles and is focused on room-temperature ionic liquids, for which fixed-charge models predict too slow dynamics. The aim of this study is to devise a strategy to adapt existing non-polarisable force fields upon addition of polarisation, because induction was already contained to an extent, implicitly, due to parametrisation against empirical data. Therefore, a fraction of the van der Waals interaction energy should be subtracted so that the Lennard-Jones terms only account for dispersion and the Drude dipoles for induction. Symmetry-adapted perturbation theory is used to resolve the dispersion and induction terms in dimers and to calculate scaling factors to reduce the Lennard-Jones terms from the non-polarisable model. Simply adding Drude dipoles to an existing fixed-charge model already improves the prediction of transport properties, increasing diffusion coefficients, and lowering the viscosity. Scaling down the Lennard-Jones terms leads to still faster dynamics and densities that match experiment extremely well. The concept developed here improves the overall prediction of density and transport properties and can be adapted to other models and systems. In terms of microscopic structure of the ionic liquids, the inclusion of polarisation and the down-scaling of Lennard-Jones terms affect only slightly the ordering of the first shell of counterions, leading to small decreases in coordination numbers. Remarkably, the effect of polarisation is major beyond first neighbours, significantly weakening spatial correlations, a structural effect that is certainly related to the faster dynamics of polarisable models.","container-title":"Journal of Chemical Physics","DOI":"10.1063/1.4983687","ISSN":"0021-9606, 1089-7690","issue":"20","journalAbbreviation":"J. Chem. Phys.","language":"en","note":"52 citations (Crossref/DOI) [2025-10-12]\nTLDR: The aim of this study is to devise a strategy to adapt existing non-polarisable force fields upon addition of polarisation, because induction was already contained to an extent, implicitly, due to parametrisation against empirical data.","page":"204501","source":"DOI.org (Crossref)","title":"Resolving dispersion and induction components for polarisable molecular simulations of ionic liquids","volume":"146","author":[{"family":"Pádua","given":"Agílio A. H."}],"issued":{"date-parts":[["2017",5,28]]}}},{"id":1055,"uris":["http://zotero.org/users/17156447/items/87X24NZM"],"itemData":{"id":1055,"type":"article-journal","abstract":"A general, transferable, polarizable force ﬁeld for molecular simulation of ionic liquids (ILs) and their mixtures with molecular compounds is developed. This polarizable model is derived from the widely used CL&amp;P ﬁxed-charge force ﬁeld that describes most families of ILs, in a form compatible with OPLS-AA, one of the major force ﬁelds for organic compounds. Models for ILs with ﬁxed, integer-ionic charges lead to pathologically slow dynamics, a problem that is corrected when polarization eﬀects are included explicitly. In the model proposed here, Drude-induced dipoles are used with parameters determined from atomic polarizabilities. The CL&amp;P force ﬁeld is modiﬁed upon inclusion of the Drude dipoles to avoid double-counting of polarization eﬀects. This modiﬁcation is based on ﬁrst-principles calculations of the dispersion and induction contributions to the van der Waals interactions using symmetry-adapted perturbation theory (SAPT) for a set of dimers composed of positive, negative, and neutral fragments representative of a wide variety of ILs. The fragment approach provides transferability, allowing the representation of a multitude of cation and anion families, including diﬀerent functional groups, without the need to reparametrize. Because SAPT calculations are expensive, an alternative predictive scheme was devised, requiring only molecular properties with a clear physical meaning, namely, dipole moments and atomic polarizabilities. The new polarizable force ﬁeld, CL&amp;Pol, describes a broad set of ILs and their mixtures with molecular compounds and is validated by comparisons with experimental data on density, ion diﬀusion coeﬃcients, and viscosity. The approaches proposed here can also be applied to the conversion of other ﬁxed-charge force ﬁelds into polarizable versions.","container-title":"Journal of Chemical Theory and Computation","DOI":"10.1021/acs.jctc.9b00689","ISSN":"1549-9618, 1549-9626","issue":"11","journalAbbreviation":"J. Chem. Theory Comput.","language":"en","license":"https://doi.org/10.15223/policy-029","note":"149 citations (Crossref/DOI) [2025-06-19]\nJCR分区: Q1\n5年影响因子: 6.4","page":"5858-5871","source":"DOI.org (Crossref)","title":"Transferable, polarizable force field for ionic liquids","volume":"15","author":[{"family":"Goloviznina","given":"Kateryna"},{"family":"Canongia Lopes","given":"José N."},{"family":"Costa Gomes","given":"Margarida"},{"family":"Pádua","given":"Agílio A. H."}],"issued":{"date-parts":[["2019",11,12]]}}},{"id":722,"uris":["http://zotero.org/users/17156447/items/C6V6N67J"],"itemData":{"id":722,"type":"article-journal","abstract":"Molecular dynamics (MD) simulation, and theoretical chemistry in general, have been central tools in the study of ionic liquids (ILs) and eutectic solvents, both of which are fluid phases dominated by ionic interactions and strong hydrogen bonds. These systems are still relatively recent, so the amount of experimental information given their enormous diversity is still scarce. Computational studies have produced several important discoveries, besides helping in the interpretation of experimental findings. Here we review the latest developments in the models describing the interactions and conformations of IL phases with atomic detail, in particular polarizable force fields. In these allatom models, the response of electron clouds to their electrostatic environment is represented by induced dipoles, therefore moving beyond the pair-wise additivity of fixed-charge force fields. Most of the conceptual framework to develop polarizable force fields has been available and implemented in major MD codes, so the main challenge to develop a useful polarizable model for ILs and eutectic solvents is how to handle their diversity in chemical structures and interactions, in order to build a model that can represent solutions, mixtures and interfaces with materials, and that is not too difficult to extend to new systems. As is often the case, force field development is not only science but it is also an art! The ingredients of successful force fields are often the result of pragmatism and heuristics, rather than mathematical complexity and absolutely rigorous physics (although retaining a sound physical basis in the parameters definitely helps). We focus on the CL&amp;Pol polarizable force field for ILs, protic ionic liquids, and eutectic solvents, improving on previousgeneration fixed charge models. The CL&amp;Pol force field is built as a detailed but extendable and transferable model offering more reliable predictions of thermodynamic, structural, and transport properties, which should contribute to the advancement of the field and towards the design of better solvents, electrolytes, lubricants, and so on.","container-title":"WIREs Computational Molecular Science","DOI":"10.1002/wcms.1572","ISSN":"1759-0876, 1759-0884","issue":"3","journalAbbreviation":"WIREs Comput. Mol. Sci.","language":"en","note":"37 citations (Crossref/DOI) [2025-05-22]\nGSCC: 0000369 2025-05-19T01:53:40.568Z 2.31 \n37 citations (Crossref/DOI) [2025-05-16]","page":"e1572","source":"DOI.org (Crossref)","title":"The CL&amp;pol polarizable force field for the simulation of ionic liquids and eutectic solvents","volume":"12","author":[{"family":"Goloviznina","given":"Kateryna"},{"family":"Gong","given":"Zheng"},{"family":"Padua","given":"Agilio A. H."}],"issued":{"date-parts":[["2022",5]]}}},{"id":1053,"uris":["http://zotero.org/users/17156447/items/FCYUD9JI"],"itemData":{"id":1053,"type":"article-journal","abstract":"The polarizable CL&amp;Pol force ﬁeld presented in our previous study, Transferable, Polarizable Force Field for Ionic Liquids (J. Chem. Theory Comput. 2019, 15, 5858, DOI: http://doi.org/10.1021/acs.jctc.9b0068910.1021/ acs.jctc.9b00689), is extended to electrolytes, protic ionic liquids (PIL), deep eutectic solvents (DES), and glycols. These systems are problematic in polarizable simulations because they contain either small, highly charged ions or strong hydrogen bonds, which cause trajectory instabilities due to the pull exerted on the induced dipoles. We use a Tang−Toennies (TT) function to dampen, or smear, the interactions between charges and induced dipole at a short range involving small, highly charged atoms (such as hydrogen or lithium), thus preventing the “polarization catastrophe”. The new force ﬁeld gives stable trajectories and is validated through comparison with experimental data on density, viscosity, and ion diﬀusion coeﬃcients of liquid systems of the above-mentioned classes. The results also shed light on the hydrogen-bonding pattern in ethylammonium nitrate, a PIL, for which the literature contains conﬂicting views. We describe the implementation of the TT damping function, of the temperature-grouped Nosé−Hoover thermostat for polarizable molecular dynamics (MD) and of the periodic perturbation method for viscosity evaluation from nonequilibrium trajectories in the LAMMPS MD code. The main result of this work is the wider applicability of the CL&amp;Pol polarizable force ﬁeld to new, important classes of ﬂuids, achieving robust trajectories and a good description of equilibrium and transport properties in challenging systems. The fragment-based approach of CL&amp;Pol will allow ready extension to a wide variety of PILs, DES, and electrolytes.","container-title":"Journal of Chemical Theory and Computation","DOI":"10.1021/acs.jctc.0c01002","ISSN":"1549-9618, 1549-9626","issue":"3","journalAbbreviation":"J. Chem. Theory Comput.","language":"en","license":"https://doi.org/10.15223/policy-029","note":"75 citations (Crossref/DOI) [2025-06-19]\nJCR分区: Q1\n5年影响因子: 6.4","page":"1606-1617","source":"DOI.org (Crossref)","title":"Extension of the CL&amp;pol polarizable force field to electrolytes, protic ionic liquids, and deep eutectic solvents","volume":"17","author":[{"family":"Goloviznina","given":"Kateryna"},{"family":"Gong","given":"Zheng"},{"family":"Costa Gomes","given":"Margarida F."},{"family":"Pádua","given":"Agílio A. H."}],"issued":{"date-parts":[["2021",3,9]]}}}],"schema":"https://github.com/citation-style-language/schema/raw/master/csl-citation.json"} </w:instrText>
      </w:r>
      <w:r>
        <w:rPr>
          <w:rFonts w:ascii="Times New Roman" w:hAnsi="Times New Roman" w:cs="Times New Roman"/>
          <w:sz w:val="24"/>
          <w:szCs w:val="24"/>
          <w:highlight w:val="yellow"/>
        </w:rPr>
        <w:fldChar w:fldCharType="separate"/>
      </w:r>
      <w:r>
        <w:rPr>
          <w:rFonts w:ascii="Times New Roman" w:hAnsi="Times New Roman" w:eastAsia="等线" w:cs="Times New Roman"/>
          <w:kern w:val="0"/>
          <w:sz w:val="24"/>
          <w:vertAlign w:val="superscript"/>
        </w:rPr>
        <w:t>4–6,53</w:t>
      </w:r>
      <w:r>
        <w:rPr>
          <w:rFonts w:ascii="Times New Roman" w:hAnsi="Times New Roman" w:cs="Times New Roman"/>
          <w:sz w:val="24"/>
          <w:szCs w:val="24"/>
          <w:highlight w:val="yellow"/>
        </w:rPr>
        <w:fldChar w:fldCharType="end"/>
      </w:r>
      <w:r>
        <w:rPr>
          <w:rFonts w:ascii="Times New Roman" w:hAnsi="Times New Roman" w:eastAsia="宋体" w:cs="Times New Roman"/>
          <w:sz w:val="24"/>
          <w:szCs w:val="24"/>
        </w:rPr>
        <w:t xml:space="preserve"> as listed in the legend.</w:t>
      </w:r>
    </w:p>
    <w:p w14:paraId="2D42E1AE">
      <w:pPr>
        <w:widowControl/>
        <w:adjustRightInd w:val="0"/>
        <w:snapToGrid w:val="0"/>
        <w:spacing w:line="360" w:lineRule="auto"/>
        <w:rPr>
          <w:rFonts w:ascii="Times New Roman" w:hAnsi="Times New Roman" w:cs="Times New Roman"/>
          <w:sz w:val="24"/>
          <w:szCs w:val="24"/>
        </w:rPr>
      </w:pPr>
    </w:p>
    <w:p w14:paraId="5EA33AB2">
      <w:pPr>
        <w:widowControl/>
        <w:adjustRightInd w:val="0"/>
        <w:snapToGrid w:val="0"/>
        <w:spacing w:line="360" w:lineRule="auto"/>
        <w:rPr>
          <w:rFonts w:ascii="Times New Roman" w:hAnsi="Times New Roman" w:cs="Times New Roman"/>
          <w:sz w:val="24"/>
          <w:szCs w:val="24"/>
        </w:rPr>
      </w:pPr>
    </w:p>
    <w:p w14:paraId="6F3468DE">
      <w:pPr>
        <w:widowControl/>
        <w:adjustRightInd w:val="0"/>
        <w:snapToGrid w:val="0"/>
        <w:spacing w:line="360" w:lineRule="auto"/>
        <w:rPr>
          <w:rStyle w:val="26"/>
          <w:rFonts w:cs="Times New Roman" w:eastAsiaTheme="minorEastAsia"/>
        </w:rPr>
        <w:sectPr>
          <w:footerReference r:id="rId4" w:type="default"/>
          <w:pgSz w:w="12242" w:h="15842"/>
          <w:pgMar w:top="1440" w:right="1797" w:bottom="1440" w:left="1797" w:header="851" w:footer="992" w:gutter="0"/>
          <w:cols w:space="425" w:num="1"/>
          <w:docGrid w:type="lines" w:linePitch="312" w:charSpace="0"/>
        </w:sectPr>
      </w:pPr>
    </w:p>
    <w:p w14:paraId="15BA2113">
      <w:pPr>
        <w:pStyle w:val="2"/>
        <w:spacing w:after="156"/>
        <w:rPr>
          <w:rFonts w:cs="Times New Roman"/>
          <w:lang w:val="en-GB"/>
        </w:rPr>
      </w:pPr>
      <w:bookmarkStart w:id="71" w:name="_Toc221108191"/>
      <w:r>
        <w:rPr>
          <w:rFonts w:cs="Times New Roman"/>
          <w:lang w:val="en-GB"/>
        </w:rPr>
        <w:t xml:space="preserve">Supplementary </w:t>
      </w:r>
      <w:r>
        <w:rPr>
          <w:rFonts w:eastAsia="宋体" w:cs="Times New Roman"/>
        </w:rPr>
        <w:t>References</w:t>
      </w:r>
      <w:bookmarkEnd w:id="71"/>
    </w:p>
    <w:p w14:paraId="726997DA">
      <w:pPr>
        <w:pStyle w:val="61"/>
        <w:spacing w:line="240" w:lineRule="auto"/>
        <w:rPr>
          <w:rFonts w:ascii="Times New Roman" w:hAnsi="Times New Roman" w:cs="Times New Roman"/>
        </w:rPr>
      </w:pPr>
      <w:r>
        <w:rPr>
          <w:rFonts w:ascii="Times New Roman" w:hAnsi="Times New Roman" w:cs="Times New Roman"/>
          <w:szCs w:val="24"/>
        </w:rPr>
        <w:fldChar w:fldCharType="begin"/>
      </w:r>
      <w:r>
        <w:rPr>
          <w:rFonts w:ascii="Times New Roman" w:hAnsi="Times New Roman" w:cs="Times New Roman"/>
          <w:szCs w:val="24"/>
        </w:rPr>
        <w:instrText xml:space="preserve"> ADDIN ZOTERO_BIBL {"uncited":[],"omitted":[],"custom":[]} CSL_BIBLIOGRAPHY </w:instrText>
      </w:r>
      <w:r>
        <w:rPr>
          <w:rFonts w:ascii="Times New Roman" w:hAnsi="Times New Roman" w:cs="Times New Roman"/>
          <w:szCs w:val="24"/>
        </w:rPr>
        <w:fldChar w:fldCharType="separate"/>
      </w:r>
      <w:r>
        <w:rPr>
          <w:rFonts w:ascii="Times New Roman" w:hAnsi="Times New Roman" w:cs="Times New Roman"/>
        </w:rPr>
        <w:t>1.</w:t>
      </w:r>
      <w:r>
        <w:rPr>
          <w:rFonts w:ascii="Times New Roman" w:hAnsi="Times New Roman" w:cs="Times New Roman"/>
        </w:rPr>
        <w:tab/>
      </w:r>
      <w:r>
        <w:rPr>
          <w:rFonts w:ascii="Times New Roman" w:hAnsi="Times New Roman" w:cs="Times New Roman"/>
        </w:rPr>
        <w:t xml:space="preserve">Doherty, B., Zhong, X., Gathiaka, S., Li, B. &amp; Acevedo, O. Revisiting OPLS force field parameters for ionic liquid simulations. </w:t>
      </w:r>
      <w:r>
        <w:rPr>
          <w:rFonts w:ascii="Times New Roman" w:hAnsi="Times New Roman" w:cs="Times New Roman"/>
          <w:i/>
          <w:iCs/>
        </w:rPr>
        <w:t>J. Chem. Theory Comput.</w:t>
      </w:r>
      <w:r>
        <w:rPr>
          <w:rFonts w:ascii="Times New Roman" w:hAnsi="Times New Roman" w:cs="Times New Roman"/>
        </w:rPr>
        <w:t xml:space="preserve"> </w:t>
      </w:r>
      <w:r>
        <w:rPr>
          <w:rFonts w:ascii="Times New Roman" w:hAnsi="Times New Roman" w:cs="Times New Roman"/>
          <w:b/>
          <w:bCs/>
        </w:rPr>
        <w:t>13</w:t>
      </w:r>
      <w:r>
        <w:rPr>
          <w:rFonts w:ascii="Times New Roman" w:hAnsi="Times New Roman" w:cs="Times New Roman"/>
        </w:rPr>
        <w:t>, 6131–6145 (2017).</w:t>
      </w:r>
    </w:p>
    <w:p w14:paraId="57F38D97">
      <w:pPr>
        <w:pStyle w:val="61"/>
        <w:spacing w:line="240" w:lineRule="auto"/>
        <w:rPr>
          <w:rFonts w:ascii="Times New Roman" w:hAnsi="Times New Roman" w:cs="Times New Roman"/>
        </w:rPr>
      </w:pPr>
      <w:r>
        <w:rPr>
          <w:rFonts w:ascii="Times New Roman" w:hAnsi="Times New Roman" w:cs="Times New Roman"/>
        </w:rPr>
        <w:t>2.</w:t>
      </w:r>
      <w:r>
        <w:rPr>
          <w:rFonts w:ascii="Times New Roman" w:hAnsi="Times New Roman" w:cs="Times New Roman"/>
        </w:rPr>
        <w:tab/>
      </w:r>
      <w:r>
        <w:rPr>
          <w:rFonts w:ascii="Times New Roman" w:hAnsi="Times New Roman" w:cs="Times New Roman"/>
        </w:rPr>
        <w:t xml:space="preserve">Lamoureux, G., MacKerell, A. D. &amp; Roux, B. A simple polarizable model of water based on classical drude oscillators.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119</w:t>
      </w:r>
      <w:r>
        <w:rPr>
          <w:rFonts w:ascii="Times New Roman" w:hAnsi="Times New Roman" w:cs="Times New Roman"/>
        </w:rPr>
        <w:t>, 5185–5197 (2003).</w:t>
      </w:r>
    </w:p>
    <w:p w14:paraId="358BBC63">
      <w:pPr>
        <w:pStyle w:val="61"/>
        <w:spacing w:line="240" w:lineRule="auto"/>
        <w:rPr>
          <w:rFonts w:ascii="Times New Roman" w:hAnsi="Times New Roman" w:cs="Times New Roman"/>
        </w:rPr>
      </w:pPr>
      <w:r>
        <w:rPr>
          <w:rFonts w:ascii="Times New Roman" w:hAnsi="Times New Roman" w:cs="Times New Roman"/>
        </w:rPr>
        <w:t>3.</w:t>
      </w:r>
      <w:r>
        <w:rPr>
          <w:rFonts w:ascii="Times New Roman" w:hAnsi="Times New Roman" w:cs="Times New Roman"/>
        </w:rPr>
        <w:tab/>
      </w:r>
      <w:r>
        <w:rPr>
          <w:rFonts w:ascii="Times New Roman" w:hAnsi="Times New Roman" w:cs="Times New Roman"/>
        </w:rPr>
        <w:t xml:space="preserve">Lamoureux, G. &amp; Roux, B. Modeling induced polarization with classical drude oscillators: theory and molecular dynamics simulation algorithm.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119</w:t>
      </w:r>
      <w:r>
        <w:rPr>
          <w:rFonts w:ascii="Times New Roman" w:hAnsi="Times New Roman" w:cs="Times New Roman"/>
        </w:rPr>
        <w:t>, 3025–3039 (2003).</w:t>
      </w:r>
    </w:p>
    <w:p w14:paraId="4CC6F655">
      <w:pPr>
        <w:pStyle w:val="61"/>
        <w:spacing w:line="240" w:lineRule="auto"/>
        <w:rPr>
          <w:rFonts w:ascii="Times New Roman" w:hAnsi="Times New Roman" w:cs="Times New Roman"/>
        </w:rPr>
      </w:pPr>
      <w:r>
        <w:rPr>
          <w:rFonts w:ascii="Times New Roman" w:hAnsi="Times New Roman" w:cs="Times New Roman"/>
        </w:rPr>
        <w:t>4.</w:t>
      </w:r>
      <w:r>
        <w:rPr>
          <w:rFonts w:ascii="Times New Roman" w:hAnsi="Times New Roman" w:cs="Times New Roman"/>
        </w:rPr>
        <w:tab/>
      </w:r>
      <w:r>
        <w:rPr>
          <w:rFonts w:ascii="Times New Roman" w:hAnsi="Times New Roman" w:cs="Times New Roman"/>
        </w:rPr>
        <w:t xml:space="preserve">Goloviznina, K., Canongia Lopes, J. N., Costa Gomes, M. &amp; Pádua, A. A. H. Transferable, polarizable force field for ionic liquids. </w:t>
      </w:r>
      <w:r>
        <w:rPr>
          <w:rFonts w:ascii="Times New Roman" w:hAnsi="Times New Roman" w:cs="Times New Roman"/>
          <w:i/>
          <w:iCs/>
        </w:rPr>
        <w:t>J. Chem. Theory Comput.</w:t>
      </w:r>
      <w:r>
        <w:rPr>
          <w:rFonts w:ascii="Times New Roman" w:hAnsi="Times New Roman" w:cs="Times New Roman"/>
        </w:rPr>
        <w:t xml:space="preserve"> </w:t>
      </w:r>
      <w:r>
        <w:rPr>
          <w:rFonts w:ascii="Times New Roman" w:hAnsi="Times New Roman" w:cs="Times New Roman"/>
          <w:b/>
          <w:bCs/>
        </w:rPr>
        <w:t>15</w:t>
      </w:r>
      <w:r>
        <w:rPr>
          <w:rFonts w:ascii="Times New Roman" w:hAnsi="Times New Roman" w:cs="Times New Roman"/>
        </w:rPr>
        <w:t>, 5858–5871 (2019).</w:t>
      </w:r>
    </w:p>
    <w:p w14:paraId="07E508F4">
      <w:pPr>
        <w:pStyle w:val="61"/>
        <w:spacing w:line="240" w:lineRule="auto"/>
        <w:rPr>
          <w:rFonts w:ascii="Times New Roman" w:hAnsi="Times New Roman" w:cs="Times New Roman"/>
        </w:rPr>
      </w:pPr>
      <w:r>
        <w:rPr>
          <w:rFonts w:ascii="Times New Roman" w:hAnsi="Times New Roman" w:cs="Times New Roman"/>
        </w:rPr>
        <w:t>5.</w:t>
      </w:r>
      <w:r>
        <w:rPr>
          <w:rFonts w:ascii="Times New Roman" w:hAnsi="Times New Roman" w:cs="Times New Roman"/>
        </w:rPr>
        <w:tab/>
      </w:r>
      <w:r>
        <w:rPr>
          <w:rFonts w:ascii="Times New Roman" w:hAnsi="Times New Roman" w:cs="Times New Roman"/>
        </w:rPr>
        <w:t xml:space="preserve">Goloviznina, K., Gong, Z. &amp; Padua, A. A. H. The CL&amp;pol polarizable force field for the simulation of ionic liquids and eutectic solvents. </w:t>
      </w:r>
      <w:r>
        <w:rPr>
          <w:rFonts w:ascii="Times New Roman" w:hAnsi="Times New Roman" w:cs="Times New Roman"/>
          <w:i/>
          <w:iCs/>
        </w:rPr>
        <w:t>WIREs Comput. Mol. Sci.</w:t>
      </w:r>
      <w:r>
        <w:rPr>
          <w:rFonts w:ascii="Times New Roman" w:hAnsi="Times New Roman" w:cs="Times New Roman"/>
        </w:rPr>
        <w:t xml:space="preserve"> </w:t>
      </w:r>
      <w:r>
        <w:rPr>
          <w:rFonts w:ascii="Times New Roman" w:hAnsi="Times New Roman" w:cs="Times New Roman"/>
          <w:b/>
          <w:bCs/>
        </w:rPr>
        <w:t>12</w:t>
      </w:r>
      <w:r>
        <w:rPr>
          <w:rFonts w:ascii="Times New Roman" w:hAnsi="Times New Roman" w:cs="Times New Roman"/>
        </w:rPr>
        <w:t>, e1572 (2022).</w:t>
      </w:r>
    </w:p>
    <w:p w14:paraId="78952598">
      <w:pPr>
        <w:pStyle w:val="61"/>
        <w:spacing w:line="240" w:lineRule="auto"/>
        <w:rPr>
          <w:rFonts w:ascii="Times New Roman" w:hAnsi="Times New Roman" w:cs="Times New Roman"/>
        </w:rPr>
      </w:pPr>
      <w:r>
        <w:rPr>
          <w:rFonts w:ascii="Times New Roman" w:hAnsi="Times New Roman" w:cs="Times New Roman"/>
        </w:rPr>
        <w:t>6.</w:t>
      </w:r>
      <w:r>
        <w:rPr>
          <w:rFonts w:ascii="Times New Roman" w:hAnsi="Times New Roman" w:cs="Times New Roman"/>
        </w:rPr>
        <w:tab/>
      </w:r>
      <w:r>
        <w:rPr>
          <w:rFonts w:ascii="Times New Roman" w:hAnsi="Times New Roman" w:cs="Times New Roman"/>
        </w:rPr>
        <w:t xml:space="preserve">Goloviznina, K., Gong, Z., Costa Gomes, M. F. &amp; Pádua, A. A. H. Extension of the CL&amp;pol polarizable force field to electrolytes, protic ionic liquids, and deep eutectic solvents. </w:t>
      </w:r>
      <w:r>
        <w:rPr>
          <w:rFonts w:ascii="Times New Roman" w:hAnsi="Times New Roman" w:cs="Times New Roman"/>
          <w:i/>
          <w:iCs/>
        </w:rPr>
        <w:t>J. Chem. Theory Comput.</w:t>
      </w:r>
      <w:r>
        <w:rPr>
          <w:rFonts w:ascii="Times New Roman" w:hAnsi="Times New Roman" w:cs="Times New Roman"/>
        </w:rPr>
        <w:t xml:space="preserve"> </w:t>
      </w:r>
      <w:r>
        <w:rPr>
          <w:rFonts w:ascii="Times New Roman" w:hAnsi="Times New Roman" w:cs="Times New Roman"/>
          <w:b/>
          <w:bCs/>
        </w:rPr>
        <w:t>17</w:t>
      </w:r>
      <w:r>
        <w:rPr>
          <w:rFonts w:ascii="Times New Roman" w:hAnsi="Times New Roman" w:cs="Times New Roman"/>
        </w:rPr>
        <w:t>, 1606–1617 (2021).</w:t>
      </w:r>
    </w:p>
    <w:p w14:paraId="0CD037D3">
      <w:pPr>
        <w:pStyle w:val="61"/>
        <w:spacing w:line="240" w:lineRule="auto"/>
        <w:rPr>
          <w:rFonts w:ascii="Times New Roman" w:hAnsi="Times New Roman" w:cs="Times New Roman"/>
        </w:rPr>
      </w:pPr>
      <w:r>
        <w:rPr>
          <w:rFonts w:ascii="Times New Roman" w:hAnsi="Times New Roman" w:cs="Times New Roman"/>
        </w:rPr>
        <w:t>7.</w:t>
      </w:r>
      <w:r>
        <w:rPr>
          <w:rFonts w:ascii="Times New Roman" w:hAnsi="Times New Roman" w:cs="Times New Roman"/>
        </w:rPr>
        <w:tab/>
      </w:r>
      <w:r>
        <w:rPr>
          <w:rFonts w:ascii="Times New Roman" w:hAnsi="Times New Roman" w:cs="Times New Roman"/>
        </w:rPr>
        <w:t xml:space="preserve">Taylor, T., Schmollngruber, M., Schröder, C. &amp; Steinhauser, O. The effect of thole functions on the simulation of ionic liquids with point induced dipoles at various densities.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138</w:t>
      </w:r>
      <w:r>
        <w:rPr>
          <w:rFonts w:ascii="Times New Roman" w:hAnsi="Times New Roman" w:cs="Times New Roman"/>
        </w:rPr>
        <w:t>, 204119 (2013).</w:t>
      </w:r>
    </w:p>
    <w:p w14:paraId="2AFA5A04">
      <w:pPr>
        <w:pStyle w:val="61"/>
        <w:spacing w:line="240" w:lineRule="auto"/>
        <w:rPr>
          <w:rFonts w:ascii="Times New Roman" w:hAnsi="Times New Roman" w:cs="Times New Roman"/>
        </w:rPr>
      </w:pPr>
      <w:r>
        <w:rPr>
          <w:rFonts w:ascii="Times New Roman" w:hAnsi="Times New Roman" w:cs="Times New Roman"/>
        </w:rPr>
        <w:t>8.</w:t>
      </w:r>
      <w:r>
        <w:rPr>
          <w:rFonts w:ascii="Times New Roman" w:hAnsi="Times New Roman" w:cs="Times New Roman"/>
        </w:rPr>
        <w:tab/>
      </w:r>
      <w:r>
        <w:rPr>
          <w:rFonts w:ascii="Times New Roman" w:hAnsi="Times New Roman" w:cs="Times New Roman"/>
        </w:rPr>
        <w:t xml:space="preserve">Thole, B. T. Molecular polarizabilities calculated with a modified dipole interaction. </w:t>
      </w:r>
      <w:r>
        <w:rPr>
          <w:rFonts w:ascii="Times New Roman" w:hAnsi="Times New Roman" w:cs="Times New Roman"/>
          <w:i/>
          <w:iCs/>
        </w:rPr>
        <w:t>Chem. Phys.</w:t>
      </w:r>
      <w:r>
        <w:rPr>
          <w:rFonts w:ascii="Times New Roman" w:hAnsi="Times New Roman" w:cs="Times New Roman"/>
        </w:rPr>
        <w:t xml:space="preserve"> </w:t>
      </w:r>
      <w:r>
        <w:rPr>
          <w:rFonts w:ascii="Times New Roman" w:hAnsi="Times New Roman" w:cs="Times New Roman"/>
          <w:b/>
          <w:bCs/>
        </w:rPr>
        <w:t>59</w:t>
      </w:r>
      <w:r>
        <w:rPr>
          <w:rFonts w:ascii="Times New Roman" w:hAnsi="Times New Roman" w:cs="Times New Roman"/>
        </w:rPr>
        <w:t>, 341–350 (1981).</w:t>
      </w:r>
    </w:p>
    <w:p w14:paraId="615C266A">
      <w:pPr>
        <w:pStyle w:val="61"/>
        <w:spacing w:line="240" w:lineRule="auto"/>
        <w:rPr>
          <w:rFonts w:ascii="Times New Roman" w:hAnsi="Times New Roman" w:cs="Times New Roman"/>
        </w:rPr>
      </w:pPr>
      <w:r>
        <w:rPr>
          <w:rFonts w:ascii="Times New Roman" w:hAnsi="Times New Roman" w:cs="Times New Roman"/>
        </w:rPr>
        <w:t>9.</w:t>
      </w:r>
      <w:r>
        <w:rPr>
          <w:rFonts w:ascii="Times New Roman" w:hAnsi="Times New Roman" w:cs="Times New Roman"/>
        </w:rPr>
        <w:tab/>
      </w:r>
      <w:r>
        <w:rPr>
          <w:rFonts w:ascii="Times New Roman" w:hAnsi="Times New Roman" w:cs="Times New Roman"/>
        </w:rPr>
        <w:t xml:space="preserve">Noskov, S. Yu., Lamoureux, G. &amp; Roux, B. Molecular dynamics study of hydration in ethanol−water mixtures using a polarizable force field. </w:t>
      </w:r>
      <w:r>
        <w:rPr>
          <w:rFonts w:ascii="Times New Roman" w:hAnsi="Times New Roman" w:cs="Times New Roman"/>
          <w:i/>
          <w:iCs/>
        </w:rPr>
        <w:t>J. Phys. Chem. B</w:t>
      </w:r>
      <w:r>
        <w:rPr>
          <w:rFonts w:ascii="Times New Roman" w:hAnsi="Times New Roman" w:cs="Times New Roman"/>
        </w:rPr>
        <w:t xml:space="preserve"> </w:t>
      </w:r>
      <w:r>
        <w:rPr>
          <w:rFonts w:ascii="Times New Roman" w:hAnsi="Times New Roman" w:cs="Times New Roman"/>
          <w:b/>
          <w:bCs/>
        </w:rPr>
        <w:t>109</w:t>
      </w:r>
      <w:r>
        <w:rPr>
          <w:rFonts w:ascii="Times New Roman" w:hAnsi="Times New Roman" w:cs="Times New Roman"/>
        </w:rPr>
        <w:t>, 6705–6713 (2005).</w:t>
      </w:r>
    </w:p>
    <w:p w14:paraId="273A9DFB">
      <w:pPr>
        <w:pStyle w:val="61"/>
        <w:spacing w:line="240" w:lineRule="auto"/>
        <w:rPr>
          <w:rFonts w:ascii="Times New Roman" w:hAnsi="Times New Roman" w:cs="Times New Roman"/>
        </w:rPr>
      </w:pPr>
      <w:r>
        <w:rPr>
          <w:rFonts w:ascii="Times New Roman" w:hAnsi="Times New Roman" w:cs="Times New Roman"/>
        </w:rPr>
        <w:t>10.</w:t>
      </w:r>
      <w:r>
        <w:rPr>
          <w:rFonts w:ascii="Times New Roman" w:hAnsi="Times New Roman" w:cs="Times New Roman"/>
        </w:rPr>
        <w:tab/>
      </w:r>
      <w:r>
        <w:rPr>
          <w:rFonts w:ascii="Times New Roman" w:hAnsi="Times New Roman" w:cs="Times New Roman"/>
        </w:rPr>
        <w:t xml:space="preserve">Rafael Maglia De Souza, Karttunen, M. &amp; Ribeiro, M. C. C. Fine-tuning the polarizable CL&amp;pol force field for the deep eutectic solvent ethaline. </w:t>
      </w:r>
      <w:r>
        <w:rPr>
          <w:rFonts w:ascii="Times New Roman" w:hAnsi="Times New Roman" w:cs="Times New Roman"/>
          <w:i/>
          <w:iCs/>
        </w:rPr>
        <w:t>J. Chem. Inf. Model.</w:t>
      </w:r>
      <w:r>
        <w:rPr>
          <w:rFonts w:ascii="Times New Roman" w:hAnsi="Times New Roman" w:cs="Times New Roman"/>
        </w:rPr>
        <w:t xml:space="preserve"> </w:t>
      </w:r>
      <w:r>
        <w:rPr>
          <w:rFonts w:ascii="Times New Roman" w:hAnsi="Times New Roman" w:cs="Times New Roman"/>
          <w:b/>
          <w:bCs/>
        </w:rPr>
        <w:t>61</w:t>
      </w:r>
      <w:r>
        <w:rPr>
          <w:rFonts w:ascii="Times New Roman" w:hAnsi="Times New Roman" w:cs="Times New Roman"/>
        </w:rPr>
        <w:t>, 5938–5947 (2021).</w:t>
      </w:r>
    </w:p>
    <w:p w14:paraId="0ECB6820">
      <w:pPr>
        <w:pStyle w:val="61"/>
        <w:spacing w:line="240" w:lineRule="auto"/>
        <w:rPr>
          <w:rFonts w:ascii="Times New Roman" w:hAnsi="Times New Roman" w:cs="Times New Roman"/>
        </w:rPr>
      </w:pPr>
      <w:r>
        <w:rPr>
          <w:rFonts w:ascii="Times New Roman" w:hAnsi="Times New Roman" w:cs="Times New Roman"/>
        </w:rPr>
        <w:t>11.</w:t>
      </w:r>
      <w:r>
        <w:rPr>
          <w:rFonts w:ascii="Times New Roman" w:hAnsi="Times New Roman" w:cs="Times New Roman"/>
        </w:rPr>
        <w:tab/>
      </w:r>
      <w:r>
        <w:rPr>
          <w:rFonts w:ascii="Times New Roman" w:hAnsi="Times New Roman" w:cs="Times New Roman"/>
        </w:rPr>
        <w:t xml:space="preserve">Tang, K. T. &amp; Toennies, J. P. An improved simple model for the van der waals potential based on universal damping functions for the dispersion coefficients.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80</w:t>
      </w:r>
      <w:r>
        <w:rPr>
          <w:rFonts w:ascii="Times New Roman" w:hAnsi="Times New Roman" w:cs="Times New Roman"/>
        </w:rPr>
        <w:t>, 3726–3741 (1984).</w:t>
      </w:r>
    </w:p>
    <w:p w14:paraId="2C66411C">
      <w:pPr>
        <w:pStyle w:val="61"/>
        <w:spacing w:line="240" w:lineRule="auto"/>
        <w:rPr>
          <w:rFonts w:ascii="Times New Roman" w:hAnsi="Times New Roman" w:cs="Times New Roman"/>
        </w:rPr>
      </w:pPr>
      <w:r>
        <w:rPr>
          <w:rFonts w:ascii="Times New Roman" w:hAnsi="Times New Roman" w:cs="Times New Roman"/>
        </w:rPr>
        <w:t>12.</w:t>
      </w:r>
      <w:r>
        <w:rPr>
          <w:rFonts w:ascii="Times New Roman" w:hAnsi="Times New Roman" w:cs="Times New Roman"/>
        </w:rPr>
        <w:tab/>
      </w:r>
      <w:r>
        <w:rPr>
          <w:rFonts w:ascii="Times New Roman" w:hAnsi="Times New Roman" w:cs="Times New Roman"/>
        </w:rPr>
        <w:t xml:space="preserve">Efaw, C. M. </w:t>
      </w:r>
      <w:r>
        <w:rPr>
          <w:rFonts w:ascii="Times New Roman" w:hAnsi="Times New Roman" w:cs="Times New Roman"/>
          <w:i/>
          <w:iCs/>
        </w:rPr>
        <w:t>et al.</w:t>
      </w:r>
      <w:r>
        <w:rPr>
          <w:rFonts w:ascii="Times New Roman" w:hAnsi="Times New Roman" w:cs="Times New Roman"/>
        </w:rPr>
        <w:t xml:space="preserve"> Localized high-concentration electrolytes get more localized through micelle-like structures. </w:t>
      </w:r>
      <w:r>
        <w:rPr>
          <w:rFonts w:ascii="Times New Roman" w:hAnsi="Times New Roman" w:cs="Times New Roman"/>
          <w:i/>
          <w:iCs/>
        </w:rPr>
        <w:t>Nat. Mater.</w:t>
      </w:r>
      <w:r>
        <w:rPr>
          <w:rFonts w:ascii="Times New Roman" w:hAnsi="Times New Roman" w:cs="Times New Roman"/>
        </w:rPr>
        <w:t xml:space="preserve"> </w:t>
      </w:r>
      <w:r>
        <w:rPr>
          <w:rFonts w:ascii="Times New Roman" w:hAnsi="Times New Roman" w:cs="Times New Roman"/>
          <w:b/>
          <w:bCs/>
        </w:rPr>
        <w:t>22</w:t>
      </w:r>
      <w:r>
        <w:rPr>
          <w:rFonts w:ascii="Times New Roman" w:hAnsi="Times New Roman" w:cs="Times New Roman"/>
        </w:rPr>
        <w:t>, 1531–1539 (2023).</w:t>
      </w:r>
    </w:p>
    <w:p w14:paraId="69DC8C76">
      <w:pPr>
        <w:pStyle w:val="61"/>
        <w:spacing w:line="240" w:lineRule="auto"/>
        <w:rPr>
          <w:rFonts w:ascii="Times New Roman" w:hAnsi="Times New Roman" w:cs="Times New Roman"/>
        </w:rPr>
      </w:pPr>
      <w:r>
        <w:rPr>
          <w:rFonts w:ascii="Times New Roman" w:hAnsi="Times New Roman" w:cs="Times New Roman"/>
        </w:rPr>
        <w:t>13.</w:t>
      </w:r>
      <w:r>
        <w:rPr>
          <w:rFonts w:ascii="Times New Roman" w:hAnsi="Times New Roman" w:cs="Times New Roman"/>
        </w:rPr>
        <w:tab/>
      </w:r>
      <w:r>
        <w:rPr>
          <w:rFonts w:ascii="Times New Roman" w:hAnsi="Times New Roman" w:cs="Times New Roman"/>
        </w:rPr>
        <w:t xml:space="preserve">Qian, J. </w:t>
      </w:r>
      <w:r>
        <w:rPr>
          <w:rFonts w:ascii="Times New Roman" w:hAnsi="Times New Roman" w:cs="Times New Roman"/>
          <w:i/>
          <w:iCs/>
        </w:rPr>
        <w:t>et al.</w:t>
      </w:r>
      <w:r>
        <w:rPr>
          <w:rFonts w:ascii="Times New Roman" w:hAnsi="Times New Roman" w:cs="Times New Roman"/>
        </w:rPr>
        <w:t xml:space="preserve"> High rate and stable cycling of lithium metal anode. </w:t>
      </w:r>
      <w:r>
        <w:rPr>
          <w:rFonts w:ascii="Times New Roman" w:hAnsi="Times New Roman" w:cs="Times New Roman"/>
          <w:i/>
          <w:iCs/>
        </w:rPr>
        <w:t>Nat. Commun.</w:t>
      </w:r>
      <w:r>
        <w:rPr>
          <w:rFonts w:ascii="Times New Roman" w:hAnsi="Times New Roman" w:cs="Times New Roman"/>
        </w:rPr>
        <w:t xml:space="preserve"> </w:t>
      </w:r>
      <w:r>
        <w:rPr>
          <w:rFonts w:ascii="Times New Roman" w:hAnsi="Times New Roman" w:cs="Times New Roman"/>
          <w:b/>
          <w:bCs/>
        </w:rPr>
        <w:t>6</w:t>
      </w:r>
      <w:r>
        <w:rPr>
          <w:rFonts w:ascii="Times New Roman" w:hAnsi="Times New Roman" w:cs="Times New Roman"/>
        </w:rPr>
        <w:t>, 6362 (2015).</w:t>
      </w:r>
    </w:p>
    <w:p w14:paraId="4D057B09">
      <w:pPr>
        <w:pStyle w:val="61"/>
        <w:spacing w:line="240" w:lineRule="auto"/>
        <w:rPr>
          <w:rFonts w:ascii="Times New Roman" w:hAnsi="Times New Roman" w:cs="Times New Roman"/>
        </w:rPr>
      </w:pPr>
      <w:r>
        <w:rPr>
          <w:rFonts w:ascii="Times New Roman" w:hAnsi="Times New Roman" w:cs="Times New Roman"/>
        </w:rPr>
        <w:t>14.</w:t>
      </w:r>
      <w:r>
        <w:rPr>
          <w:rFonts w:ascii="Times New Roman" w:hAnsi="Times New Roman" w:cs="Times New Roman"/>
        </w:rPr>
        <w:tab/>
      </w:r>
      <w:r>
        <w:rPr>
          <w:rFonts w:ascii="Times New Roman" w:hAnsi="Times New Roman" w:cs="Times New Roman"/>
        </w:rPr>
        <w:t xml:space="preserve">Cao, X. </w:t>
      </w:r>
      <w:r>
        <w:rPr>
          <w:rFonts w:ascii="Times New Roman" w:hAnsi="Times New Roman" w:cs="Times New Roman"/>
          <w:i/>
          <w:iCs/>
        </w:rPr>
        <w:t>et al.</w:t>
      </w:r>
      <w:r>
        <w:rPr>
          <w:rFonts w:ascii="Times New Roman" w:hAnsi="Times New Roman" w:cs="Times New Roman"/>
        </w:rPr>
        <w:t xml:space="preserve"> Optimization of fluorinated orthoformate based electrolytes for practical high-voltage lithium metal batteries. </w:t>
      </w:r>
      <w:r>
        <w:rPr>
          <w:rFonts w:ascii="Times New Roman" w:hAnsi="Times New Roman" w:cs="Times New Roman"/>
          <w:i/>
          <w:iCs/>
        </w:rPr>
        <w:t>Energy Storage Mater.</w:t>
      </w:r>
      <w:r>
        <w:rPr>
          <w:rFonts w:ascii="Times New Roman" w:hAnsi="Times New Roman" w:cs="Times New Roman"/>
        </w:rPr>
        <w:t xml:space="preserve"> </w:t>
      </w:r>
      <w:r>
        <w:rPr>
          <w:rFonts w:ascii="Times New Roman" w:hAnsi="Times New Roman" w:cs="Times New Roman"/>
          <w:b/>
          <w:bCs/>
        </w:rPr>
        <w:t>34</w:t>
      </w:r>
      <w:r>
        <w:rPr>
          <w:rFonts w:ascii="Times New Roman" w:hAnsi="Times New Roman" w:cs="Times New Roman"/>
        </w:rPr>
        <w:t>, 76–84 (2021).</w:t>
      </w:r>
    </w:p>
    <w:p w14:paraId="664DDEE2">
      <w:pPr>
        <w:pStyle w:val="61"/>
        <w:spacing w:line="240" w:lineRule="auto"/>
        <w:rPr>
          <w:rFonts w:ascii="Times New Roman" w:hAnsi="Times New Roman" w:cs="Times New Roman"/>
        </w:rPr>
      </w:pPr>
      <w:r>
        <w:rPr>
          <w:rFonts w:ascii="Times New Roman" w:hAnsi="Times New Roman" w:cs="Times New Roman"/>
        </w:rPr>
        <w:t>15.</w:t>
      </w:r>
      <w:r>
        <w:rPr>
          <w:rFonts w:ascii="Times New Roman" w:hAnsi="Times New Roman" w:cs="Times New Roman"/>
        </w:rPr>
        <w:tab/>
      </w:r>
      <w:r>
        <w:rPr>
          <w:rFonts w:ascii="Times New Roman" w:hAnsi="Times New Roman" w:cs="Times New Roman"/>
        </w:rPr>
        <w:t xml:space="preserve">Park, C. </w:t>
      </w:r>
      <w:r>
        <w:rPr>
          <w:rFonts w:ascii="Times New Roman" w:hAnsi="Times New Roman" w:cs="Times New Roman"/>
          <w:i/>
          <w:iCs/>
        </w:rPr>
        <w:t>et al.</w:t>
      </w:r>
      <w:r>
        <w:rPr>
          <w:rFonts w:ascii="Times New Roman" w:hAnsi="Times New Roman" w:cs="Times New Roman"/>
        </w:rPr>
        <w:t xml:space="preserve"> Molecular simulations of electrolyte structure and dynamics in lithium–sulfur battery solvents. </w:t>
      </w:r>
      <w:r>
        <w:rPr>
          <w:rFonts w:ascii="Times New Roman" w:hAnsi="Times New Roman" w:cs="Times New Roman"/>
          <w:i/>
          <w:iCs/>
        </w:rPr>
        <w:t>J. Power Sources</w:t>
      </w:r>
      <w:r>
        <w:rPr>
          <w:rFonts w:ascii="Times New Roman" w:hAnsi="Times New Roman" w:cs="Times New Roman"/>
        </w:rPr>
        <w:t xml:space="preserve"> </w:t>
      </w:r>
      <w:r>
        <w:rPr>
          <w:rFonts w:ascii="Times New Roman" w:hAnsi="Times New Roman" w:cs="Times New Roman"/>
          <w:b/>
          <w:bCs/>
        </w:rPr>
        <w:t>373</w:t>
      </w:r>
      <w:r>
        <w:rPr>
          <w:rFonts w:ascii="Times New Roman" w:hAnsi="Times New Roman" w:cs="Times New Roman"/>
        </w:rPr>
        <w:t>, 70–78 (2018).</w:t>
      </w:r>
    </w:p>
    <w:p w14:paraId="546C8367">
      <w:pPr>
        <w:pStyle w:val="61"/>
        <w:spacing w:line="240" w:lineRule="auto"/>
        <w:rPr>
          <w:rFonts w:ascii="Times New Roman" w:hAnsi="Times New Roman" w:cs="Times New Roman"/>
        </w:rPr>
      </w:pPr>
      <w:r>
        <w:rPr>
          <w:rFonts w:ascii="Times New Roman" w:hAnsi="Times New Roman" w:cs="Times New Roman"/>
        </w:rPr>
        <w:t>16.</w:t>
      </w:r>
      <w:r>
        <w:rPr>
          <w:rFonts w:ascii="Times New Roman" w:hAnsi="Times New Roman" w:cs="Times New Roman"/>
        </w:rPr>
        <w:tab/>
      </w:r>
      <w:r>
        <w:rPr>
          <w:rFonts w:ascii="Times New Roman" w:hAnsi="Times New Roman" w:cs="Times New Roman"/>
        </w:rPr>
        <w:t>Hayamizu, K., Aihara, Y., Arai, S. &amp; Martinez, C. G. Pulse-gradient spin-Echo</w:t>
      </w:r>
      <w:r>
        <w:rPr>
          <w:rFonts w:ascii="Times New Roman" w:hAnsi="Times New Roman" w:cs="Times New Roman"/>
          <w:vertAlign w:val="superscript"/>
        </w:rPr>
        <w:t>1</w:t>
      </w:r>
      <w:r>
        <w:rPr>
          <w:rFonts w:ascii="Times New Roman" w:hAnsi="Times New Roman" w:cs="Times New Roman"/>
        </w:rPr>
        <w:t xml:space="preserve"> H,</w:t>
      </w:r>
      <w:r>
        <w:rPr>
          <w:rFonts w:ascii="Times New Roman" w:hAnsi="Times New Roman" w:cs="Times New Roman"/>
          <w:vertAlign w:val="superscript"/>
        </w:rPr>
        <w:t>7</w:t>
      </w:r>
      <w:r>
        <w:rPr>
          <w:rFonts w:ascii="Times New Roman" w:hAnsi="Times New Roman" w:cs="Times New Roman"/>
        </w:rPr>
        <w:t xml:space="preserve"> li, and</w:t>
      </w:r>
      <w:r>
        <w:rPr>
          <w:rFonts w:ascii="Times New Roman" w:hAnsi="Times New Roman" w:cs="Times New Roman"/>
          <w:vertAlign w:val="superscript"/>
        </w:rPr>
        <w:t>19</w:t>
      </w:r>
      <w:r>
        <w:rPr>
          <w:rFonts w:ascii="Times New Roman" w:hAnsi="Times New Roman" w:cs="Times New Roman"/>
        </w:rPr>
        <w:t xml:space="preserve"> F NMR diffusion and ionic conductivity measurements of 14 organic electrolytes containing LiN(SO</w:t>
      </w:r>
      <w:r>
        <w:rPr>
          <w:rFonts w:ascii="Times New Roman" w:hAnsi="Times New Roman" w:cs="Times New Roman"/>
          <w:vertAlign w:val="subscript"/>
        </w:rPr>
        <w:t>2</w:t>
      </w:r>
      <w:r>
        <w:rPr>
          <w:rFonts w:ascii="Times New Roman" w:hAnsi="Times New Roman" w:cs="Times New Roman"/>
        </w:rPr>
        <w:t xml:space="preserve"> CF</w:t>
      </w:r>
      <w:r>
        <w:rPr>
          <w:rFonts w:ascii="Times New Roman" w:hAnsi="Times New Roman" w:cs="Times New Roman"/>
          <w:vertAlign w:val="subscript"/>
        </w:rPr>
        <w:t>3</w:t>
      </w:r>
      <w:r>
        <w:rPr>
          <w:rFonts w:ascii="Times New Roman" w:hAnsi="Times New Roman" w:cs="Times New Roman"/>
        </w:rPr>
        <w:t xml:space="preserve"> )</w:t>
      </w:r>
      <w:r>
        <w:rPr>
          <w:rFonts w:ascii="Times New Roman" w:hAnsi="Times New Roman" w:cs="Times New Roman"/>
          <w:vertAlign w:val="subscript"/>
        </w:rPr>
        <w:t>2</w:t>
      </w:r>
      <w:r>
        <w:rPr>
          <w:rFonts w:ascii="Times New Roman" w:hAnsi="Times New Roman" w:cs="Times New Roman"/>
        </w:rPr>
        <w:t xml:space="preserve">. </w:t>
      </w:r>
      <w:r>
        <w:rPr>
          <w:rFonts w:ascii="Times New Roman" w:hAnsi="Times New Roman" w:cs="Times New Roman"/>
          <w:i/>
          <w:iCs/>
        </w:rPr>
        <w:t>J. Phys. Chem. B</w:t>
      </w:r>
      <w:r>
        <w:rPr>
          <w:rFonts w:ascii="Times New Roman" w:hAnsi="Times New Roman" w:cs="Times New Roman"/>
        </w:rPr>
        <w:t xml:space="preserve"> </w:t>
      </w:r>
      <w:r>
        <w:rPr>
          <w:rFonts w:ascii="Times New Roman" w:hAnsi="Times New Roman" w:cs="Times New Roman"/>
          <w:b/>
          <w:bCs/>
        </w:rPr>
        <w:t>103</w:t>
      </w:r>
      <w:r>
        <w:rPr>
          <w:rFonts w:ascii="Times New Roman" w:hAnsi="Times New Roman" w:cs="Times New Roman"/>
        </w:rPr>
        <w:t>, 519–524 (1999).</w:t>
      </w:r>
    </w:p>
    <w:p w14:paraId="61F9F78F">
      <w:pPr>
        <w:pStyle w:val="61"/>
        <w:spacing w:line="240" w:lineRule="auto"/>
        <w:rPr>
          <w:rFonts w:ascii="Times New Roman" w:hAnsi="Times New Roman" w:cs="Times New Roman"/>
        </w:rPr>
      </w:pPr>
      <w:r>
        <w:rPr>
          <w:rFonts w:ascii="Times New Roman" w:hAnsi="Times New Roman" w:cs="Times New Roman"/>
        </w:rPr>
        <w:t>17.</w:t>
      </w:r>
      <w:r>
        <w:rPr>
          <w:rFonts w:ascii="Times New Roman" w:hAnsi="Times New Roman" w:cs="Times New Roman"/>
        </w:rPr>
        <w:tab/>
      </w:r>
      <w:r>
        <w:rPr>
          <w:rFonts w:ascii="Times New Roman" w:hAnsi="Times New Roman" w:cs="Times New Roman"/>
        </w:rPr>
        <w:t xml:space="preserve">Safari, M., Kwok, C. Y. &amp; Nazar, L. F. Transport properties of polysulfide species in lithium–sulfur battery electrolytes: coupling of experiment and theory. </w:t>
      </w:r>
      <w:r>
        <w:rPr>
          <w:rFonts w:ascii="Times New Roman" w:hAnsi="Times New Roman" w:cs="Times New Roman"/>
          <w:i/>
          <w:iCs/>
        </w:rPr>
        <w:t>ACS Cent. Sci.</w:t>
      </w:r>
      <w:r>
        <w:rPr>
          <w:rFonts w:ascii="Times New Roman" w:hAnsi="Times New Roman" w:cs="Times New Roman"/>
        </w:rPr>
        <w:t xml:space="preserve"> </w:t>
      </w:r>
      <w:r>
        <w:rPr>
          <w:rFonts w:ascii="Times New Roman" w:hAnsi="Times New Roman" w:cs="Times New Roman"/>
          <w:b/>
          <w:bCs/>
        </w:rPr>
        <w:t>2</w:t>
      </w:r>
      <w:r>
        <w:rPr>
          <w:rFonts w:ascii="Times New Roman" w:hAnsi="Times New Roman" w:cs="Times New Roman"/>
        </w:rPr>
        <w:t>, 560–568 (2016).</w:t>
      </w:r>
    </w:p>
    <w:p w14:paraId="4D9B0D6D">
      <w:pPr>
        <w:pStyle w:val="61"/>
        <w:spacing w:line="240" w:lineRule="auto"/>
        <w:rPr>
          <w:rFonts w:ascii="Times New Roman" w:hAnsi="Times New Roman" w:cs="Times New Roman"/>
        </w:rPr>
      </w:pPr>
      <w:r>
        <w:rPr>
          <w:rFonts w:ascii="Times New Roman" w:hAnsi="Times New Roman" w:cs="Times New Roman"/>
        </w:rPr>
        <w:t>18.</w:t>
      </w:r>
      <w:r>
        <w:rPr>
          <w:rFonts w:ascii="Times New Roman" w:hAnsi="Times New Roman" w:cs="Times New Roman"/>
        </w:rPr>
        <w:tab/>
      </w:r>
      <w:r>
        <w:rPr>
          <w:rFonts w:ascii="Times New Roman" w:hAnsi="Times New Roman" w:cs="Times New Roman"/>
        </w:rPr>
        <w:t xml:space="preserve">Wu, Q., McDowell, M. T. &amp; Qi, Y. Effect of the electric double layer (EDL) in multicomponent electrolyte reduction and solid electrolyte interphase (SEI) formation in lithium batteries. </w:t>
      </w:r>
      <w:r>
        <w:rPr>
          <w:rFonts w:ascii="Times New Roman" w:hAnsi="Times New Roman" w:cs="Times New Roman"/>
          <w:i/>
          <w:iCs/>
        </w:rPr>
        <w:t>J. Am. Chem. Soc.</w:t>
      </w:r>
      <w:r>
        <w:rPr>
          <w:rFonts w:ascii="Times New Roman" w:hAnsi="Times New Roman" w:cs="Times New Roman"/>
        </w:rPr>
        <w:t xml:space="preserve"> </w:t>
      </w:r>
      <w:r>
        <w:rPr>
          <w:rFonts w:ascii="Times New Roman" w:hAnsi="Times New Roman" w:cs="Times New Roman"/>
          <w:b/>
          <w:bCs/>
        </w:rPr>
        <w:t>145</w:t>
      </w:r>
      <w:r>
        <w:rPr>
          <w:rFonts w:ascii="Times New Roman" w:hAnsi="Times New Roman" w:cs="Times New Roman"/>
        </w:rPr>
        <w:t>, 2473–2484 (2023).</w:t>
      </w:r>
    </w:p>
    <w:p w14:paraId="505EFEB1">
      <w:pPr>
        <w:pStyle w:val="61"/>
        <w:spacing w:line="240" w:lineRule="auto"/>
        <w:rPr>
          <w:rFonts w:ascii="Times New Roman" w:hAnsi="Times New Roman" w:cs="Times New Roman"/>
        </w:rPr>
      </w:pPr>
      <w:r>
        <w:rPr>
          <w:rFonts w:ascii="Times New Roman" w:hAnsi="Times New Roman" w:cs="Times New Roman"/>
        </w:rPr>
        <w:t>19.</w:t>
      </w:r>
      <w:r>
        <w:rPr>
          <w:rFonts w:ascii="Times New Roman" w:hAnsi="Times New Roman" w:cs="Times New Roman"/>
        </w:rPr>
        <w:tab/>
      </w:r>
      <w:r>
        <w:rPr>
          <w:rFonts w:ascii="Times New Roman" w:hAnsi="Times New Roman" w:cs="Times New Roman"/>
        </w:rPr>
        <w:t xml:space="preserve">Maiti, M. </w:t>
      </w:r>
      <w:r>
        <w:rPr>
          <w:rFonts w:ascii="Times New Roman" w:hAnsi="Times New Roman" w:cs="Times New Roman"/>
          <w:i/>
          <w:iCs/>
        </w:rPr>
        <w:t>et al.</w:t>
      </w:r>
      <w:r>
        <w:rPr>
          <w:rFonts w:ascii="Times New Roman" w:hAnsi="Times New Roman" w:cs="Times New Roman"/>
        </w:rPr>
        <w:t xml:space="preserve"> Mechanistic understanding of the correlation between structure and dynamics of liquid carbonate electrolytes: impact of polarization. </w:t>
      </w:r>
      <w:r>
        <w:rPr>
          <w:rFonts w:ascii="Times New Roman" w:hAnsi="Times New Roman" w:cs="Times New Roman"/>
          <w:i/>
          <w:iCs/>
        </w:rPr>
        <w:t>Phys. Chem. Chem. Phys.</w:t>
      </w:r>
      <w:r>
        <w:rPr>
          <w:rFonts w:ascii="Times New Roman" w:hAnsi="Times New Roman" w:cs="Times New Roman"/>
        </w:rPr>
        <w:t xml:space="preserve"> </w:t>
      </w:r>
      <w:r>
        <w:rPr>
          <w:rFonts w:ascii="Times New Roman" w:hAnsi="Times New Roman" w:cs="Times New Roman"/>
          <w:b/>
          <w:bCs/>
        </w:rPr>
        <w:t>25</w:t>
      </w:r>
      <w:r>
        <w:rPr>
          <w:rFonts w:ascii="Times New Roman" w:hAnsi="Times New Roman" w:cs="Times New Roman"/>
        </w:rPr>
        <w:t>, 20350–20364 (2023).</w:t>
      </w:r>
    </w:p>
    <w:p w14:paraId="675D9BF3">
      <w:pPr>
        <w:pStyle w:val="61"/>
        <w:spacing w:line="240" w:lineRule="auto"/>
        <w:rPr>
          <w:rFonts w:ascii="Times New Roman" w:hAnsi="Times New Roman" w:cs="Times New Roman"/>
        </w:rPr>
      </w:pPr>
      <w:r>
        <w:rPr>
          <w:rFonts w:ascii="Times New Roman" w:hAnsi="Times New Roman" w:cs="Times New Roman"/>
        </w:rPr>
        <w:t>20.</w:t>
      </w:r>
      <w:r>
        <w:rPr>
          <w:rFonts w:ascii="Times New Roman" w:hAnsi="Times New Roman" w:cs="Times New Roman"/>
        </w:rPr>
        <w:tab/>
      </w:r>
      <w:r>
        <w:rPr>
          <w:rFonts w:ascii="Times New Roman" w:hAnsi="Times New Roman" w:cs="Times New Roman"/>
        </w:rPr>
        <w:t xml:space="preserve">Bergstrom, H. K., Fong, K. D. &amp; McCloskey, B. D. Interfacial effects on transport coefficient measurements in Li-ion battery electrolytes. </w:t>
      </w:r>
      <w:r>
        <w:rPr>
          <w:rFonts w:ascii="Times New Roman" w:hAnsi="Times New Roman" w:cs="Times New Roman"/>
          <w:i/>
          <w:iCs/>
        </w:rPr>
        <w:t>J. Electrochem. Soc.</w:t>
      </w:r>
      <w:r>
        <w:rPr>
          <w:rFonts w:ascii="Times New Roman" w:hAnsi="Times New Roman" w:cs="Times New Roman"/>
        </w:rPr>
        <w:t xml:space="preserve"> </w:t>
      </w:r>
      <w:r>
        <w:rPr>
          <w:rFonts w:ascii="Times New Roman" w:hAnsi="Times New Roman" w:cs="Times New Roman"/>
          <w:b/>
          <w:bCs/>
        </w:rPr>
        <w:t>168</w:t>
      </w:r>
      <w:r>
        <w:rPr>
          <w:rFonts w:ascii="Times New Roman" w:hAnsi="Times New Roman" w:cs="Times New Roman"/>
        </w:rPr>
        <w:t>, 60543 (2021).</w:t>
      </w:r>
    </w:p>
    <w:p w14:paraId="0D349657">
      <w:pPr>
        <w:pStyle w:val="61"/>
        <w:spacing w:line="240" w:lineRule="auto"/>
        <w:rPr>
          <w:rFonts w:ascii="Times New Roman" w:hAnsi="Times New Roman" w:cs="Times New Roman"/>
        </w:rPr>
      </w:pPr>
      <w:r>
        <w:rPr>
          <w:rFonts w:ascii="Times New Roman" w:hAnsi="Times New Roman" w:cs="Times New Roman"/>
        </w:rPr>
        <w:t>21.</w:t>
      </w:r>
      <w:r>
        <w:rPr>
          <w:rFonts w:ascii="Times New Roman" w:hAnsi="Times New Roman" w:cs="Times New Roman"/>
        </w:rPr>
        <w:tab/>
      </w:r>
      <w:r>
        <w:rPr>
          <w:rFonts w:ascii="Times New Roman" w:hAnsi="Times New Roman" w:cs="Times New Roman"/>
        </w:rPr>
        <w:t xml:space="preserve">Fang, C. </w:t>
      </w:r>
      <w:r>
        <w:rPr>
          <w:rFonts w:ascii="Times New Roman" w:hAnsi="Times New Roman" w:cs="Times New Roman"/>
          <w:i/>
          <w:iCs/>
        </w:rPr>
        <w:t>et al.</w:t>
      </w:r>
      <w:r>
        <w:rPr>
          <w:rFonts w:ascii="Times New Roman" w:hAnsi="Times New Roman" w:cs="Times New Roman"/>
        </w:rPr>
        <w:t xml:space="preserve"> Quantifying selective solvent transport under an electric field in mixed-solvent electrolytes. </w:t>
      </w:r>
      <w:r>
        <w:rPr>
          <w:rFonts w:ascii="Times New Roman" w:hAnsi="Times New Roman" w:cs="Times New Roman"/>
          <w:i/>
          <w:iCs/>
        </w:rPr>
        <w:t>Chem. Sci.</w:t>
      </w:r>
      <w:r>
        <w:rPr>
          <w:rFonts w:ascii="Times New Roman" w:hAnsi="Times New Roman" w:cs="Times New Roman"/>
        </w:rPr>
        <w:t xml:space="preserve"> </w:t>
      </w:r>
      <w:r>
        <w:rPr>
          <w:rFonts w:ascii="Times New Roman" w:hAnsi="Times New Roman" w:cs="Times New Roman"/>
          <w:b/>
          <w:bCs/>
        </w:rPr>
        <w:t>14</w:t>
      </w:r>
      <w:r>
        <w:rPr>
          <w:rFonts w:ascii="Times New Roman" w:hAnsi="Times New Roman" w:cs="Times New Roman"/>
        </w:rPr>
        <w:t>, 5332–5339 (2023).</w:t>
      </w:r>
    </w:p>
    <w:p w14:paraId="35785203">
      <w:pPr>
        <w:pStyle w:val="61"/>
        <w:spacing w:line="240" w:lineRule="auto"/>
        <w:rPr>
          <w:rFonts w:ascii="Times New Roman" w:hAnsi="Times New Roman" w:cs="Times New Roman"/>
        </w:rPr>
      </w:pPr>
      <w:r>
        <w:rPr>
          <w:rFonts w:ascii="Times New Roman" w:hAnsi="Times New Roman" w:cs="Times New Roman"/>
        </w:rPr>
        <w:t>22.</w:t>
      </w:r>
      <w:r>
        <w:rPr>
          <w:rFonts w:ascii="Times New Roman" w:hAnsi="Times New Roman" w:cs="Times New Roman"/>
        </w:rPr>
        <w:tab/>
      </w:r>
      <w:r>
        <w:rPr>
          <w:rFonts w:ascii="Times New Roman" w:hAnsi="Times New Roman" w:cs="Times New Roman"/>
        </w:rPr>
        <w:t xml:space="preserve">Szczęsna-Chrzan, A. </w:t>
      </w:r>
      <w:r>
        <w:rPr>
          <w:rFonts w:ascii="Times New Roman" w:hAnsi="Times New Roman" w:cs="Times New Roman"/>
          <w:i/>
          <w:iCs/>
        </w:rPr>
        <w:t>et al.</w:t>
      </w:r>
      <w:r>
        <w:rPr>
          <w:rFonts w:ascii="Times New Roman" w:hAnsi="Times New Roman" w:cs="Times New Roman"/>
        </w:rPr>
        <w:t xml:space="preserve"> Ionic conductivity, viscosity, and self-diffusion coefficients of novel imidazole salts for lithium-ion battery electrolytes. </w:t>
      </w:r>
      <w:r>
        <w:rPr>
          <w:rFonts w:ascii="Times New Roman" w:hAnsi="Times New Roman" w:cs="Times New Roman"/>
          <w:i/>
          <w:iCs/>
        </w:rPr>
        <w:t>J. Mater. Chem. A</w:t>
      </w:r>
      <w:r>
        <w:rPr>
          <w:rFonts w:ascii="Times New Roman" w:hAnsi="Times New Roman" w:cs="Times New Roman"/>
        </w:rPr>
        <w:t xml:space="preserve"> </w:t>
      </w:r>
      <w:r>
        <w:rPr>
          <w:rFonts w:ascii="Times New Roman" w:hAnsi="Times New Roman" w:cs="Times New Roman"/>
          <w:b/>
          <w:bCs/>
        </w:rPr>
        <w:t>11</w:t>
      </w:r>
      <w:r>
        <w:rPr>
          <w:rFonts w:ascii="Times New Roman" w:hAnsi="Times New Roman" w:cs="Times New Roman"/>
        </w:rPr>
        <w:t>, 13483–13492 (2023).</w:t>
      </w:r>
    </w:p>
    <w:p w14:paraId="63EEFEBA">
      <w:pPr>
        <w:pStyle w:val="61"/>
        <w:spacing w:line="240" w:lineRule="auto"/>
        <w:rPr>
          <w:rFonts w:ascii="Times New Roman" w:hAnsi="Times New Roman" w:cs="Times New Roman"/>
        </w:rPr>
      </w:pPr>
      <w:r>
        <w:rPr>
          <w:rFonts w:ascii="Times New Roman" w:hAnsi="Times New Roman" w:cs="Times New Roman"/>
        </w:rPr>
        <w:t>23.</w:t>
      </w:r>
      <w:r>
        <w:rPr>
          <w:rFonts w:ascii="Times New Roman" w:hAnsi="Times New Roman" w:cs="Times New Roman"/>
        </w:rPr>
        <w:tab/>
      </w:r>
      <w:r>
        <w:rPr>
          <w:rFonts w:ascii="Times New Roman" w:hAnsi="Times New Roman" w:cs="Times New Roman"/>
        </w:rPr>
        <w:t xml:space="preserve">Zhang, S. S., Jow, T. R., Amine, K. &amp; Henriksen, G. L. LiPF6–EC–EMC electrolyte for li-ion battery. </w:t>
      </w:r>
      <w:r>
        <w:rPr>
          <w:rFonts w:ascii="Times New Roman" w:hAnsi="Times New Roman" w:cs="Times New Roman"/>
          <w:i/>
          <w:iCs/>
        </w:rPr>
        <w:t>J. Power Sources</w:t>
      </w:r>
      <w:r>
        <w:rPr>
          <w:rFonts w:ascii="Times New Roman" w:hAnsi="Times New Roman" w:cs="Times New Roman"/>
        </w:rPr>
        <w:t xml:space="preserve"> </w:t>
      </w:r>
      <w:r>
        <w:rPr>
          <w:rFonts w:ascii="Times New Roman" w:hAnsi="Times New Roman" w:cs="Times New Roman"/>
          <w:b/>
          <w:bCs/>
        </w:rPr>
        <w:t>107</w:t>
      </w:r>
      <w:r>
        <w:rPr>
          <w:rFonts w:ascii="Times New Roman" w:hAnsi="Times New Roman" w:cs="Times New Roman"/>
        </w:rPr>
        <w:t>, 18–23 (2002).</w:t>
      </w:r>
    </w:p>
    <w:p w14:paraId="62AF03E7">
      <w:pPr>
        <w:pStyle w:val="61"/>
        <w:spacing w:line="240" w:lineRule="auto"/>
        <w:rPr>
          <w:rFonts w:ascii="Times New Roman" w:hAnsi="Times New Roman" w:cs="Times New Roman"/>
        </w:rPr>
      </w:pPr>
      <w:r>
        <w:rPr>
          <w:rFonts w:ascii="Times New Roman" w:hAnsi="Times New Roman" w:cs="Times New Roman"/>
        </w:rPr>
        <w:t>24.</w:t>
      </w:r>
      <w:r>
        <w:rPr>
          <w:rFonts w:ascii="Times New Roman" w:hAnsi="Times New Roman" w:cs="Times New Roman"/>
        </w:rPr>
        <w:tab/>
      </w:r>
      <w:r>
        <w:rPr>
          <w:rFonts w:ascii="Times New Roman" w:hAnsi="Times New Roman" w:cs="Times New Roman"/>
        </w:rPr>
        <w:t xml:space="preserve">Dave, A. </w:t>
      </w:r>
      <w:r>
        <w:rPr>
          <w:rFonts w:ascii="Times New Roman" w:hAnsi="Times New Roman" w:cs="Times New Roman"/>
          <w:i/>
          <w:iCs/>
        </w:rPr>
        <w:t>et al.</w:t>
      </w:r>
      <w:r>
        <w:rPr>
          <w:rFonts w:ascii="Times New Roman" w:hAnsi="Times New Roman" w:cs="Times New Roman"/>
        </w:rPr>
        <w:t xml:space="preserve"> Autonomous optimization of non-aqueous li-ion battery electrolytes via robotic experimentation and machine learning coupling. </w:t>
      </w:r>
      <w:r>
        <w:rPr>
          <w:rFonts w:ascii="Times New Roman" w:hAnsi="Times New Roman" w:cs="Times New Roman"/>
          <w:i/>
          <w:iCs/>
        </w:rPr>
        <w:t>Nat. Commun.</w:t>
      </w:r>
      <w:r>
        <w:rPr>
          <w:rFonts w:ascii="Times New Roman" w:hAnsi="Times New Roman" w:cs="Times New Roman"/>
        </w:rPr>
        <w:t xml:space="preserve"> </w:t>
      </w:r>
      <w:r>
        <w:rPr>
          <w:rFonts w:ascii="Times New Roman" w:hAnsi="Times New Roman" w:cs="Times New Roman"/>
          <w:b/>
          <w:bCs/>
        </w:rPr>
        <w:t>13</w:t>
      </w:r>
      <w:r>
        <w:rPr>
          <w:rFonts w:ascii="Times New Roman" w:hAnsi="Times New Roman" w:cs="Times New Roman"/>
        </w:rPr>
        <w:t>, 5454 (2022).</w:t>
      </w:r>
    </w:p>
    <w:p w14:paraId="6F35A90E">
      <w:pPr>
        <w:pStyle w:val="61"/>
        <w:spacing w:line="240" w:lineRule="auto"/>
        <w:rPr>
          <w:rFonts w:ascii="Times New Roman" w:hAnsi="Times New Roman" w:cs="Times New Roman"/>
        </w:rPr>
      </w:pPr>
      <w:r>
        <w:rPr>
          <w:rFonts w:ascii="Times New Roman" w:hAnsi="Times New Roman" w:cs="Times New Roman"/>
        </w:rPr>
        <w:t>25.</w:t>
      </w:r>
      <w:r>
        <w:rPr>
          <w:rFonts w:ascii="Times New Roman" w:hAnsi="Times New Roman" w:cs="Times New Roman"/>
        </w:rPr>
        <w:tab/>
      </w:r>
      <w:r>
        <w:rPr>
          <w:rFonts w:ascii="Times New Roman" w:hAnsi="Times New Roman" w:cs="Times New Roman"/>
        </w:rPr>
        <w:t xml:space="preserve">Perner, V. </w:t>
      </w:r>
      <w:r>
        <w:rPr>
          <w:rFonts w:ascii="Times New Roman" w:hAnsi="Times New Roman" w:cs="Times New Roman"/>
          <w:i/>
          <w:iCs/>
        </w:rPr>
        <w:t>et al.</w:t>
      </w:r>
      <w:r>
        <w:rPr>
          <w:rFonts w:ascii="Times New Roman" w:hAnsi="Times New Roman" w:cs="Times New Roman"/>
        </w:rPr>
        <w:t xml:space="preserve"> Insights into the solubility of poly(vinylphenothiazine) in carbonate-based battery electrolytes. </w:t>
      </w:r>
      <w:r>
        <w:rPr>
          <w:rFonts w:ascii="Times New Roman" w:hAnsi="Times New Roman" w:cs="Times New Roman"/>
          <w:i/>
          <w:iCs/>
        </w:rPr>
        <w:t>ACS Appl. Mater. Interfaces</w:t>
      </w:r>
      <w:r>
        <w:rPr>
          <w:rFonts w:ascii="Times New Roman" w:hAnsi="Times New Roman" w:cs="Times New Roman"/>
        </w:rPr>
        <w:t xml:space="preserve"> </w:t>
      </w:r>
      <w:r>
        <w:rPr>
          <w:rFonts w:ascii="Times New Roman" w:hAnsi="Times New Roman" w:cs="Times New Roman"/>
          <w:b/>
          <w:bCs/>
        </w:rPr>
        <w:t>13</w:t>
      </w:r>
      <w:r>
        <w:rPr>
          <w:rFonts w:ascii="Times New Roman" w:hAnsi="Times New Roman" w:cs="Times New Roman"/>
        </w:rPr>
        <w:t>, 12442–12453 (2021).</w:t>
      </w:r>
    </w:p>
    <w:p w14:paraId="78A36CC0">
      <w:pPr>
        <w:pStyle w:val="61"/>
        <w:spacing w:line="240" w:lineRule="auto"/>
        <w:rPr>
          <w:rFonts w:ascii="Times New Roman" w:hAnsi="Times New Roman" w:cs="Times New Roman"/>
        </w:rPr>
      </w:pPr>
      <w:r>
        <w:rPr>
          <w:rFonts w:ascii="Times New Roman" w:hAnsi="Times New Roman" w:cs="Times New Roman"/>
        </w:rPr>
        <w:t>26.</w:t>
      </w:r>
      <w:r>
        <w:rPr>
          <w:rFonts w:ascii="Times New Roman" w:hAnsi="Times New Roman" w:cs="Times New Roman"/>
        </w:rPr>
        <w:tab/>
      </w:r>
      <w:r>
        <w:rPr>
          <w:rFonts w:ascii="Times New Roman" w:hAnsi="Times New Roman" w:cs="Times New Roman"/>
        </w:rPr>
        <w:t xml:space="preserve">Han, X. </w:t>
      </w:r>
      <w:r>
        <w:rPr>
          <w:rFonts w:ascii="Times New Roman" w:hAnsi="Times New Roman" w:cs="Times New Roman"/>
          <w:i/>
          <w:iCs/>
        </w:rPr>
        <w:t>et al.</w:t>
      </w:r>
      <w:r>
        <w:rPr>
          <w:rFonts w:ascii="Times New Roman" w:hAnsi="Times New Roman" w:cs="Times New Roman"/>
        </w:rPr>
        <w:t xml:space="preserve"> Dilute electrolyte with vehicular aggregates for stable high‐energy lithium‐metal batteries. </w:t>
      </w:r>
      <w:r>
        <w:rPr>
          <w:rFonts w:ascii="Times New Roman" w:hAnsi="Times New Roman" w:cs="Times New Roman"/>
          <w:i/>
          <w:iCs/>
        </w:rPr>
        <w:t>Adv. Mater.</w:t>
      </w:r>
      <w:r>
        <w:rPr>
          <w:rFonts w:ascii="Times New Roman" w:hAnsi="Times New Roman" w:cs="Times New Roman"/>
        </w:rPr>
        <w:t xml:space="preserve"> </w:t>
      </w:r>
      <w:r>
        <w:rPr>
          <w:rFonts w:ascii="Times New Roman" w:hAnsi="Times New Roman" w:cs="Times New Roman"/>
          <w:b/>
          <w:bCs/>
        </w:rPr>
        <w:t>38</w:t>
      </w:r>
      <w:r>
        <w:rPr>
          <w:rFonts w:ascii="Times New Roman" w:hAnsi="Times New Roman" w:cs="Times New Roman"/>
        </w:rPr>
        <w:t>, e12236 (2026).</w:t>
      </w:r>
    </w:p>
    <w:p w14:paraId="30900CE5">
      <w:pPr>
        <w:pStyle w:val="61"/>
        <w:spacing w:line="240" w:lineRule="auto"/>
        <w:rPr>
          <w:rFonts w:ascii="Times New Roman" w:hAnsi="Times New Roman" w:cs="Times New Roman"/>
        </w:rPr>
      </w:pPr>
      <w:r>
        <w:rPr>
          <w:rFonts w:ascii="Times New Roman" w:hAnsi="Times New Roman" w:cs="Times New Roman"/>
        </w:rPr>
        <w:t>27.</w:t>
      </w:r>
      <w:r>
        <w:rPr>
          <w:rFonts w:ascii="Times New Roman" w:hAnsi="Times New Roman" w:cs="Times New Roman"/>
        </w:rPr>
        <w:tab/>
      </w:r>
      <w:r>
        <w:rPr>
          <w:rFonts w:ascii="Times New Roman" w:hAnsi="Times New Roman" w:cs="Times New Roman"/>
        </w:rPr>
        <w:t xml:space="preserve">Xue, W. </w:t>
      </w:r>
      <w:r>
        <w:rPr>
          <w:rFonts w:ascii="Times New Roman" w:hAnsi="Times New Roman" w:cs="Times New Roman"/>
          <w:i/>
          <w:iCs/>
        </w:rPr>
        <w:t>et al.</w:t>
      </w:r>
      <w:r>
        <w:rPr>
          <w:rFonts w:ascii="Times New Roman" w:hAnsi="Times New Roman" w:cs="Times New Roman"/>
        </w:rPr>
        <w:t xml:space="preserve"> Ultra-high-voltage ni-rich layered cathodes in practical li metal batteries enabled by a sulfonamide-based electrolyte. </w:t>
      </w:r>
      <w:r>
        <w:rPr>
          <w:rFonts w:ascii="Times New Roman" w:hAnsi="Times New Roman" w:cs="Times New Roman"/>
          <w:i/>
          <w:iCs/>
        </w:rPr>
        <w:t>Nat. Energy</w:t>
      </w:r>
      <w:r>
        <w:rPr>
          <w:rFonts w:ascii="Times New Roman" w:hAnsi="Times New Roman" w:cs="Times New Roman"/>
        </w:rPr>
        <w:t xml:space="preserve"> </w:t>
      </w:r>
      <w:r>
        <w:rPr>
          <w:rFonts w:ascii="Times New Roman" w:hAnsi="Times New Roman" w:cs="Times New Roman"/>
          <w:b/>
          <w:bCs/>
        </w:rPr>
        <w:t>6</w:t>
      </w:r>
      <w:r>
        <w:rPr>
          <w:rFonts w:ascii="Times New Roman" w:hAnsi="Times New Roman" w:cs="Times New Roman"/>
        </w:rPr>
        <w:t>, 495–505 (2021).</w:t>
      </w:r>
    </w:p>
    <w:p w14:paraId="214B6C82">
      <w:pPr>
        <w:pStyle w:val="61"/>
        <w:spacing w:line="240" w:lineRule="auto"/>
        <w:rPr>
          <w:rFonts w:ascii="Times New Roman" w:hAnsi="Times New Roman" w:cs="Times New Roman"/>
        </w:rPr>
      </w:pPr>
      <w:r>
        <w:rPr>
          <w:rFonts w:ascii="Times New Roman" w:hAnsi="Times New Roman" w:cs="Times New Roman"/>
        </w:rPr>
        <w:t>28.</w:t>
      </w:r>
      <w:r>
        <w:rPr>
          <w:rFonts w:ascii="Times New Roman" w:hAnsi="Times New Roman" w:cs="Times New Roman"/>
        </w:rPr>
        <w:tab/>
      </w:r>
      <w:r>
        <w:rPr>
          <w:rFonts w:ascii="Times New Roman" w:hAnsi="Times New Roman" w:cs="Times New Roman"/>
        </w:rPr>
        <w:t xml:space="preserve">Cui, X. </w:t>
      </w:r>
      <w:r>
        <w:rPr>
          <w:rFonts w:ascii="Times New Roman" w:hAnsi="Times New Roman" w:cs="Times New Roman"/>
          <w:i/>
          <w:iCs/>
        </w:rPr>
        <w:t>et al.</w:t>
      </w:r>
      <w:r>
        <w:rPr>
          <w:rFonts w:ascii="Times New Roman" w:hAnsi="Times New Roman" w:cs="Times New Roman"/>
        </w:rPr>
        <w:t xml:space="preserve"> 4.2 V O3‐layered cathodes in sodium‐ion pouch cells enabled by an intermolecular‐reinforced ether electrolyte. </w:t>
      </w:r>
      <w:r>
        <w:rPr>
          <w:rFonts w:ascii="Times New Roman" w:hAnsi="Times New Roman" w:cs="Times New Roman"/>
          <w:i/>
          <w:iCs/>
        </w:rPr>
        <w:t>Adv. Mater.</w:t>
      </w:r>
      <w:r>
        <w:rPr>
          <w:rFonts w:ascii="Times New Roman" w:hAnsi="Times New Roman" w:cs="Times New Roman"/>
        </w:rPr>
        <w:t xml:space="preserve"> </w:t>
      </w:r>
      <w:r>
        <w:rPr>
          <w:rFonts w:ascii="Times New Roman" w:hAnsi="Times New Roman" w:cs="Times New Roman"/>
          <w:b/>
          <w:bCs/>
        </w:rPr>
        <w:t>37</w:t>
      </w:r>
      <w:r>
        <w:rPr>
          <w:rFonts w:ascii="Times New Roman" w:hAnsi="Times New Roman" w:cs="Times New Roman"/>
        </w:rPr>
        <w:t>, 2415611 (2025).</w:t>
      </w:r>
    </w:p>
    <w:p w14:paraId="658E7D5C">
      <w:pPr>
        <w:pStyle w:val="61"/>
        <w:spacing w:line="240" w:lineRule="auto"/>
        <w:rPr>
          <w:rFonts w:ascii="Times New Roman" w:hAnsi="Times New Roman" w:cs="Times New Roman"/>
        </w:rPr>
      </w:pPr>
      <w:r>
        <w:rPr>
          <w:rFonts w:ascii="Times New Roman" w:hAnsi="Times New Roman" w:cs="Times New Roman"/>
        </w:rPr>
        <w:t>29.</w:t>
      </w:r>
      <w:r>
        <w:rPr>
          <w:rFonts w:ascii="Times New Roman" w:hAnsi="Times New Roman" w:cs="Times New Roman"/>
        </w:rPr>
        <w:tab/>
      </w:r>
      <w:r>
        <w:rPr>
          <w:rFonts w:ascii="Times New Roman" w:hAnsi="Times New Roman" w:cs="Times New Roman"/>
        </w:rPr>
        <w:t xml:space="preserve">Bayly, C. I., Cieplak, P., Cornell, W. &amp; Kollman, P. A. A well-behaved electrostatic potential based method using charge restraints for deriving atomic charges: the RESP model. </w:t>
      </w:r>
      <w:r>
        <w:rPr>
          <w:rFonts w:ascii="Times New Roman" w:hAnsi="Times New Roman" w:cs="Times New Roman"/>
          <w:i/>
          <w:iCs/>
        </w:rPr>
        <w:t>J. Phys. Chem.</w:t>
      </w:r>
      <w:r>
        <w:rPr>
          <w:rFonts w:ascii="Times New Roman" w:hAnsi="Times New Roman" w:cs="Times New Roman"/>
        </w:rPr>
        <w:t xml:space="preserve"> </w:t>
      </w:r>
      <w:r>
        <w:rPr>
          <w:rFonts w:ascii="Times New Roman" w:hAnsi="Times New Roman" w:cs="Times New Roman"/>
          <w:b/>
          <w:bCs/>
        </w:rPr>
        <w:t>97</w:t>
      </w:r>
      <w:r>
        <w:rPr>
          <w:rFonts w:ascii="Times New Roman" w:hAnsi="Times New Roman" w:cs="Times New Roman"/>
        </w:rPr>
        <w:t>, 10269–10280 (1993).</w:t>
      </w:r>
    </w:p>
    <w:p w14:paraId="266C0CDD">
      <w:pPr>
        <w:pStyle w:val="61"/>
        <w:spacing w:line="240" w:lineRule="auto"/>
        <w:rPr>
          <w:rFonts w:ascii="Times New Roman" w:hAnsi="Times New Roman" w:cs="Times New Roman"/>
        </w:rPr>
      </w:pPr>
      <w:r>
        <w:rPr>
          <w:rFonts w:ascii="Times New Roman" w:hAnsi="Times New Roman" w:cs="Times New Roman"/>
        </w:rPr>
        <w:t>30.</w:t>
      </w:r>
      <w:r>
        <w:rPr>
          <w:rFonts w:ascii="Times New Roman" w:hAnsi="Times New Roman" w:cs="Times New Roman"/>
        </w:rPr>
        <w:tab/>
      </w:r>
      <w:r>
        <w:rPr>
          <w:rFonts w:ascii="Times New Roman" w:hAnsi="Times New Roman" w:cs="Times New Roman"/>
        </w:rPr>
        <w:t xml:space="preserve">Dodda, L. S., Vilseck, J. Z., Tirado-Rives, J. &amp; Jorgensen, W. L. 1.14*CM1A-LBCC: Localized bond-charge corrected CM1A charges for condensed-phase simulations. </w:t>
      </w:r>
      <w:r>
        <w:rPr>
          <w:rFonts w:ascii="Times New Roman" w:hAnsi="Times New Roman" w:cs="Times New Roman"/>
          <w:i/>
          <w:iCs/>
        </w:rPr>
        <w:t>J. Phys. Chem. B</w:t>
      </w:r>
      <w:r>
        <w:rPr>
          <w:rFonts w:ascii="Times New Roman" w:hAnsi="Times New Roman" w:cs="Times New Roman"/>
        </w:rPr>
        <w:t xml:space="preserve"> </w:t>
      </w:r>
      <w:r>
        <w:rPr>
          <w:rFonts w:ascii="Times New Roman" w:hAnsi="Times New Roman" w:cs="Times New Roman"/>
          <w:b/>
          <w:bCs/>
        </w:rPr>
        <w:t>121</w:t>
      </w:r>
      <w:r>
        <w:rPr>
          <w:rFonts w:ascii="Times New Roman" w:hAnsi="Times New Roman" w:cs="Times New Roman"/>
        </w:rPr>
        <w:t>, 3864–3870 (2017).</w:t>
      </w:r>
    </w:p>
    <w:p w14:paraId="1A3636FB">
      <w:pPr>
        <w:pStyle w:val="61"/>
        <w:spacing w:line="240" w:lineRule="auto"/>
        <w:rPr>
          <w:rFonts w:ascii="Times New Roman" w:hAnsi="Times New Roman" w:cs="Times New Roman"/>
        </w:rPr>
      </w:pPr>
      <w:r>
        <w:rPr>
          <w:rFonts w:ascii="Times New Roman" w:hAnsi="Times New Roman" w:cs="Times New Roman"/>
        </w:rPr>
        <w:t>31.</w:t>
      </w:r>
      <w:r>
        <w:rPr>
          <w:rFonts w:ascii="Times New Roman" w:hAnsi="Times New Roman" w:cs="Times New Roman"/>
        </w:rPr>
        <w:tab/>
      </w:r>
      <w:r>
        <w:rPr>
          <w:rFonts w:ascii="Times New Roman" w:hAnsi="Times New Roman" w:cs="Times New Roman"/>
        </w:rPr>
        <w:t xml:space="preserve">Jorgensen, W. L. &amp; Tirado-Rives, J. Potential energy functions for atomic-level simulations of water and organic and biomolecular systems. </w:t>
      </w:r>
      <w:r>
        <w:rPr>
          <w:rFonts w:ascii="Times New Roman" w:hAnsi="Times New Roman" w:cs="Times New Roman"/>
          <w:i/>
          <w:iCs/>
        </w:rPr>
        <w:t>Proc. Natl. Acad. Sci.</w:t>
      </w:r>
      <w:r>
        <w:rPr>
          <w:rFonts w:ascii="Times New Roman" w:hAnsi="Times New Roman" w:cs="Times New Roman"/>
        </w:rPr>
        <w:t xml:space="preserve"> </w:t>
      </w:r>
      <w:r>
        <w:rPr>
          <w:rFonts w:ascii="Times New Roman" w:hAnsi="Times New Roman" w:cs="Times New Roman"/>
          <w:b/>
          <w:bCs/>
        </w:rPr>
        <w:t>102</w:t>
      </w:r>
      <w:r>
        <w:rPr>
          <w:rFonts w:ascii="Times New Roman" w:hAnsi="Times New Roman" w:cs="Times New Roman"/>
        </w:rPr>
        <w:t>, 6665–6670 (2005).</w:t>
      </w:r>
    </w:p>
    <w:p w14:paraId="2CE7F39B">
      <w:pPr>
        <w:pStyle w:val="61"/>
        <w:spacing w:line="240" w:lineRule="auto"/>
        <w:rPr>
          <w:rFonts w:ascii="Times New Roman" w:hAnsi="Times New Roman" w:cs="Times New Roman"/>
        </w:rPr>
      </w:pPr>
      <w:r>
        <w:rPr>
          <w:rFonts w:ascii="Times New Roman" w:hAnsi="Times New Roman" w:cs="Times New Roman"/>
        </w:rPr>
        <w:t>32.</w:t>
      </w:r>
      <w:r>
        <w:rPr>
          <w:rFonts w:ascii="Times New Roman" w:hAnsi="Times New Roman" w:cs="Times New Roman"/>
        </w:rPr>
        <w:tab/>
      </w:r>
      <w:r>
        <w:rPr>
          <w:rFonts w:ascii="Times New Roman" w:hAnsi="Times New Roman" w:cs="Times New Roman"/>
        </w:rPr>
        <w:t xml:space="preserve">Dodda, L. S., Cabeza de Vaca, I., Tirado-Rives, J. &amp; Jorgensen, W. L. LigParGen web server: An automatic OPLS-AA parameter generator for organic ligands. </w:t>
      </w:r>
      <w:r>
        <w:rPr>
          <w:rFonts w:ascii="Times New Roman" w:hAnsi="Times New Roman" w:cs="Times New Roman"/>
          <w:i/>
          <w:iCs/>
        </w:rPr>
        <w:t>Nucleic Acids Res.</w:t>
      </w:r>
      <w:r>
        <w:rPr>
          <w:rFonts w:ascii="Times New Roman" w:hAnsi="Times New Roman" w:cs="Times New Roman"/>
        </w:rPr>
        <w:t xml:space="preserve"> </w:t>
      </w:r>
      <w:r>
        <w:rPr>
          <w:rFonts w:ascii="Times New Roman" w:hAnsi="Times New Roman" w:cs="Times New Roman"/>
          <w:b/>
          <w:bCs/>
        </w:rPr>
        <w:t>45</w:t>
      </w:r>
      <w:r>
        <w:rPr>
          <w:rFonts w:ascii="Times New Roman" w:hAnsi="Times New Roman" w:cs="Times New Roman"/>
        </w:rPr>
        <w:t>, W331–W336 (2017).</w:t>
      </w:r>
    </w:p>
    <w:p w14:paraId="59795288">
      <w:pPr>
        <w:pStyle w:val="61"/>
        <w:spacing w:line="240" w:lineRule="auto"/>
        <w:rPr>
          <w:rFonts w:ascii="Times New Roman" w:hAnsi="Times New Roman" w:cs="Times New Roman"/>
        </w:rPr>
      </w:pPr>
      <w:r>
        <w:rPr>
          <w:rFonts w:ascii="Times New Roman" w:hAnsi="Times New Roman" w:cs="Times New Roman"/>
        </w:rPr>
        <w:t>33.</w:t>
      </w:r>
      <w:r>
        <w:rPr>
          <w:rFonts w:ascii="Times New Roman" w:hAnsi="Times New Roman" w:cs="Times New Roman"/>
        </w:rPr>
        <w:tab/>
      </w:r>
      <w:r>
        <w:rPr>
          <w:rFonts w:ascii="Times New Roman" w:hAnsi="Times New Roman" w:cs="Times New Roman"/>
        </w:rPr>
        <w:t xml:space="preserve">Marenich, A. V., Jerome, S. V., Cramer, C. J. &amp; Truhlar, D. G. Charge model 5: An extension of hirshfeld population analysis for the accurate description of molecular interactions in gaseous and condensed phases. </w:t>
      </w:r>
      <w:r>
        <w:rPr>
          <w:rFonts w:ascii="Times New Roman" w:hAnsi="Times New Roman" w:cs="Times New Roman"/>
          <w:i/>
          <w:iCs/>
        </w:rPr>
        <w:t>J. Chem. Theory Comput.</w:t>
      </w:r>
      <w:r>
        <w:rPr>
          <w:rFonts w:ascii="Times New Roman" w:hAnsi="Times New Roman" w:cs="Times New Roman"/>
        </w:rPr>
        <w:t xml:space="preserve"> </w:t>
      </w:r>
      <w:r>
        <w:rPr>
          <w:rFonts w:ascii="Times New Roman" w:hAnsi="Times New Roman" w:cs="Times New Roman"/>
          <w:b/>
          <w:bCs/>
        </w:rPr>
        <w:t>8</w:t>
      </w:r>
      <w:r>
        <w:rPr>
          <w:rFonts w:ascii="Times New Roman" w:hAnsi="Times New Roman" w:cs="Times New Roman"/>
        </w:rPr>
        <w:t>, 527–541 (2012).</w:t>
      </w:r>
    </w:p>
    <w:p w14:paraId="1E60015A">
      <w:pPr>
        <w:pStyle w:val="61"/>
        <w:spacing w:line="240" w:lineRule="auto"/>
        <w:rPr>
          <w:rFonts w:ascii="Times New Roman" w:hAnsi="Times New Roman" w:cs="Times New Roman"/>
        </w:rPr>
      </w:pPr>
      <w:r>
        <w:rPr>
          <w:rFonts w:ascii="Times New Roman" w:hAnsi="Times New Roman" w:cs="Times New Roman"/>
        </w:rPr>
        <w:t>34.</w:t>
      </w:r>
      <w:r>
        <w:rPr>
          <w:rFonts w:ascii="Times New Roman" w:hAnsi="Times New Roman" w:cs="Times New Roman"/>
        </w:rPr>
        <w:tab/>
      </w:r>
      <w:r>
        <w:rPr>
          <w:rFonts w:ascii="Times New Roman" w:hAnsi="Times New Roman" w:cs="Times New Roman"/>
        </w:rPr>
        <w:t xml:space="preserve">Stephens, P. J., Devlin, F. J., Chabalowski, C. F. &amp; Frisch, M. J. Ab initio calculation of vibrational absorption and circular dichroism spectra using density functional force fields. </w:t>
      </w:r>
      <w:r>
        <w:rPr>
          <w:rFonts w:ascii="Times New Roman" w:hAnsi="Times New Roman" w:cs="Times New Roman"/>
          <w:i/>
          <w:iCs/>
        </w:rPr>
        <w:t>J. Phys. Chem.</w:t>
      </w:r>
      <w:r>
        <w:rPr>
          <w:rFonts w:ascii="Times New Roman" w:hAnsi="Times New Roman" w:cs="Times New Roman"/>
        </w:rPr>
        <w:t xml:space="preserve"> </w:t>
      </w:r>
      <w:r>
        <w:rPr>
          <w:rFonts w:ascii="Times New Roman" w:hAnsi="Times New Roman" w:cs="Times New Roman"/>
          <w:b/>
          <w:bCs/>
        </w:rPr>
        <w:t>98</w:t>
      </w:r>
      <w:r>
        <w:rPr>
          <w:rFonts w:ascii="Times New Roman" w:hAnsi="Times New Roman" w:cs="Times New Roman"/>
        </w:rPr>
        <w:t>, 11623–11627 (1994).</w:t>
      </w:r>
    </w:p>
    <w:p w14:paraId="64209A48">
      <w:pPr>
        <w:pStyle w:val="61"/>
        <w:spacing w:line="240" w:lineRule="auto"/>
        <w:rPr>
          <w:rFonts w:ascii="Times New Roman" w:hAnsi="Times New Roman" w:cs="Times New Roman"/>
        </w:rPr>
      </w:pPr>
      <w:r>
        <w:rPr>
          <w:rFonts w:ascii="Times New Roman" w:hAnsi="Times New Roman" w:cs="Times New Roman"/>
        </w:rPr>
        <w:t>35.</w:t>
      </w:r>
      <w:r>
        <w:rPr>
          <w:rFonts w:ascii="Times New Roman" w:hAnsi="Times New Roman" w:cs="Times New Roman"/>
        </w:rPr>
        <w:tab/>
      </w:r>
      <w:r>
        <w:rPr>
          <w:rFonts w:ascii="Times New Roman" w:hAnsi="Times New Roman" w:cs="Times New Roman"/>
        </w:rPr>
        <w:t xml:space="preserve">Weigend, F. &amp; Ahlrichs, R. Balanced basis sets of split valence, triple zeta valence and quadruple zeta valence quality for H to rn: design and assessment of accuracy. </w:t>
      </w:r>
      <w:r>
        <w:rPr>
          <w:rFonts w:ascii="Times New Roman" w:hAnsi="Times New Roman" w:cs="Times New Roman"/>
          <w:i/>
          <w:iCs/>
        </w:rPr>
        <w:t>Phys. Chem. Chem. Phys.</w:t>
      </w:r>
      <w:r>
        <w:rPr>
          <w:rFonts w:ascii="Times New Roman" w:hAnsi="Times New Roman" w:cs="Times New Roman"/>
        </w:rPr>
        <w:t xml:space="preserve"> </w:t>
      </w:r>
      <w:r>
        <w:rPr>
          <w:rFonts w:ascii="Times New Roman" w:hAnsi="Times New Roman" w:cs="Times New Roman"/>
          <w:b/>
          <w:bCs/>
        </w:rPr>
        <w:t>7</w:t>
      </w:r>
      <w:r>
        <w:rPr>
          <w:rFonts w:ascii="Times New Roman" w:hAnsi="Times New Roman" w:cs="Times New Roman"/>
        </w:rPr>
        <w:t>, 3297 (2005).</w:t>
      </w:r>
    </w:p>
    <w:p w14:paraId="51CBAC06">
      <w:pPr>
        <w:pStyle w:val="61"/>
        <w:spacing w:line="240" w:lineRule="auto"/>
        <w:rPr>
          <w:rFonts w:ascii="Times New Roman" w:hAnsi="Times New Roman" w:cs="Times New Roman"/>
        </w:rPr>
      </w:pPr>
      <w:r>
        <w:rPr>
          <w:rFonts w:ascii="Times New Roman" w:hAnsi="Times New Roman" w:cs="Times New Roman"/>
        </w:rPr>
        <w:t>36.</w:t>
      </w:r>
      <w:r>
        <w:rPr>
          <w:rFonts w:ascii="Times New Roman" w:hAnsi="Times New Roman" w:cs="Times New Roman"/>
        </w:rPr>
        <w:tab/>
      </w:r>
      <w:r>
        <w:rPr>
          <w:rFonts w:ascii="Times New Roman" w:hAnsi="Times New Roman" w:cs="Times New Roman"/>
        </w:rPr>
        <w:t xml:space="preserve">Schäfer, A., Horn, H. &amp; Ahlrichs, R. Fully optimized contracted gaussian basis sets for atoms Li to Kr.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97</w:t>
      </w:r>
      <w:r>
        <w:rPr>
          <w:rFonts w:ascii="Times New Roman" w:hAnsi="Times New Roman" w:cs="Times New Roman"/>
        </w:rPr>
        <w:t>, 2571–2577 (1992).</w:t>
      </w:r>
    </w:p>
    <w:p w14:paraId="0D93434A">
      <w:pPr>
        <w:pStyle w:val="61"/>
        <w:spacing w:line="240" w:lineRule="auto"/>
        <w:rPr>
          <w:rFonts w:ascii="Times New Roman" w:hAnsi="Times New Roman" w:cs="Times New Roman"/>
        </w:rPr>
      </w:pPr>
      <w:r>
        <w:rPr>
          <w:rFonts w:ascii="Times New Roman" w:hAnsi="Times New Roman" w:cs="Times New Roman"/>
        </w:rPr>
        <w:t>37.</w:t>
      </w:r>
      <w:r>
        <w:rPr>
          <w:rFonts w:ascii="Times New Roman" w:hAnsi="Times New Roman" w:cs="Times New Roman"/>
        </w:rPr>
        <w:tab/>
      </w:r>
      <w:r>
        <w:rPr>
          <w:rFonts w:ascii="Times New Roman" w:hAnsi="Times New Roman" w:cs="Times New Roman"/>
        </w:rPr>
        <w:t xml:space="preserve">Grimme, S., Ehrlich, S. &amp; Goerigk, L. Effect of the damping function in dispersion corrected density functional theory. </w:t>
      </w:r>
      <w:r>
        <w:rPr>
          <w:rFonts w:ascii="Times New Roman" w:hAnsi="Times New Roman" w:cs="Times New Roman"/>
          <w:i/>
          <w:iCs/>
        </w:rPr>
        <w:t>J. Comput. Chem.</w:t>
      </w:r>
      <w:r>
        <w:rPr>
          <w:rFonts w:ascii="Times New Roman" w:hAnsi="Times New Roman" w:cs="Times New Roman"/>
        </w:rPr>
        <w:t xml:space="preserve"> </w:t>
      </w:r>
      <w:r>
        <w:rPr>
          <w:rFonts w:ascii="Times New Roman" w:hAnsi="Times New Roman" w:cs="Times New Roman"/>
          <w:b/>
          <w:bCs/>
        </w:rPr>
        <w:t>32</w:t>
      </w:r>
      <w:r>
        <w:rPr>
          <w:rFonts w:ascii="Times New Roman" w:hAnsi="Times New Roman" w:cs="Times New Roman"/>
        </w:rPr>
        <w:t>, 1456–1465 (2011).</w:t>
      </w:r>
    </w:p>
    <w:p w14:paraId="658930F1">
      <w:pPr>
        <w:pStyle w:val="61"/>
        <w:spacing w:line="240" w:lineRule="auto"/>
        <w:rPr>
          <w:rFonts w:ascii="Times New Roman" w:hAnsi="Times New Roman" w:cs="Times New Roman"/>
        </w:rPr>
      </w:pPr>
      <w:r>
        <w:rPr>
          <w:rFonts w:ascii="Times New Roman" w:hAnsi="Times New Roman" w:cs="Times New Roman"/>
        </w:rPr>
        <w:t>38.</w:t>
      </w:r>
      <w:r>
        <w:rPr>
          <w:rFonts w:ascii="Times New Roman" w:hAnsi="Times New Roman" w:cs="Times New Roman"/>
        </w:rPr>
        <w:tab/>
      </w:r>
      <w:r>
        <w:rPr>
          <w:rFonts w:ascii="Times New Roman" w:hAnsi="Times New Roman" w:cs="Times New Roman"/>
        </w:rPr>
        <w:t xml:space="preserve">Grimme, S., Antony, J., Ehrlich, S. &amp; Krieg, H. A consistent and accurate </w:t>
      </w:r>
      <w:r>
        <w:rPr>
          <w:rFonts w:ascii="Times New Roman" w:hAnsi="Times New Roman" w:cs="Times New Roman"/>
          <w:i/>
          <w:iCs/>
        </w:rPr>
        <w:t>ab initio</w:t>
      </w:r>
      <w:r>
        <w:rPr>
          <w:rFonts w:ascii="Times New Roman" w:hAnsi="Times New Roman" w:cs="Times New Roman"/>
        </w:rPr>
        <w:t xml:space="preserve"> parametrization of density functional dispersion correction (DFT-D) for the 94 elements H-pu.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132</w:t>
      </w:r>
      <w:r>
        <w:rPr>
          <w:rFonts w:ascii="Times New Roman" w:hAnsi="Times New Roman" w:cs="Times New Roman"/>
        </w:rPr>
        <w:t>, 154104 (2010).</w:t>
      </w:r>
    </w:p>
    <w:p w14:paraId="5B277D31">
      <w:pPr>
        <w:pStyle w:val="61"/>
        <w:spacing w:line="240" w:lineRule="auto"/>
        <w:rPr>
          <w:rFonts w:ascii="Times New Roman" w:hAnsi="Times New Roman" w:cs="Times New Roman"/>
        </w:rPr>
      </w:pPr>
      <w:r>
        <w:rPr>
          <w:rFonts w:ascii="Times New Roman" w:hAnsi="Times New Roman" w:cs="Times New Roman"/>
        </w:rPr>
        <w:t>39.</w:t>
      </w:r>
      <w:r>
        <w:rPr>
          <w:rFonts w:ascii="Times New Roman" w:hAnsi="Times New Roman" w:cs="Times New Roman"/>
        </w:rPr>
        <w:tab/>
      </w:r>
      <w:r>
        <w:rPr>
          <w:rFonts w:ascii="Times New Roman" w:hAnsi="Times New Roman" w:cs="Times New Roman"/>
        </w:rPr>
        <w:t xml:space="preserve">Schäfer, A., Huber, C. &amp; Ahlrichs, R. Fully optimized contracted gaussian basis sets of triple zeta valence quality for atoms li to kr.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100</w:t>
      </w:r>
      <w:r>
        <w:rPr>
          <w:rFonts w:ascii="Times New Roman" w:hAnsi="Times New Roman" w:cs="Times New Roman"/>
        </w:rPr>
        <w:t>, 5829–5835 (1994).</w:t>
      </w:r>
    </w:p>
    <w:p w14:paraId="14FAB35E">
      <w:pPr>
        <w:pStyle w:val="61"/>
        <w:spacing w:line="240" w:lineRule="auto"/>
        <w:rPr>
          <w:rFonts w:ascii="Times New Roman" w:hAnsi="Times New Roman" w:cs="Times New Roman"/>
        </w:rPr>
      </w:pPr>
      <w:r>
        <w:rPr>
          <w:rFonts w:ascii="Times New Roman" w:hAnsi="Times New Roman" w:cs="Times New Roman"/>
        </w:rPr>
        <w:t>40.</w:t>
      </w:r>
      <w:r>
        <w:rPr>
          <w:rFonts w:ascii="Times New Roman" w:hAnsi="Times New Roman" w:cs="Times New Roman"/>
        </w:rPr>
        <w:tab/>
      </w:r>
      <w:r>
        <w:rPr>
          <w:rFonts w:ascii="Times New Roman" w:hAnsi="Times New Roman" w:cs="Times New Roman"/>
        </w:rPr>
        <w:t xml:space="preserve">He, X. </w:t>
      </w:r>
      <w:r>
        <w:rPr>
          <w:rFonts w:ascii="Times New Roman" w:hAnsi="Times New Roman" w:cs="Times New Roman"/>
          <w:i/>
          <w:iCs/>
        </w:rPr>
        <w:t>et al.</w:t>
      </w:r>
      <w:r>
        <w:rPr>
          <w:rFonts w:ascii="Times New Roman" w:hAnsi="Times New Roman" w:cs="Times New Roman"/>
        </w:rPr>
        <w:t xml:space="preserve"> Improving the reliability of classical molecular dynamics simulations in battery electrolyte design. </w:t>
      </w:r>
      <w:r>
        <w:rPr>
          <w:rFonts w:ascii="Times New Roman" w:hAnsi="Times New Roman" w:cs="Times New Roman"/>
          <w:i/>
          <w:iCs/>
        </w:rPr>
        <w:t>J. Energy Chem.</w:t>
      </w:r>
      <w:r>
        <w:rPr>
          <w:rFonts w:ascii="Times New Roman" w:hAnsi="Times New Roman" w:cs="Times New Roman"/>
        </w:rPr>
        <w:t xml:space="preserve"> </w:t>
      </w:r>
      <w:r>
        <w:rPr>
          <w:rFonts w:ascii="Times New Roman" w:hAnsi="Times New Roman" w:cs="Times New Roman"/>
          <w:b/>
          <w:bCs/>
        </w:rPr>
        <w:t>101</w:t>
      </w:r>
      <w:r>
        <w:rPr>
          <w:rFonts w:ascii="Times New Roman" w:hAnsi="Times New Roman" w:cs="Times New Roman"/>
        </w:rPr>
        <w:t>, 34–41 (2025).</w:t>
      </w:r>
    </w:p>
    <w:p w14:paraId="70BFEC92">
      <w:pPr>
        <w:pStyle w:val="61"/>
        <w:spacing w:line="240" w:lineRule="auto"/>
        <w:rPr>
          <w:rFonts w:ascii="Times New Roman" w:hAnsi="Times New Roman" w:cs="Times New Roman"/>
        </w:rPr>
      </w:pPr>
      <w:r>
        <w:rPr>
          <w:rFonts w:ascii="Times New Roman" w:hAnsi="Times New Roman" w:cs="Times New Roman"/>
        </w:rPr>
        <w:t>41.</w:t>
      </w:r>
      <w:r>
        <w:rPr>
          <w:rFonts w:ascii="Times New Roman" w:hAnsi="Times New Roman" w:cs="Times New Roman"/>
        </w:rPr>
        <w:tab/>
      </w:r>
      <w:r>
        <w:rPr>
          <w:rFonts w:ascii="Times New Roman" w:hAnsi="Times New Roman" w:cs="Times New Roman"/>
        </w:rPr>
        <w:t xml:space="preserve">Wu, Y. </w:t>
      </w:r>
      <w:r>
        <w:rPr>
          <w:rFonts w:ascii="Times New Roman" w:hAnsi="Times New Roman" w:cs="Times New Roman"/>
          <w:i/>
          <w:iCs/>
        </w:rPr>
        <w:t>et al.</w:t>
      </w:r>
      <w:r>
        <w:rPr>
          <w:rFonts w:ascii="Times New Roman" w:hAnsi="Times New Roman" w:cs="Times New Roman"/>
        </w:rPr>
        <w:t xml:space="preserve"> Electrostatic potential as solvent descriptor to enable rational electrolyte design for lithium batteries. </w:t>
      </w:r>
      <w:r>
        <w:rPr>
          <w:rFonts w:ascii="Times New Roman" w:hAnsi="Times New Roman" w:cs="Times New Roman"/>
          <w:i/>
          <w:iCs/>
        </w:rPr>
        <w:t>Adv. Energy Mater.</w:t>
      </w:r>
      <w:r>
        <w:rPr>
          <w:rFonts w:ascii="Times New Roman" w:hAnsi="Times New Roman" w:cs="Times New Roman"/>
        </w:rPr>
        <w:t xml:space="preserve"> </w:t>
      </w:r>
      <w:r>
        <w:rPr>
          <w:rFonts w:ascii="Times New Roman" w:hAnsi="Times New Roman" w:cs="Times New Roman"/>
          <w:b/>
          <w:bCs/>
        </w:rPr>
        <w:t>13</w:t>
      </w:r>
      <w:r>
        <w:rPr>
          <w:rFonts w:ascii="Times New Roman" w:hAnsi="Times New Roman" w:cs="Times New Roman"/>
        </w:rPr>
        <w:t>, (2023).</w:t>
      </w:r>
    </w:p>
    <w:p w14:paraId="0DE38B90">
      <w:pPr>
        <w:pStyle w:val="61"/>
        <w:spacing w:line="240" w:lineRule="auto"/>
        <w:rPr>
          <w:rFonts w:ascii="Times New Roman" w:hAnsi="Times New Roman" w:cs="Times New Roman"/>
        </w:rPr>
      </w:pPr>
      <w:r>
        <w:rPr>
          <w:rFonts w:ascii="Times New Roman" w:hAnsi="Times New Roman" w:cs="Times New Roman"/>
        </w:rPr>
        <w:t>42.</w:t>
      </w:r>
      <w:r>
        <w:rPr>
          <w:rFonts w:ascii="Times New Roman" w:hAnsi="Times New Roman" w:cs="Times New Roman"/>
        </w:rPr>
        <w:tab/>
      </w:r>
      <w:r>
        <w:rPr>
          <w:rFonts w:ascii="Times New Roman" w:hAnsi="Times New Roman" w:cs="Times New Roman"/>
        </w:rPr>
        <w:t xml:space="preserve">Zhao, Y. &amp; Truhlar, D. G. The M06 suite of density functionals for main group thermochemistry, thermochemical kinetics, noncovalent interactions, excited states, and transition elements: two new functionals and systematic testing of four M06-class functionals and 12 other functionals. </w:t>
      </w:r>
      <w:r>
        <w:rPr>
          <w:rFonts w:ascii="Times New Roman" w:hAnsi="Times New Roman" w:cs="Times New Roman"/>
          <w:i/>
          <w:iCs/>
        </w:rPr>
        <w:t>Theor. Chem. Acc.</w:t>
      </w:r>
      <w:r>
        <w:rPr>
          <w:rFonts w:ascii="Times New Roman" w:hAnsi="Times New Roman" w:cs="Times New Roman"/>
        </w:rPr>
        <w:t xml:space="preserve"> </w:t>
      </w:r>
      <w:r>
        <w:rPr>
          <w:rFonts w:ascii="Times New Roman" w:hAnsi="Times New Roman" w:cs="Times New Roman"/>
          <w:b/>
          <w:bCs/>
        </w:rPr>
        <w:t>120</w:t>
      </w:r>
      <w:r>
        <w:rPr>
          <w:rFonts w:ascii="Times New Roman" w:hAnsi="Times New Roman" w:cs="Times New Roman"/>
        </w:rPr>
        <w:t>, 215–241 (2008).</w:t>
      </w:r>
    </w:p>
    <w:p w14:paraId="6D6DC3CA">
      <w:pPr>
        <w:pStyle w:val="61"/>
        <w:spacing w:line="240" w:lineRule="auto"/>
        <w:rPr>
          <w:rFonts w:ascii="Times New Roman" w:hAnsi="Times New Roman" w:cs="Times New Roman"/>
        </w:rPr>
      </w:pPr>
      <w:r>
        <w:rPr>
          <w:rFonts w:ascii="Times New Roman" w:hAnsi="Times New Roman" w:cs="Times New Roman"/>
        </w:rPr>
        <w:t>43.</w:t>
      </w:r>
      <w:r>
        <w:rPr>
          <w:rFonts w:ascii="Times New Roman" w:hAnsi="Times New Roman" w:cs="Times New Roman"/>
        </w:rPr>
        <w:tab/>
      </w:r>
      <w:r>
        <w:rPr>
          <w:rFonts w:ascii="Times New Roman" w:hAnsi="Times New Roman" w:cs="Times New Roman"/>
        </w:rPr>
        <w:t xml:space="preserve">Perdew, J. P., Ernzerhof, M. &amp; Burke, K. Rationale for mixing exact exchange with density functional approximations.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105</w:t>
      </w:r>
      <w:r>
        <w:rPr>
          <w:rFonts w:ascii="Times New Roman" w:hAnsi="Times New Roman" w:cs="Times New Roman"/>
        </w:rPr>
        <w:t>, 9982–9985 (1996).</w:t>
      </w:r>
    </w:p>
    <w:p w14:paraId="26FD0A3B">
      <w:pPr>
        <w:pStyle w:val="61"/>
        <w:spacing w:line="240" w:lineRule="auto"/>
        <w:rPr>
          <w:rFonts w:ascii="Times New Roman" w:hAnsi="Times New Roman" w:cs="Times New Roman"/>
        </w:rPr>
      </w:pPr>
      <w:r>
        <w:rPr>
          <w:rFonts w:ascii="Times New Roman" w:hAnsi="Times New Roman" w:cs="Times New Roman"/>
        </w:rPr>
        <w:t>44.</w:t>
      </w:r>
      <w:r>
        <w:rPr>
          <w:rFonts w:ascii="Times New Roman" w:hAnsi="Times New Roman" w:cs="Times New Roman"/>
        </w:rPr>
        <w:tab/>
      </w:r>
      <w:r>
        <w:rPr>
          <w:rFonts w:ascii="Times New Roman" w:hAnsi="Times New Roman" w:cs="Times New Roman"/>
        </w:rPr>
        <w:t xml:space="preserve">Lu, Y., Yang, Z., Zhang, Q., Xie, W. &amp; Chen, J. Regulating electrostatic interaction between hydrofluoroethers and carbonyl cathodes toward highly stable lithium–organic batteries. </w:t>
      </w:r>
      <w:r>
        <w:rPr>
          <w:rFonts w:ascii="Times New Roman" w:hAnsi="Times New Roman" w:cs="Times New Roman"/>
          <w:i/>
          <w:iCs/>
        </w:rPr>
        <w:t>J. Am. Chem. Soc.</w:t>
      </w:r>
      <w:r>
        <w:rPr>
          <w:rFonts w:ascii="Times New Roman" w:hAnsi="Times New Roman" w:cs="Times New Roman"/>
        </w:rPr>
        <w:t xml:space="preserve"> </w:t>
      </w:r>
      <w:r>
        <w:rPr>
          <w:rFonts w:ascii="Times New Roman" w:hAnsi="Times New Roman" w:cs="Times New Roman"/>
          <w:b/>
          <w:bCs/>
        </w:rPr>
        <w:t>146</w:t>
      </w:r>
      <w:r>
        <w:rPr>
          <w:rFonts w:ascii="Times New Roman" w:hAnsi="Times New Roman" w:cs="Times New Roman"/>
        </w:rPr>
        <w:t>, 1100–1108 (2024).</w:t>
      </w:r>
    </w:p>
    <w:p w14:paraId="547E37FF">
      <w:pPr>
        <w:pStyle w:val="61"/>
        <w:spacing w:line="240" w:lineRule="auto"/>
        <w:rPr>
          <w:rFonts w:ascii="Times New Roman" w:hAnsi="Times New Roman" w:cs="Times New Roman"/>
        </w:rPr>
      </w:pPr>
      <w:r>
        <w:rPr>
          <w:rFonts w:ascii="Times New Roman" w:hAnsi="Times New Roman" w:cs="Times New Roman"/>
        </w:rPr>
        <w:t>45.</w:t>
      </w:r>
      <w:r>
        <w:rPr>
          <w:rFonts w:ascii="Times New Roman" w:hAnsi="Times New Roman" w:cs="Times New Roman"/>
        </w:rPr>
        <w:tab/>
      </w:r>
      <w:r>
        <w:rPr>
          <w:rFonts w:ascii="Times New Roman" w:hAnsi="Times New Roman" w:cs="Times New Roman"/>
        </w:rPr>
        <w:t xml:space="preserve">Lu, T. &amp; Chen, F. Multiwfn: a multifunctional wavefunction analyzer. </w:t>
      </w:r>
      <w:r>
        <w:rPr>
          <w:rFonts w:ascii="Times New Roman" w:hAnsi="Times New Roman" w:cs="Times New Roman"/>
          <w:i/>
          <w:iCs/>
        </w:rPr>
        <w:t>J. Comput. Chem.</w:t>
      </w:r>
      <w:r>
        <w:rPr>
          <w:rFonts w:ascii="Times New Roman" w:hAnsi="Times New Roman" w:cs="Times New Roman"/>
        </w:rPr>
        <w:t xml:space="preserve"> </w:t>
      </w:r>
      <w:r>
        <w:rPr>
          <w:rFonts w:ascii="Times New Roman" w:hAnsi="Times New Roman" w:cs="Times New Roman"/>
          <w:b/>
          <w:bCs/>
        </w:rPr>
        <w:t>33</w:t>
      </w:r>
      <w:r>
        <w:rPr>
          <w:rFonts w:ascii="Times New Roman" w:hAnsi="Times New Roman" w:cs="Times New Roman"/>
        </w:rPr>
        <w:t>, 580–592 (2012).</w:t>
      </w:r>
    </w:p>
    <w:p w14:paraId="0937252E">
      <w:pPr>
        <w:pStyle w:val="61"/>
        <w:spacing w:line="240" w:lineRule="auto"/>
        <w:rPr>
          <w:rFonts w:ascii="Times New Roman" w:hAnsi="Times New Roman" w:cs="Times New Roman"/>
        </w:rPr>
      </w:pPr>
      <w:r>
        <w:rPr>
          <w:rFonts w:ascii="Times New Roman" w:hAnsi="Times New Roman" w:cs="Times New Roman"/>
        </w:rPr>
        <w:t>46.</w:t>
      </w:r>
      <w:r>
        <w:rPr>
          <w:rFonts w:ascii="Times New Roman" w:hAnsi="Times New Roman" w:cs="Times New Roman"/>
        </w:rPr>
        <w:tab/>
      </w:r>
      <w:r>
        <w:rPr>
          <w:rFonts w:ascii="Times New Roman" w:hAnsi="Times New Roman" w:cs="Times New Roman"/>
        </w:rPr>
        <w:t xml:space="preserve">Lu, T. &amp; Chen, F. Quantitative analysis of molecular surface based on improved marching tetrahedra algorithm. </w:t>
      </w:r>
      <w:r>
        <w:rPr>
          <w:rFonts w:ascii="Times New Roman" w:hAnsi="Times New Roman" w:cs="Times New Roman"/>
          <w:i/>
          <w:iCs/>
        </w:rPr>
        <w:t>J. Mol. Graphics Model.</w:t>
      </w:r>
      <w:r>
        <w:rPr>
          <w:rFonts w:ascii="Times New Roman" w:hAnsi="Times New Roman" w:cs="Times New Roman"/>
        </w:rPr>
        <w:t xml:space="preserve"> </w:t>
      </w:r>
      <w:r>
        <w:rPr>
          <w:rFonts w:ascii="Times New Roman" w:hAnsi="Times New Roman" w:cs="Times New Roman"/>
          <w:b/>
          <w:bCs/>
        </w:rPr>
        <w:t>38</w:t>
      </w:r>
      <w:r>
        <w:rPr>
          <w:rFonts w:ascii="Times New Roman" w:hAnsi="Times New Roman" w:cs="Times New Roman"/>
        </w:rPr>
        <w:t>, 314–323 (2012).</w:t>
      </w:r>
    </w:p>
    <w:p w14:paraId="239A0CA3">
      <w:pPr>
        <w:pStyle w:val="61"/>
        <w:spacing w:line="240" w:lineRule="auto"/>
        <w:rPr>
          <w:rFonts w:ascii="Times New Roman" w:hAnsi="Times New Roman" w:cs="Times New Roman"/>
        </w:rPr>
      </w:pPr>
      <w:r>
        <w:rPr>
          <w:rFonts w:ascii="Times New Roman" w:hAnsi="Times New Roman" w:cs="Times New Roman"/>
        </w:rPr>
        <w:t>47.</w:t>
      </w:r>
      <w:r>
        <w:rPr>
          <w:rFonts w:ascii="Times New Roman" w:hAnsi="Times New Roman" w:cs="Times New Roman"/>
        </w:rPr>
        <w:tab/>
      </w:r>
      <w:r>
        <w:rPr>
          <w:rFonts w:ascii="Times New Roman" w:hAnsi="Times New Roman" w:cs="Times New Roman"/>
        </w:rPr>
        <w:t xml:space="preserve">Zhang, J. &amp; Lu, T. Efficient evaluation of electrostatic potential with computerized optimized code. </w:t>
      </w:r>
      <w:r>
        <w:rPr>
          <w:rFonts w:ascii="Times New Roman" w:hAnsi="Times New Roman" w:cs="Times New Roman"/>
          <w:i/>
          <w:iCs/>
        </w:rPr>
        <w:t>Phys. Chem. Chem. Phys.</w:t>
      </w:r>
      <w:r>
        <w:rPr>
          <w:rFonts w:ascii="Times New Roman" w:hAnsi="Times New Roman" w:cs="Times New Roman"/>
        </w:rPr>
        <w:t xml:space="preserve"> </w:t>
      </w:r>
      <w:r>
        <w:rPr>
          <w:rFonts w:ascii="Times New Roman" w:hAnsi="Times New Roman" w:cs="Times New Roman"/>
          <w:b/>
          <w:bCs/>
        </w:rPr>
        <w:t>23</w:t>
      </w:r>
      <w:r>
        <w:rPr>
          <w:rFonts w:ascii="Times New Roman" w:hAnsi="Times New Roman" w:cs="Times New Roman"/>
        </w:rPr>
        <w:t>, 20323–20328 (2021).</w:t>
      </w:r>
    </w:p>
    <w:p w14:paraId="67E38229">
      <w:pPr>
        <w:pStyle w:val="61"/>
        <w:spacing w:line="240" w:lineRule="auto"/>
        <w:rPr>
          <w:rFonts w:ascii="Times New Roman" w:hAnsi="Times New Roman" w:cs="Times New Roman"/>
        </w:rPr>
      </w:pPr>
      <w:r>
        <w:rPr>
          <w:rFonts w:ascii="Times New Roman" w:hAnsi="Times New Roman" w:cs="Times New Roman"/>
        </w:rPr>
        <w:t>48.</w:t>
      </w:r>
      <w:r>
        <w:rPr>
          <w:rFonts w:ascii="Times New Roman" w:hAnsi="Times New Roman" w:cs="Times New Roman"/>
        </w:rPr>
        <w:tab/>
      </w:r>
      <w:r>
        <w:rPr>
          <w:rFonts w:ascii="Times New Roman" w:hAnsi="Times New Roman" w:cs="Times New Roman"/>
        </w:rPr>
        <w:t xml:space="preserve">Lu, T. A comprehensive electron wavefunction analysis toolbox for chemists, multiwfn.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161</w:t>
      </w:r>
      <w:r>
        <w:rPr>
          <w:rFonts w:ascii="Times New Roman" w:hAnsi="Times New Roman" w:cs="Times New Roman"/>
        </w:rPr>
        <w:t>, 82503 (2024).</w:t>
      </w:r>
    </w:p>
    <w:p w14:paraId="1E053A89">
      <w:pPr>
        <w:pStyle w:val="61"/>
        <w:spacing w:line="240" w:lineRule="auto"/>
        <w:rPr>
          <w:rFonts w:ascii="Times New Roman" w:hAnsi="Times New Roman" w:cs="Times New Roman"/>
        </w:rPr>
      </w:pPr>
      <w:r>
        <w:rPr>
          <w:rFonts w:ascii="Times New Roman" w:hAnsi="Times New Roman" w:cs="Times New Roman"/>
        </w:rPr>
        <w:t>49.</w:t>
      </w:r>
      <w:r>
        <w:rPr>
          <w:rFonts w:ascii="Times New Roman" w:hAnsi="Times New Roman" w:cs="Times New Roman"/>
        </w:rPr>
        <w:tab/>
      </w:r>
      <w:r>
        <w:rPr>
          <w:rFonts w:ascii="Times New Roman" w:hAnsi="Times New Roman" w:cs="Times New Roman"/>
        </w:rPr>
        <w:t xml:space="preserve">Canongia Lopes, J. N., Deschamps, J. &amp; Pádua, A. A. H. Modeling ionic liquids using a systematic all-atom force field. </w:t>
      </w:r>
      <w:r>
        <w:rPr>
          <w:rFonts w:ascii="Times New Roman" w:hAnsi="Times New Roman" w:cs="Times New Roman"/>
          <w:i/>
          <w:iCs/>
        </w:rPr>
        <w:t>J. Phys. Chem. B</w:t>
      </w:r>
      <w:r>
        <w:rPr>
          <w:rFonts w:ascii="Times New Roman" w:hAnsi="Times New Roman" w:cs="Times New Roman"/>
        </w:rPr>
        <w:t xml:space="preserve"> </w:t>
      </w:r>
      <w:r>
        <w:rPr>
          <w:rFonts w:ascii="Times New Roman" w:hAnsi="Times New Roman" w:cs="Times New Roman"/>
          <w:b/>
          <w:bCs/>
        </w:rPr>
        <w:t>108</w:t>
      </w:r>
      <w:r>
        <w:rPr>
          <w:rFonts w:ascii="Times New Roman" w:hAnsi="Times New Roman" w:cs="Times New Roman"/>
        </w:rPr>
        <w:t>, 2038–2047 (2004).</w:t>
      </w:r>
    </w:p>
    <w:p w14:paraId="49A352DD">
      <w:pPr>
        <w:pStyle w:val="61"/>
        <w:spacing w:line="240" w:lineRule="auto"/>
        <w:rPr>
          <w:rFonts w:ascii="Times New Roman" w:hAnsi="Times New Roman" w:cs="Times New Roman"/>
        </w:rPr>
      </w:pPr>
      <w:r>
        <w:rPr>
          <w:rFonts w:ascii="Times New Roman" w:hAnsi="Times New Roman" w:cs="Times New Roman"/>
        </w:rPr>
        <w:t>50.</w:t>
      </w:r>
      <w:r>
        <w:rPr>
          <w:rFonts w:ascii="Times New Roman" w:hAnsi="Times New Roman" w:cs="Times New Roman"/>
        </w:rPr>
        <w:tab/>
      </w:r>
      <w:r>
        <w:rPr>
          <w:rFonts w:ascii="Times New Roman" w:hAnsi="Times New Roman" w:cs="Times New Roman"/>
        </w:rPr>
        <w:t xml:space="preserve">Canongia Lopes, J. N. </w:t>
      </w:r>
      <w:r>
        <w:rPr>
          <w:rFonts w:ascii="Times New Roman" w:hAnsi="Times New Roman" w:cs="Times New Roman"/>
          <w:i/>
          <w:iCs/>
        </w:rPr>
        <w:t>et al.</w:t>
      </w:r>
      <w:r>
        <w:rPr>
          <w:rFonts w:ascii="Times New Roman" w:hAnsi="Times New Roman" w:cs="Times New Roman"/>
        </w:rPr>
        <w:t xml:space="preserve"> Potential energy landscape of bis(fluorosulfonyl)amide. </w:t>
      </w:r>
      <w:r>
        <w:rPr>
          <w:rFonts w:ascii="Times New Roman" w:hAnsi="Times New Roman" w:cs="Times New Roman"/>
          <w:i/>
          <w:iCs/>
        </w:rPr>
        <w:t>J. Phys. Chem. B</w:t>
      </w:r>
      <w:r>
        <w:rPr>
          <w:rFonts w:ascii="Times New Roman" w:hAnsi="Times New Roman" w:cs="Times New Roman"/>
        </w:rPr>
        <w:t xml:space="preserve"> </w:t>
      </w:r>
      <w:r>
        <w:rPr>
          <w:rFonts w:ascii="Times New Roman" w:hAnsi="Times New Roman" w:cs="Times New Roman"/>
          <w:b/>
          <w:bCs/>
        </w:rPr>
        <w:t>112</w:t>
      </w:r>
      <w:r>
        <w:rPr>
          <w:rFonts w:ascii="Times New Roman" w:hAnsi="Times New Roman" w:cs="Times New Roman"/>
        </w:rPr>
        <w:t>, 9449–9455 (2008).</w:t>
      </w:r>
    </w:p>
    <w:p w14:paraId="19AED1DD">
      <w:pPr>
        <w:pStyle w:val="61"/>
        <w:spacing w:line="240" w:lineRule="auto"/>
        <w:rPr>
          <w:rFonts w:ascii="Times New Roman" w:hAnsi="Times New Roman" w:cs="Times New Roman"/>
        </w:rPr>
      </w:pPr>
      <w:r>
        <w:rPr>
          <w:rFonts w:ascii="Times New Roman" w:hAnsi="Times New Roman" w:cs="Times New Roman"/>
        </w:rPr>
        <w:t>51.</w:t>
      </w:r>
      <w:r>
        <w:rPr>
          <w:rFonts w:ascii="Times New Roman" w:hAnsi="Times New Roman" w:cs="Times New Roman"/>
        </w:rPr>
        <w:tab/>
      </w:r>
      <w:r>
        <w:rPr>
          <w:rFonts w:ascii="Times New Roman" w:hAnsi="Times New Roman" w:cs="Times New Roman"/>
        </w:rPr>
        <w:t xml:space="preserve">Canongia Lopes, J. N. &amp; Pádua, A. A. H. Molecular force field for ionic liquids composed of triflate or bistriflylimide anions. </w:t>
      </w:r>
      <w:r>
        <w:rPr>
          <w:rFonts w:ascii="Times New Roman" w:hAnsi="Times New Roman" w:cs="Times New Roman"/>
          <w:i/>
          <w:iCs/>
        </w:rPr>
        <w:t>J. Phys. Chem. B</w:t>
      </w:r>
      <w:r>
        <w:rPr>
          <w:rFonts w:ascii="Times New Roman" w:hAnsi="Times New Roman" w:cs="Times New Roman"/>
        </w:rPr>
        <w:t xml:space="preserve"> </w:t>
      </w:r>
      <w:r>
        <w:rPr>
          <w:rFonts w:ascii="Times New Roman" w:hAnsi="Times New Roman" w:cs="Times New Roman"/>
          <w:b/>
          <w:bCs/>
        </w:rPr>
        <w:t>108</w:t>
      </w:r>
      <w:r>
        <w:rPr>
          <w:rFonts w:ascii="Times New Roman" w:hAnsi="Times New Roman" w:cs="Times New Roman"/>
        </w:rPr>
        <w:t>, 16893–16898 (2004).</w:t>
      </w:r>
    </w:p>
    <w:p w14:paraId="62B5BC23">
      <w:pPr>
        <w:pStyle w:val="61"/>
        <w:spacing w:line="240" w:lineRule="auto"/>
        <w:rPr>
          <w:rFonts w:ascii="Times New Roman" w:hAnsi="Times New Roman" w:cs="Times New Roman"/>
        </w:rPr>
      </w:pPr>
      <w:r>
        <w:rPr>
          <w:rFonts w:ascii="Times New Roman" w:hAnsi="Times New Roman" w:cs="Times New Roman"/>
        </w:rPr>
        <w:t>52.</w:t>
      </w:r>
      <w:r>
        <w:rPr>
          <w:rFonts w:ascii="Times New Roman" w:hAnsi="Times New Roman" w:cs="Times New Roman"/>
        </w:rPr>
        <w:tab/>
      </w:r>
      <w:r>
        <w:rPr>
          <w:rFonts w:ascii="Times New Roman" w:hAnsi="Times New Roman" w:cs="Times New Roman"/>
        </w:rPr>
        <w:t xml:space="preserve">Dang, L. X. Development of nonadditive intermolecular potentials using molecular dynamics: solvation of li+ and F− ions in polarizable water.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96</w:t>
      </w:r>
      <w:r>
        <w:rPr>
          <w:rFonts w:ascii="Times New Roman" w:hAnsi="Times New Roman" w:cs="Times New Roman"/>
        </w:rPr>
        <w:t>, 6970–6977 (1992).</w:t>
      </w:r>
    </w:p>
    <w:p w14:paraId="70FF7509">
      <w:pPr>
        <w:pStyle w:val="61"/>
        <w:spacing w:line="240" w:lineRule="auto"/>
        <w:rPr>
          <w:rFonts w:ascii="Times New Roman" w:hAnsi="Times New Roman" w:cs="Times New Roman"/>
        </w:rPr>
      </w:pPr>
      <w:r>
        <w:rPr>
          <w:rFonts w:ascii="Times New Roman" w:hAnsi="Times New Roman" w:cs="Times New Roman"/>
        </w:rPr>
        <w:t>53.</w:t>
      </w:r>
      <w:r>
        <w:rPr>
          <w:rFonts w:ascii="Times New Roman" w:hAnsi="Times New Roman" w:cs="Times New Roman"/>
        </w:rPr>
        <w:tab/>
      </w:r>
      <w:r>
        <w:rPr>
          <w:rFonts w:ascii="Times New Roman" w:hAnsi="Times New Roman" w:cs="Times New Roman"/>
        </w:rPr>
        <w:t xml:space="preserve">Pádua, A. A. H. Resolving dispersion and induction components for polarisable molecular simulations of ionic liquids. </w:t>
      </w:r>
      <w:r>
        <w:rPr>
          <w:rFonts w:ascii="Times New Roman" w:hAnsi="Times New Roman" w:cs="Times New Roman"/>
          <w:i/>
          <w:iCs/>
        </w:rPr>
        <w:t>J. Chem. Phys.</w:t>
      </w:r>
      <w:r>
        <w:rPr>
          <w:rFonts w:ascii="Times New Roman" w:hAnsi="Times New Roman" w:cs="Times New Roman"/>
        </w:rPr>
        <w:t xml:space="preserve"> </w:t>
      </w:r>
      <w:r>
        <w:rPr>
          <w:rFonts w:ascii="Times New Roman" w:hAnsi="Times New Roman" w:cs="Times New Roman"/>
          <w:b/>
          <w:bCs/>
        </w:rPr>
        <w:t>146</w:t>
      </w:r>
      <w:r>
        <w:rPr>
          <w:rFonts w:ascii="Times New Roman" w:hAnsi="Times New Roman" w:cs="Times New Roman"/>
        </w:rPr>
        <w:t>, 204501 (2017).</w:t>
      </w:r>
    </w:p>
    <w:p w14:paraId="1339D0CF">
      <w:pPr>
        <w:pStyle w:val="61"/>
        <w:spacing w:line="240" w:lineRule="auto"/>
        <w:rPr>
          <w:rFonts w:ascii="Times New Roman" w:hAnsi="Times New Roman" w:cs="Times New Roman"/>
        </w:rPr>
      </w:pPr>
      <w:r>
        <w:rPr>
          <w:rFonts w:ascii="Times New Roman" w:hAnsi="Times New Roman" w:cs="Times New Roman"/>
        </w:rPr>
        <w:t>54.</w:t>
      </w:r>
      <w:r>
        <w:rPr>
          <w:rFonts w:ascii="Times New Roman" w:hAnsi="Times New Roman" w:cs="Times New Roman"/>
        </w:rPr>
        <w:tab/>
      </w:r>
      <w:r>
        <w:rPr>
          <w:rFonts w:ascii="Times New Roman" w:hAnsi="Times New Roman" w:cs="Times New Roman"/>
        </w:rPr>
        <w:t xml:space="preserve">Cao, X. </w:t>
      </w:r>
      <w:r>
        <w:rPr>
          <w:rFonts w:ascii="Times New Roman" w:hAnsi="Times New Roman" w:cs="Times New Roman"/>
          <w:i/>
          <w:iCs/>
        </w:rPr>
        <w:t>et al.</w:t>
      </w:r>
      <w:r>
        <w:rPr>
          <w:rFonts w:ascii="Times New Roman" w:hAnsi="Times New Roman" w:cs="Times New Roman"/>
        </w:rPr>
        <w:t xml:space="preserve"> Effects of fluorinated solvents on electrolyte solvation structures and electrode/electrolyte interphases for lithium metal batteries. </w:t>
      </w:r>
      <w:r>
        <w:rPr>
          <w:rFonts w:ascii="Times New Roman" w:hAnsi="Times New Roman" w:cs="Times New Roman"/>
          <w:i/>
          <w:iCs/>
        </w:rPr>
        <w:t>Proc. Natl. Acad. Sci.</w:t>
      </w:r>
      <w:r>
        <w:rPr>
          <w:rFonts w:ascii="Times New Roman" w:hAnsi="Times New Roman" w:cs="Times New Roman"/>
        </w:rPr>
        <w:t xml:space="preserve"> </w:t>
      </w:r>
      <w:r>
        <w:rPr>
          <w:rFonts w:ascii="Times New Roman" w:hAnsi="Times New Roman" w:cs="Times New Roman"/>
          <w:b/>
          <w:bCs/>
        </w:rPr>
        <w:t>118</w:t>
      </w:r>
      <w:r>
        <w:rPr>
          <w:rFonts w:ascii="Times New Roman" w:hAnsi="Times New Roman" w:cs="Times New Roman"/>
        </w:rPr>
        <w:t>, e2020357118 (2021).</w:t>
      </w:r>
    </w:p>
    <w:p w14:paraId="2C0C5677">
      <w:pPr>
        <w:pStyle w:val="61"/>
        <w:spacing w:line="240" w:lineRule="auto"/>
        <w:rPr>
          <w:rFonts w:ascii="Times New Roman" w:hAnsi="Times New Roman" w:cs="Times New Roman"/>
        </w:rPr>
      </w:pPr>
      <w:r>
        <w:rPr>
          <w:rFonts w:ascii="Times New Roman" w:hAnsi="Times New Roman" w:cs="Times New Roman"/>
        </w:rPr>
        <w:t>55.</w:t>
      </w:r>
      <w:r>
        <w:rPr>
          <w:rFonts w:ascii="Times New Roman" w:hAnsi="Times New Roman" w:cs="Times New Roman"/>
        </w:rPr>
        <w:tab/>
      </w:r>
      <w:r>
        <w:rPr>
          <w:rFonts w:ascii="Times New Roman" w:hAnsi="Times New Roman" w:cs="Times New Roman"/>
        </w:rPr>
        <w:t xml:space="preserve">Gurung, B. B. &amp; Roy, M. N. Study of densities, viscosities and ultrasonic speeds of binary mixtures containing 1,2-dimethoxyethane and an alkan-l-ol at 298.15 K. </w:t>
      </w:r>
      <w:r>
        <w:rPr>
          <w:rFonts w:ascii="Times New Roman" w:hAnsi="Times New Roman" w:cs="Times New Roman"/>
          <w:i/>
          <w:iCs/>
        </w:rPr>
        <w:t>J. Solution Chem.</w:t>
      </w:r>
      <w:r>
        <w:rPr>
          <w:rFonts w:ascii="Times New Roman" w:hAnsi="Times New Roman" w:cs="Times New Roman"/>
        </w:rPr>
        <w:t xml:space="preserve"> </w:t>
      </w:r>
      <w:r>
        <w:rPr>
          <w:rFonts w:ascii="Times New Roman" w:hAnsi="Times New Roman" w:cs="Times New Roman"/>
          <w:b/>
          <w:bCs/>
        </w:rPr>
        <w:t>35</w:t>
      </w:r>
      <w:r>
        <w:rPr>
          <w:rFonts w:ascii="Times New Roman" w:hAnsi="Times New Roman" w:cs="Times New Roman"/>
        </w:rPr>
        <w:t>, 1587–1606 (2006).</w:t>
      </w:r>
    </w:p>
    <w:p w14:paraId="705DCEB9">
      <w:pPr>
        <w:pStyle w:val="61"/>
        <w:spacing w:line="240" w:lineRule="auto"/>
        <w:rPr>
          <w:rFonts w:ascii="Times New Roman" w:hAnsi="Times New Roman" w:cs="Times New Roman"/>
        </w:rPr>
      </w:pPr>
      <w:r>
        <w:rPr>
          <w:rFonts w:ascii="Times New Roman" w:hAnsi="Times New Roman" w:cs="Times New Roman"/>
        </w:rPr>
        <w:t>56.</w:t>
      </w:r>
      <w:r>
        <w:rPr>
          <w:rFonts w:ascii="Times New Roman" w:hAnsi="Times New Roman" w:cs="Times New Roman"/>
        </w:rPr>
        <w:tab/>
      </w:r>
      <w:r>
        <w:rPr>
          <w:rFonts w:ascii="Times New Roman" w:hAnsi="Times New Roman" w:cs="Times New Roman"/>
        </w:rPr>
        <w:t xml:space="preserve">Xu, K. Nonaqueous liquid electrolytes for lithium-based rechargeable batteries. </w:t>
      </w:r>
      <w:r>
        <w:rPr>
          <w:rFonts w:ascii="Times New Roman" w:hAnsi="Times New Roman" w:cs="Times New Roman"/>
          <w:i/>
          <w:iCs/>
        </w:rPr>
        <w:t>Chem. Rev.</w:t>
      </w:r>
      <w:r>
        <w:rPr>
          <w:rFonts w:ascii="Times New Roman" w:hAnsi="Times New Roman" w:cs="Times New Roman"/>
        </w:rPr>
        <w:t xml:space="preserve"> </w:t>
      </w:r>
      <w:r>
        <w:rPr>
          <w:rFonts w:ascii="Times New Roman" w:hAnsi="Times New Roman" w:cs="Times New Roman"/>
          <w:b/>
          <w:bCs/>
        </w:rPr>
        <w:t>104</w:t>
      </w:r>
      <w:r>
        <w:rPr>
          <w:rFonts w:ascii="Times New Roman" w:hAnsi="Times New Roman" w:cs="Times New Roman"/>
        </w:rPr>
        <w:t>, 4303–4418 (2004).</w:t>
      </w:r>
    </w:p>
    <w:p w14:paraId="59D07196">
      <w:pPr>
        <w:pStyle w:val="61"/>
        <w:spacing w:line="240" w:lineRule="auto"/>
        <w:rPr>
          <w:rFonts w:ascii="Times New Roman" w:hAnsi="Times New Roman" w:cs="Times New Roman"/>
        </w:rPr>
      </w:pPr>
      <w:r>
        <w:rPr>
          <w:rFonts w:ascii="Times New Roman" w:hAnsi="Times New Roman" w:cs="Times New Roman"/>
        </w:rPr>
        <w:t>57.</w:t>
      </w:r>
      <w:r>
        <w:rPr>
          <w:rFonts w:ascii="Times New Roman" w:hAnsi="Times New Roman" w:cs="Times New Roman"/>
        </w:rPr>
        <w:tab/>
      </w:r>
      <w:r>
        <w:rPr>
          <w:rFonts w:ascii="Times New Roman" w:hAnsi="Times New Roman" w:cs="Times New Roman"/>
        </w:rPr>
        <w:t xml:space="preserve">Hagiyama, K. </w:t>
      </w:r>
      <w:r>
        <w:rPr>
          <w:rFonts w:ascii="Times New Roman" w:hAnsi="Times New Roman" w:cs="Times New Roman"/>
          <w:i/>
          <w:iCs/>
        </w:rPr>
        <w:t>et al.</w:t>
      </w:r>
      <w:r>
        <w:rPr>
          <w:rFonts w:ascii="Times New Roman" w:hAnsi="Times New Roman" w:cs="Times New Roman"/>
        </w:rPr>
        <w:t xml:space="preserve"> Physical properties of substituted 1,3-dioxolan-2-ones. </w:t>
      </w:r>
      <w:r>
        <w:rPr>
          <w:rFonts w:ascii="Times New Roman" w:hAnsi="Times New Roman" w:cs="Times New Roman"/>
          <w:i/>
          <w:iCs/>
        </w:rPr>
        <w:t>Chem. Lett.</w:t>
      </w:r>
      <w:r>
        <w:rPr>
          <w:rFonts w:ascii="Times New Roman" w:hAnsi="Times New Roman" w:cs="Times New Roman"/>
        </w:rPr>
        <w:t xml:space="preserve"> </w:t>
      </w:r>
      <w:r>
        <w:rPr>
          <w:rFonts w:ascii="Times New Roman" w:hAnsi="Times New Roman" w:cs="Times New Roman"/>
          <w:b/>
          <w:bCs/>
        </w:rPr>
        <w:t>37</w:t>
      </w:r>
      <w:r>
        <w:rPr>
          <w:rFonts w:ascii="Times New Roman" w:hAnsi="Times New Roman" w:cs="Times New Roman"/>
        </w:rPr>
        <w:t>, 210–211 (2008).</w:t>
      </w:r>
    </w:p>
    <w:p w14:paraId="2CA2745D">
      <w:pPr>
        <w:pStyle w:val="61"/>
        <w:spacing w:line="240" w:lineRule="auto"/>
        <w:rPr>
          <w:rFonts w:ascii="Times New Roman" w:hAnsi="Times New Roman" w:cs="Times New Roman"/>
        </w:rPr>
      </w:pPr>
      <w:r>
        <w:rPr>
          <w:rFonts w:ascii="Times New Roman" w:hAnsi="Times New Roman" w:cs="Times New Roman"/>
        </w:rPr>
        <w:t>58.</w:t>
      </w:r>
      <w:r>
        <w:rPr>
          <w:rFonts w:ascii="Times New Roman" w:hAnsi="Times New Roman" w:cs="Times New Roman"/>
        </w:rPr>
        <w:tab/>
      </w:r>
      <w:r>
        <w:rPr>
          <w:rFonts w:ascii="Times New Roman" w:hAnsi="Times New Roman" w:cs="Times New Roman"/>
        </w:rPr>
        <w:t xml:space="preserve">Li, A.-M. </w:t>
      </w:r>
      <w:r>
        <w:rPr>
          <w:rFonts w:ascii="Times New Roman" w:hAnsi="Times New Roman" w:cs="Times New Roman"/>
          <w:i/>
          <w:iCs/>
        </w:rPr>
        <w:t>et al.</w:t>
      </w:r>
      <w:r>
        <w:rPr>
          <w:rFonts w:ascii="Times New Roman" w:hAnsi="Times New Roman" w:cs="Times New Roman"/>
        </w:rPr>
        <w:t xml:space="preserve"> High voltage electrolytes for lithium-ion batteries with micro-sized silicon anodes. </w:t>
      </w:r>
      <w:r>
        <w:rPr>
          <w:rFonts w:ascii="Times New Roman" w:hAnsi="Times New Roman" w:cs="Times New Roman"/>
          <w:i/>
          <w:iCs/>
        </w:rPr>
        <w:t>Nat. Commun.</w:t>
      </w:r>
      <w:r>
        <w:rPr>
          <w:rFonts w:ascii="Times New Roman" w:hAnsi="Times New Roman" w:cs="Times New Roman"/>
        </w:rPr>
        <w:t xml:space="preserve"> </w:t>
      </w:r>
      <w:r>
        <w:rPr>
          <w:rFonts w:ascii="Times New Roman" w:hAnsi="Times New Roman" w:cs="Times New Roman"/>
          <w:b/>
          <w:bCs/>
        </w:rPr>
        <w:t>15</w:t>
      </w:r>
      <w:r>
        <w:rPr>
          <w:rFonts w:ascii="Times New Roman" w:hAnsi="Times New Roman" w:cs="Times New Roman"/>
        </w:rPr>
        <w:t>, 1206 (2024).</w:t>
      </w:r>
    </w:p>
    <w:p w14:paraId="6F56EAB3">
      <w:pPr>
        <w:pStyle w:val="61"/>
        <w:spacing w:line="240" w:lineRule="auto"/>
        <w:rPr>
          <w:rFonts w:ascii="Times New Roman" w:hAnsi="Times New Roman" w:cs="Times New Roman"/>
        </w:rPr>
      </w:pPr>
      <w:r>
        <w:rPr>
          <w:rFonts w:ascii="Times New Roman" w:hAnsi="Times New Roman" w:cs="Times New Roman"/>
        </w:rPr>
        <w:t>59.</w:t>
      </w:r>
      <w:r>
        <w:rPr>
          <w:rFonts w:ascii="Times New Roman" w:hAnsi="Times New Roman" w:cs="Times New Roman"/>
        </w:rPr>
        <w:tab/>
      </w:r>
      <w:r>
        <w:rPr>
          <w:rFonts w:ascii="Times New Roman" w:hAnsi="Times New Roman" w:cs="Times New Roman"/>
        </w:rPr>
        <w:t xml:space="preserve">Giner, B., Artigas, H., Haro, M., Lafuente, C. &amp; López, M. C. Viscosities of binary mixtures of 1,3-dioxolane or 1,4-dioxane with isomeric chlorobutanes. </w:t>
      </w:r>
      <w:r>
        <w:rPr>
          <w:rFonts w:ascii="Times New Roman" w:hAnsi="Times New Roman" w:cs="Times New Roman"/>
          <w:i/>
          <w:iCs/>
        </w:rPr>
        <w:t>J. Mol. Liq.</w:t>
      </w:r>
      <w:r>
        <w:rPr>
          <w:rFonts w:ascii="Times New Roman" w:hAnsi="Times New Roman" w:cs="Times New Roman"/>
        </w:rPr>
        <w:t xml:space="preserve"> </w:t>
      </w:r>
      <w:r>
        <w:rPr>
          <w:rFonts w:ascii="Times New Roman" w:hAnsi="Times New Roman" w:cs="Times New Roman"/>
          <w:b/>
          <w:bCs/>
        </w:rPr>
        <w:t>129</w:t>
      </w:r>
      <w:r>
        <w:rPr>
          <w:rFonts w:ascii="Times New Roman" w:hAnsi="Times New Roman" w:cs="Times New Roman"/>
        </w:rPr>
        <w:t>, 176–180 (2006).</w:t>
      </w:r>
    </w:p>
    <w:p w14:paraId="7476C9D6">
      <w:pPr>
        <w:pStyle w:val="61"/>
        <w:spacing w:line="240" w:lineRule="auto"/>
        <w:rPr>
          <w:rFonts w:ascii="Times New Roman" w:hAnsi="Times New Roman" w:cs="Times New Roman"/>
        </w:rPr>
      </w:pPr>
      <w:r>
        <w:rPr>
          <w:rFonts w:ascii="Times New Roman" w:hAnsi="Times New Roman" w:cs="Times New Roman"/>
        </w:rPr>
        <w:t>60.</w:t>
      </w:r>
      <w:r>
        <w:rPr>
          <w:rFonts w:ascii="Times New Roman" w:hAnsi="Times New Roman" w:cs="Times New Roman"/>
        </w:rPr>
        <w:tab/>
      </w:r>
      <w:r>
        <w:rPr>
          <w:rFonts w:ascii="Times New Roman" w:hAnsi="Times New Roman" w:cs="Times New Roman"/>
        </w:rPr>
        <w:t xml:space="preserve">Gong, S. </w:t>
      </w:r>
      <w:r>
        <w:rPr>
          <w:rFonts w:ascii="Times New Roman" w:hAnsi="Times New Roman" w:cs="Times New Roman"/>
          <w:i/>
          <w:iCs/>
        </w:rPr>
        <w:t>et al.</w:t>
      </w:r>
      <w:r>
        <w:rPr>
          <w:rFonts w:ascii="Times New Roman" w:hAnsi="Times New Roman" w:cs="Times New Roman"/>
        </w:rPr>
        <w:t xml:space="preserve"> A predictive machine learning force-field framework for liquid electrolyte development. </w:t>
      </w:r>
      <w:r>
        <w:rPr>
          <w:rFonts w:ascii="Times New Roman" w:hAnsi="Times New Roman" w:cs="Times New Roman"/>
          <w:i/>
          <w:iCs/>
        </w:rPr>
        <w:t>Nat. Mach. Intell.</w:t>
      </w:r>
      <w:r>
        <w:rPr>
          <w:rFonts w:ascii="Times New Roman" w:hAnsi="Times New Roman" w:cs="Times New Roman"/>
        </w:rPr>
        <w:t xml:space="preserve"> </w:t>
      </w:r>
      <w:r>
        <w:rPr>
          <w:rFonts w:ascii="Times New Roman" w:hAnsi="Times New Roman" w:cs="Times New Roman"/>
          <w:b/>
          <w:bCs/>
        </w:rPr>
        <w:t>7</w:t>
      </w:r>
      <w:r>
        <w:rPr>
          <w:rFonts w:ascii="Times New Roman" w:hAnsi="Times New Roman" w:cs="Times New Roman"/>
        </w:rPr>
        <w:t>, 543–552 (2025).</w:t>
      </w:r>
    </w:p>
    <w:p w14:paraId="0C2A1DD7">
      <w:pPr>
        <w:pStyle w:val="61"/>
        <w:spacing w:line="240" w:lineRule="auto"/>
        <w:rPr>
          <w:rFonts w:ascii="Times New Roman" w:hAnsi="Times New Roman" w:cs="Times New Roman"/>
        </w:rPr>
      </w:pPr>
      <w:r>
        <w:rPr>
          <w:rFonts w:ascii="Times New Roman" w:hAnsi="Times New Roman" w:cs="Times New Roman"/>
        </w:rPr>
        <w:t>61.</w:t>
      </w:r>
      <w:r>
        <w:rPr>
          <w:rFonts w:ascii="Times New Roman" w:hAnsi="Times New Roman" w:cs="Times New Roman"/>
        </w:rPr>
        <w:tab/>
      </w:r>
      <w:r>
        <w:rPr>
          <w:rFonts w:ascii="Times New Roman" w:hAnsi="Times New Roman" w:cs="Times New Roman"/>
        </w:rPr>
        <w:t xml:space="preserve">Dajnowicz, S. </w:t>
      </w:r>
      <w:r>
        <w:rPr>
          <w:rFonts w:ascii="Times New Roman" w:hAnsi="Times New Roman" w:cs="Times New Roman"/>
          <w:i/>
          <w:iCs/>
        </w:rPr>
        <w:t>et al.</w:t>
      </w:r>
      <w:r>
        <w:rPr>
          <w:rFonts w:ascii="Times New Roman" w:hAnsi="Times New Roman" w:cs="Times New Roman"/>
        </w:rPr>
        <w:t xml:space="preserve"> High-dimensional neural network potential for liquid electrolyte simulations. </w:t>
      </w:r>
      <w:r>
        <w:rPr>
          <w:rFonts w:ascii="Times New Roman" w:hAnsi="Times New Roman" w:cs="Times New Roman"/>
          <w:i/>
          <w:iCs/>
        </w:rPr>
        <w:t>J. Phys. Chem. B</w:t>
      </w:r>
      <w:r>
        <w:rPr>
          <w:rFonts w:ascii="Times New Roman" w:hAnsi="Times New Roman" w:cs="Times New Roman"/>
        </w:rPr>
        <w:t xml:space="preserve"> </w:t>
      </w:r>
      <w:r>
        <w:rPr>
          <w:rFonts w:ascii="Times New Roman" w:hAnsi="Times New Roman" w:cs="Times New Roman"/>
          <w:b/>
          <w:bCs/>
        </w:rPr>
        <w:t>126</w:t>
      </w:r>
      <w:r>
        <w:rPr>
          <w:rFonts w:ascii="Times New Roman" w:hAnsi="Times New Roman" w:cs="Times New Roman"/>
        </w:rPr>
        <w:t>, 6271–6280 (2022).</w:t>
      </w:r>
    </w:p>
    <w:p w14:paraId="46C787C3">
      <w:pPr>
        <w:pStyle w:val="61"/>
        <w:spacing w:line="240" w:lineRule="auto"/>
        <w:rPr>
          <w:rFonts w:ascii="Times New Roman" w:hAnsi="Times New Roman" w:cs="Times New Roman"/>
        </w:rPr>
      </w:pPr>
      <w:r>
        <w:rPr>
          <w:rFonts w:ascii="Times New Roman" w:hAnsi="Times New Roman" w:cs="Times New Roman"/>
        </w:rPr>
        <w:t>62.</w:t>
      </w:r>
      <w:r>
        <w:rPr>
          <w:rFonts w:ascii="Times New Roman" w:hAnsi="Times New Roman" w:cs="Times New Roman"/>
        </w:rPr>
        <w:tab/>
      </w:r>
      <w:r>
        <w:rPr>
          <w:rFonts w:ascii="Times New Roman" w:hAnsi="Times New Roman" w:cs="Times New Roman"/>
        </w:rPr>
        <w:t xml:space="preserve">Ju, S. </w:t>
      </w:r>
      <w:r>
        <w:rPr>
          <w:rFonts w:ascii="Times New Roman" w:hAnsi="Times New Roman" w:cs="Times New Roman"/>
          <w:i/>
          <w:iCs/>
        </w:rPr>
        <w:t>et al.</w:t>
      </w:r>
      <w:r>
        <w:rPr>
          <w:rFonts w:ascii="Times New Roman" w:hAnsi="Times New Roman" w:cs="Times New Roman"/>
        </w:rPr>
        <w:t xml:space="preserve"> Application of pretrained universal machine-learning interatomic potential for physicochemical simulation of liquid electrolytes in li-ion batteries. </w:t>
      </w:r>
      <w:r>
        <w:rPr>
          <w:rFonts w:ascii="Times New Roman" w:hAnsi="Times New Roman" w:cs="Times New Roman"/>
          <w:i/>
          <w:iCs/>
        </w:rPr>
        <w:t>Digital Discovery</w:t>
      </w:r>
      <w:r>
        <w:rPr>
          <w:rFonts w:ascii="Times New Roman" w:hAnsi="Times New Roman" w:cs="Times New Roman"/>
        </w:rPr>
        <w:t xml:space="preserve"> </w:t>
      </w:r>
      <w:r>
        <w:rPr>
          <w:rFonts w:ascii="Times New Roman" w:hAnsi="Times New Roman" w:cs="Times New Roman"/>
          <w:b/>
          <w:bCs/>
        </w:rPr>
        <w:t>4</w:t>
      </w:r>
      <w:r>
        <w:rPr>
          <w:rFonts w:ascii="Times New Roman" w:hAnsi="Times New Roman" w:cs="Times New Roman"/>
        </w:rPr>
        <w:t>, 1544–1559 (2025).</w:t>
      </w:r>
    </w:p>
    <w:p w14:paraId="6FB028B1">
      <w:pPr>
        <w:pStyle w:val="61"/>
        <w:spacing w:line="240" w:lineRule="auto"/>
        <w:rPr>
          <w:rFonts w:ascii="Times New Roman" w:hAnsi="Times New Roman" w:cs="Times New Roman"/>
        </w:rPr>
      </w:pPr>
      <w:r>
        <w:rPr>
          <w:rFonts w:ascii="Times New Roman" w:hAnsi="Times New Roman" w:cs="Times New Roman"/>
        </w:rPr>
        <w:t>63.</w:t>
      </w:r>
      <w:r>
        <w:rPr>
          <w:rFonts w:ascii="Times New Roman" w:hAnsi="Times New Roman" w:cs="Times New Roman"/>
        </w:rPr>
        <w:tab/>
      </w:r>
      <w:r>
        <w:rPr>
          <w:rFonts w:ascii="Times New Roman" w:hAnsi="Times New Roman" w:cs="Times New Roman"/>
        </w:rPr>
        <w:t xml:space="preserve">Lee, S. &amp; Park, S. S. Dielectric constants of binary mixtures of propylene carbonate with dimethyl carbonate and ethylene carbonate from molecular dynamics simulation: comparison between non-polarizable and polarizable force fields. </w:t>
      </w:r>
      <w:r>
        <w:rPr>
          <w:rFonts w:ascii="Times New Roman" w:hAnsi="Times New Roman" w:cs="Times New Roman"/>
          <w:i/>
          <w:iCs/>
        </w:rPr>
        <w:t>Mol. Phys.</w:t>
      </w:r>
      <w:r>
        <w:rPr>
          <w:rFonts w:ascii="Times New Roman" w:hAnsi="Times New Roman" w:cs="Times New Roman"/>
        </w:rPr>
        <w:t xml:space="preserve"> </w:t>
      </w:r>
      <w:r>
        <w:rPr>
          <w:rFonts w:ascii="Times New Roman" w:hAnsi="Times New Roman" w:cs="Times New Roman"/>
          <w:b/>
          <w:bCs/>
        </w:rPr>
        <w:t>111</w:t>
      </w:r>
      <w:r>
        <w:rPr>
          <w:rFonts w:ascii="Times New Roman" w:hAnsi="Times New Roman" w:cs="Times New Roman"/>
        </w:rPr>
        <w:t>, 277–285 (2013).</w:t>
      </w:r>
    </w:p>
    <w:p w14:paraId="5415FADF">
      <w:pPr>
        <w:pStyle w:val="61"/>
        <w:spacing w:line="240" w:lineRule="auto"/>
        <w:rPr>
          <w:rFonts w:ascii="Times New Roman" w:hAnsi="Times New Roman" w:cs="Times New Roman"/>
        </w:rPr>
      </w:pPr>
      <w:r>
        <w:rPr>
          <w:rFonts w:ascii="Times New Roman" w:hAnsi="Times New Roman" w:cs="Times New Roman"/>
        </w:rPr>
        <w:t>64.</w:t>
      </w:r>
      <w:r>
        <w:rPr>
          <w:rFonts w:ascii="Times New Roman" w:hAnsi="Times New Roman" w:cs="Times New Roman"/>
        </w:rPr>
        <w:tab/>
      </w:r>
      <w:r>
        <w:rPr>
          <w:rFonts w:ascii="Times New Roman" w:hAnsi="Times New Roman" w:cs="Times New Roman"/>
        </w:rPr>
        <w:t xml:space="preserve">Borodin, O. Polarizable force field development and molecular dynamics simulations of ionic liquids. </w:t>
      </w:r>
      <w:r>
        <w:rPr>
          <w:rFonts w:ascii="Times New Roman" w:hAnsi="Times New Roman" w:cs="Times New Roman"/>
          <w:i/>
          <w:iCs/>
        </w:rPr>
        <w:t>J. Phys. Chem. B</w:t>
      </w:r>
      <w:r>
        <w:rPr>
          <w:rFonts w:ascii="Times New Roman" w:hAnsi="Times New Roman" w:cs="Times New Roman"/>
        </w:rPr>
        <w:t xml:space="preserve"> </w:t>
      </w:r>
      <w:r>
        <w:rPr>
          <w:rFonts w:ascii="Times New Roman" w:hAnsi="Times New Roman" w:cs="Times New Roman"/>
          <w:b/>
          <w:bCs/>
        </w:rPr>
        <w:t>113</w:t>
      </w:r>
      <w:r>
        <w:rPr>
          <w:rFonts w:ascii="Times New Roman" w:hAnsi="Times New Roman" w:cs="Times New Roman"/>
        </w:rPr>
        <w:t>, 11463–11478 (2009).</w:t>
      </w:r>
    </w:p>
    <w:p w14:paraId="4170F180">
      <w:pPr>
        <w:rPr>
          <w:rFonts w:ascii="Times New Roman" w:hAnsi="Times New Roman" w:cs="Times New Roman"/>
          <w:sz w:val="24"/>
          <w:szCs w:val="24"/>
        </w:rPr>
      </w:pPr>
      <w:r>
        <w:rPr>
          <w:rFonts w:ascii="Times New Roman" w:hAnsi="Times New Roman" w:cs="Times New Roman"/>
          <w:sz w:val="24"/>
          <w:szCs w:val="24"/>
        </w:rPr>
        <w:fldChar w:fldCharType="end"/>
      </w:r>
    </w:p>
    <w:sectPr>
      <w:pgSz w:w="12242" w:h="15842"/>
      <w:pgMar w:top="1440" w:right="1797" w:bottom="1440" w:left="179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等线 Light">
    <w:panose1 w:val="02010600030101010101"/>
    <w:charset w:val="86"/>
    <w:family w:val="auto"/>
    <w:pitch w:val="default"/>
    <w:sig w:usb0="A00002BF" w:usb1="38CF7CFA" w:usb2="00000016" w:usb3="00000000" w:csb0="0004000F" w:csb1="00000000"/>
  </w:font>
  <w:font w:name="MS Mincho">
    <w:altName w:val="Yu Gothic UI"/>
    <w:panose1 w:val="02020609040205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86577181"/>
    </w:sdtPr>
    <w:sdtContent>
      <w:p w14:paraId="18317D78">
        <w:pPr>
          <w:pStyle w:val="6"/>
          <w:jc w:val="right"/>
          <w:rPr>
            <w:rFonts w:hint="eastAsia"/>
          </w:rPr>
        </w:pPr>
        <w:r>
          <w:fldChar w:fldCharType="begin"/>
        </w:r>
        <w:r>
          <w:instrText xml:space="preserve">PAGE   \* MERGEFORMAT</w:instrText>
        </w:r>
        <w:r>
          <w:fldChar w:fldCharType="separate"/>
        </w:r>
        <w:r>
          <w:rPr>
            <w:lang w:val="zh-CN"/>
          </w:rPr>
          <w:t>2</w:t>
        </w:r>
        <w:r>
          <w:fldChar w:fldCharType="end"/>
        </w:r>
      </w:p>
    </w:sdtContent>
  </w:sdt>
  <w:p w14:paraId="1D2ED494">
    <w:pPr>
      <w:pStyle w:val="6"/>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22197606"/>
    </w:sdtPr>
    <w:sdtEndPr>
      <w:rPr>
        <w:rFonts w:ascii="Times New Roman" w:hAnsi="Times New Roman" w:cs="Times New Roman"/>
      </w:rPr>
    </w:sdtEndPr>
    <w:sdtContent>
      <w:p w14:paraId="57E7424D">
        <w:pPr>
          <w:pStyle w:val="6"/>
          <w:jc w:val="center"/>
          <w:rPr>
            <w:rFonts w:ascii="Times New Roman" w:hAnsi="Times New Roman" w:cs="Times New Roman"/>
          </w:rPr>
        </w:pPr>
        <w:r>
          <w:rPr>
            <w:rFonts w:ascii="Times New Roman" w:hAnsi="Times New Roman" w:cs="Times New Roman"/>
          </w:rPr>
          <w:t>S</w:t>
        </w: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rPr>
          <w:fldChar w:fldCharType="end"/>
        </w:r>
      </w:p>
    </w:sdtContent>
  </w:sdt>
  <w:p w14:paraId="760A39E4">
    <w:pPr>
      <w:pStyle w:val="6"/>
      <w:rPr>
        <w:rFonts w:hint="eastAsia"/>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05"/>
  <w:doNotDisplayPageBoundaries w:val="1"/>
  <w:displayBackgroundShape w:val="1"/>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tTC0NDU1NjQ3sLAwMjNS0lEKTi0uzszPAykwMqoFAJ28r5gtAAAA"/>
    <w:docVar w:name="EN.InstantFormat" w:val="&lt;ENInstantFormat&gt;&lt;Enabled&gt;1&lt;/Enabled&gt;&lt;ScanUnformatted&gt;1&lt;/ScanUnformatted&gt;&lt;ScanChanges&gt;1&lt;/ScanChanges&gt;&lt;Suspended&gt;0&lt;/Suspended&gt;&lt;/ENInstantFormat&gt;"/>
    <w:docVar w:name="EN.Layout" w:val="&lt;ENLayout&gt;&lt;Style&gt;Angewandte Chemie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B2553B"/>
    <w:rsid w:val="000003AC"/>
    <w:rsid w:val="0000044D"/>
    <w:rsid w:val="00000CB1"/>
    <w:rsid w:val="00000E9B"/>
    <w:rsid w:val="00000ED1"/>
    <w:rsid w:val="00001742"/>
    <w:rsid w:val="00001780"/>
    <w:rsid w:val="000019DC"/>
    <w:rsid w:val="00001A48"/>
    <w:rsid w:val="00001A7D"/>
    <w:rsid w:val="00001B62"/>
    <w:rsid w:val="00001B8F"/>
    <w:rsid w:val="00001C2F"/>
    <w:rsid w:val="00002131"/>
    <w:rsid w:val="0000231F"/>
    <w:rsid w:val="00002366"/>
    <w:rsid w:val="000024D8"/>
    <w:rsid w:val="0000279E"/>
    <w:rsid w:val="00002BA0"/>
    <w:rsid w:val="00002DD5"/>
    <w:rsid w:val="00003491"/>
    <w:rsid w:val="00003B4E"/>
    <w:rsid w:val="00003DB5"/>
    <w:rsid w:val="0000449E"/>
    <w:rsid w:val="00004CB2"/>
    <w:rsid w:val="0000569C"/>
    <w:rsid w:val="00005BCD"/>
    <w:rsid w:val="0000613C"/>
    <w:rsid w:val="000064C1"/>
    <w:rsid w:val="000068FE"/>
    <w:rsid w:val="000069F3"/>
    <w:rsid w:val="00006DA6"/>
    <w:rsid w:val="00006EEE"/>
    <w:rsid w:val="00007618"/>
    <w:rsid w:val="0000784C"/>
    <w:rsid w:val="00007DF6"/>
    <w:rsid w:val="00007E70"/>
    <w:rsid w:val="00007F38"/>
    <w:rsid w:val="00010406"/>
    <w:rsid w:val="00010B38"/>
    <w:rsid w:val="00010C64"/>
    <w:rsid w:val="00010C9A"/>
    <w:rsid w:val="00010E50"/>
    <w:rsid w:val="00011055"/>
    <w:rsid w:val="000111BF"/>
    <w:rsid w:val="0001125F"/>
    <w:rsid w:val="000115EB"/>
    <w:rsid w:val="0001194D"/>
    <w:rsid w:val="00011A03"/>
    <w:rsid w:val="0001211B"/>
    <w:rsid w:val="000124B8"/>
    <w:rsid w:val="00012683"/>
    <w:rsid w:val="00012F19"/>
    <w:rsid w:val="00013630"/>
    <w:rsid w:val="00013796"/>
    <w:rsid w:val="00013FF6"/>
    <w:rsid w:val="00014081"/>
    <w:rsid w:val="00014158"/>
    <w:rsid w:val="00014BF2"/>
    <w:rsid w:val="00015085"/>
    <w:rsid w:val="00015355"/>
    <w:rsid w:val="0001586C"/>
    <w:rsid w:val="00015BE8"/>
    <w:rsid w:val="00015EE1"/>
    <w:rsid w:val="00016F9B"/>
    <w:rsid w:val="0001780E"/>
    <w:rsid w:val="00017876"/>
    <w:rsid w:val="00017994"/>
    <w:rsid w:val="00017D0F"/>
    <w:rsid w:val="00020041"/>
    <w:rsid w:val="00020042"/>
    <w:rsid w:val="00020272"/>
    <w:rsid w:val="00020A63"/>
    <w:rsid w:val="00020CA1"/>
    <w:rsid w:val="00020D2D"/>
    <w:rsid w:val="00021232"/>
    <w:rsid w:val="00021234"/>
    <w:rsid w:val="00021D66"/>
    <w:rsid w:val="00022181"/>
    <w:rsid w:val="00022483"/>
    <w:rsid w:val="000226A2"/>
    <w:rsid w:val="00022F29"/>
    <w:rsid w:val="00022FA5"/>
    <w:rsid w:val="00023DE2"/>
    <w:rsid w:val="00023F07"/>
    <w:rsid w:val="00024745"/>
    <w:rsid w:val="000249A0"/>
    <w:rsid w:val="000251F9"/>
    <w:rsid w:val="00026453"/>
    <w:rsid w:val="0002668E"/>
    <w:rsid w:val="00026C0D"/>
    <w:rsid w:val="00026F3C"/>
    <w:rsid w:val="00027B98"/>
    <w:rsid w:val="00027EE7"/>
    <w:rsid w:val="000318C1"/>
    <w:rsid w:val="00031B01"/>
    <w:rsid w:val="00031D63"/>
    <w:rsid w:val="00031E30"/>
    <w:rsid w:val="00031F84"/>
    <w:rsid w:val="0003222B"/>
    <w:rsid w:val="0003257A"/>
    <w:rsid w:val="00032805"/>
    <w:rsid w:val="000329E1"/>
    <w:rsid w:val="00032B9D"/>
    <w:rsid w:val="0003300E"/>
    <w:rsid w:val="00033133"/>
    <w:rsid w:val="000336DA"/>
    <w:rsid w:val="00033CFE"/>
    <w:rsid w:val="000346AE"/>
    <w:rsid w:val="00034B7D"/>
    <w:rsid w:val="00035B13"/>
    <w:rsid w:val="000364EB"/>
    <w:rsid w:val="00036D2A"/>
    <w:rsid w:val="000370F1"/>
    <w:rsid w:val="000374C0"/>
    <w:rsid w:val="00037800"/>
    <w:rsid w:val="00037813"/>
    <w:rsid w:val="00037BFF"/>
    <w:rsid w:val="00040025"/>
    <w:rsid w:val="000407A4"/>
    <w:rsid w:val="00040913"/>
    <w:rsid w:val="00040D6D"/>
    <w:rsid w:val="00041CC5"/>
    <w:rsid w:val="00041DC3"/>
    <w:rsid w:val="00041F0F"/>
    <w:rsid w:val="00042239"/>
    <w:rsid w:val="0004245A"/>
    <w:rsid w:val="000425FE"/>
    <w:rsid w:val="0004277E"/>
    <w:rsid w:val="00042BE7"/>
    <w:rsid w:val="0004309B"/>
    <w:rsid w:val="000432AD"/>
    <w:rsid w:val="0004343F"/>
    <w:rsid w:val="000436A1"/>
    <w:rsid w:val="00044807"/>
    <w:rsid w:val="00044893"/>
    <w:rsid w:val="0004489E"/>
    <w:rsid w:val="00044925"/>
    <w:rsid w:val="00044983"/>
    <w:rsid w:val="000449DF"/>
    <w:rsid w:val="00044BDC"/>
    <w:rsid w:val="00045027"/>
    <w:rsid w:val="00045437"/>
    <w:rsid w:val="0004634E"/>
    <w:rsid w:val="00046352"/>
    <w:rsid w:val="000463AF"/>
    <w:rsid w:val="000466E1"/>
    <w:rsid w:val="00046EFD"/>
    <w:rsid w:val="00047072"/>
    <w:rsid w:val="000473C6"/>
    <w:rsid w:val="00047689"/>
    <w:rsid w:val="00050606"/>
    <w:rsid w:val="0005067D"/>
    <w:rsid w:val="0005102B"/>
    <w:rsid w:val="00051573"/>
    <w:rsid w:val="000515C3"/>
    <w:rsid w:val="0005202D"/>
    <w:rsid w:val="000522B2"/>
    <w:rsid w:val="0005235B"/>
    <w:rsid w:val="000528AE"/>
    <w:rsid w:val="00052918"/>
    <w:rsid w:val="00052A81"/>
    <w:rsid w:val="00052EC4"/>
    <w:rsid w:val="00052FC0"/>
    <w:rsid w:val="0005304E"/>
    <w:rsid w:val="000539E9"/>
    <w:rsid w:val="00053B61"/>
    <w:rsid w:val="00053D6E"/>
    <w:rsid w:val="00053E12"/>
    <w:rsid w:val="000541E3"/>
    <w:rsid w:val="00054798"/>
    <w:rsid w:val="00054A1C"/>
    <w:rsid w:val="00054B98"/>
    <w:rsid w:val="00054F85"/>
    <w:rsid w:val="000553E3"/>
    <w:rsid w:val="0005605F"/>
    <w:rsid w:val="000562D3"/>
    <w:rsid w:val="00056B58"/>
    <w:rsid w:val="00056C36"/>
    <w:rsid w:val="00057255"/>
    <w:rsid w:val="00057402"/>
    <w:rsid w:val="00057712"/>
    <w:rsid w:val="00057940"/>
    <w:rsid w:val="00057D76"/>
    <w:rsid w:val="00060296"/>
    <w:rsid w:val="00060638"/>
    <w:rsid w:val="0006088F"/>
    <w:rsid w:val="0006097C"/>
    <w:rsid w:val="000609F2"/>
    <w:rsid w:val="00060DB5"/>
    <w:rsid w:val="000615B3"/>
    <w:rsid w:val="00061947"/>
    <w:rsid w:val="00061E7B"/>
    <w:rsid w:val="00062063"/>
    <w:rsid w:val="000623F8"/>
    <w:rsid w:val="00062529"/>
    <w:rsid w:val="0006252F"/>
    <w:rsid w:val="000625F5"/>
    <w:rsid w:val="0006267F"/>
    <w:rsid w:val="00062735"/>
    <w:rsid w:val="00062928"/>
    <w:rsid w:val="00062CF8"/>
    <w:rsid w:val="00062F2A"/>
    <w:rsid w:val="00062FA0"/>
    <w:rsid w:val="0006330B"/>
    <w:rsid w:val="000633C9"/>
    <w:rsid w:val="00063463"/>
    <w:rsid w:val="000638D3"/>
    <w:rsid w:val="00063AAC"/>
    <w:rsid w:val="00063DAD"/>
    <w:rsid w:val="000640A4"/>
    <w:rsid w:val="000648AA"/>
    <w:rsid w:val="00064BEC"/>
    <w:rsid w:val="00064E01"/>
    <w:rsid w:val="00065371"/>
    <w:rsid w:val="00065914"/>
    <w:rsid w:val="0006596C"/>
    <w:rsid w:val="00065E86"/>
    <w:rsid w:val="00067485"/>
    <w:rsid w:val="00067C1F"/>
    <w:rsid w:val="00067C31"/>
    <w:rsid w:val="00070056"/>
    <w:rsid w:val="000702D9"/>
    <w:rsid w:val="00070C1F"/>
    <w:rsid w:val="00070DC6"/>
    <w:rsid w:val="00070E65"/>
    <w:rsid w:val="00070E9E"/>
    <w:rsid w:val="00071401"/>
    <w:rsid w:val="000715A2"/>
    <w:rsid w:val="000715BE"/>
    <w:rsid w:val="000718BE"/>
    <w:rsid w:val="0007197B"/>
    <w:rsid w:val="00071FC5"/>
    <w:rsid w:val="0007210A"/>
    <w:rsid w:val="00072377"/>
    <w:rsid w:val="00072D2B"/>
    <w:rsid w:val="00073373"/>
    <w:rsid w:val="000733F2"/>
    <w:rsid w:val="00073BA8"/>
    <w:rsid w:val="00073BE7"/>
    <w:rsid w:val="00073C78"/>
    <w:rsid w:val="0007411E"/>
    <w:rsid w:val="000741C3"/>
    <w:rsid w:val="00074B60"/>
    <w:rsid w:val="00075206"/>
    <w:rsid w:val="000752AE"/>
    <w:rsid w:val="00075B13"/>
    <w:rsid w:val="00076280"/>
    <w:rsid w:val="00076985"/>
    <w:rsid w:val="000769F0"/>
    <w:rsid w:val="00076C38"/>
    <w:rsid w:val="00076F49"/>
    <w:rsid w:val="000770FB"/>
    <w:rsid w:val="000771E2"/>
    <w:rsid w:val="00077DB0"/>
    <w:rsid w:val="00077F9E"/>
    <w:rsid w:val="0008026A"/>
    <w:rsid w:val="00080326"/>
    <w:rsid w:val="0008056D"/>
    <w:rsid w:val="00080B11"/>
    <w:rsid w:val="00080C13"/>
    <w:rsid w:val="00081312"/>
    <w:rsid w:val="000813BE"/>
    <w:rsid w:val="000818AE"/>
    <w:rsid w:val="000818EB"/>
    <w:rsid w:val="0008193C"/>
    <w:rsid w:val="00082123"/>
    <w:rsid w:val="0008237F"/>
    <w:rsid w:val="00083253"/>
    <w:rsid w:val="0008366D"/>
    <w:rsid w:val="000838CD"/>
    <w:rsid w:val="00083AD6"/>
    <w:rsid w:val="00083CF4"/>
    <w:rsid w:val="00083F1D"/>
    <w:rsid w:val="00083F8E"/>
    <w:rsid w:val="000842F7"/>
    <w:rsid w:val="0008474D"/>
    <w:rsid w:val="00084911"/>
    <w:rsid w:val="00084BFF"/>
    <w:rsid w:val="00084D7E"/>
    <w:rsid w:val="00084E58"/>
    <w:rsid w:val="00085354"/>
    <w:rsid w:val="000859E0"/>
    <w:rsid w:val="00085A46"/>
    <w:rsid w:val="00085C1F"/>
    <w:rsid w:val="00085EAE"/>
    <w:rsid w:val="00085FDE"/>
    <w:rsid w:val="00086448"/>
    <w:rsid w:val="00087664"/>
    <w:rsid w:val="000878F9"/>
    <w:rsid w:val="0008791A"/>
    <w:rsid w:val="00090A27"/>
    <w:rsid w:val="00090AC0"/>
    <w:rsid w:val="00090E2C"/>
    <w:rsid w:val="00091346"/>
    <w:rsid w:val="00091630"/>
    <w:rsid w:val="0009180D"/>
    <w:rsid w:val="000919AD"/>
    <w:rsid w:val="00091A54"/>
    <w:rsid w:val="00092606"/>
    <w:rsid w:val="00092644"/>
    <w:rsid w:val="00092656"/>
    <w:rsid w:val="00092A35"/>
    <w:rsid w:val="00092B61"/>
    <w:rsid w:val="00092B90"/>
    <w:rsid w:val="00092E71"/>
    <w:rsid w:val="0009301D"/>
    <w:rsid w:val="00093397"/>
    <w:rsid w:val="00093712"/>
    <w:rsid w:val="00093A48"/>
    <w:rsid w:val="00093D00"/>
    <w:rsid w:val="00093D4B"/>
    <w:rsid w:val="00094557"/>
    <w:rsid w:val="000946A8"/>
    <w:rsid w:val="000947DC"/>
    <w:rsid w:val="0009500F"/>
    <w:rsid w:val="0009575D"/>
    <w:rsid w:val="00095BA3"/>
    <w:rsid w:val="000964F1"/>
    <w:rsid w:val="00096848"/>
    <w:rsid w:val="000968B6"/>
    <w:rsid w:val="000968CB"/>
    <w:rsid w:val="0009733D"/>
    <w:rsid w:val="000976BB"/>
    <w:rsid w:val="00097E02"/>
    <w:rsid w:val="00097FC2"/>
    <w:rsid w:val="000A0172"/>
    <w:rsid w:val="000A05D1"/>
    <w:rsid w:val="000A0848"/>
    <w:rsid w:val="000A1188"/>
    <w:rsid w:val="000A1852"/>
    <w:rsid w:val="000A1B7E"/>
    <w:rsid w:val="000A1D21"/>
    <w:rsid w:val="000A1D60"/>
    <w:rsid w:val="000A251A"/>
    <w:rsid w:val="000A25B9"/>
    <w:rsid w:val="000A2AB5"/>
    <w:rsid w:val="000A2CDF"/>
    <w:rsid w:val="000A2E49"/>
    <w:rsid w:val="000A302A"/>
    <w:rsid w:val="000A3280"/>
    <w:rsid w:val="000A35C2"/>
    <w:rsid w:val="000A36E2"/>
    <w:rsid w:val="000A3C25"/>
    <w:rsid w:val="000A3D06"/>
    <w:rsid w:val="000A3F59"/>
    <w:rsid w:val="000A43DB"/>
    <w:rsid w:val="000A45E9"/>
    <w:rsid w:val="000A4991"/>
    <w:rsid w:val="000A599D"/>
    <w:rsid w:val="000A5D8A"/>
    <w:rsid w:val="000A6BE3"/>
    <w:rsid w:val="000A6C7D"/>
    <w:rsid w:val="000A6FD6"/>
    <w:rsid w:val="000A70B1"/>
    <w:rsid w:val="000A72F8"/>
    <w:rsid w:val="000A79E7"/>
    <w:rsid w:val="000A7BA7"/>
    <w:rsid w:val="000B0370"/>
    <w:rsid w:val="000B072D"/>
    <w:rsid w:val="000B0891"/>
    <w:rsid w:val="000B0E7D"/>
    <w:rsid w:val="000B0F5D"/>
    <w:rsid w:val="000B10DE"/>
    <w:rsid w:val="000B1A5E"/>
    <w:rsid w:val="000B215C"/>
    <w:rsid w:val="000B2D07"/>
    <w:rsid w:val="000B2EBB"/>
    <w:rsid w:val="000B347B"/>
    <w:rsid w:val="000B3736"/>
    <w:rsid w:val="000B405C"/>
    <w:rsid w:val="000B40A5"/>
    <w:rsid w:val="000B4308"/>
    <w:rsid w:val="000B47AF"/>
    <w:rsid w:val="000B4A82"/>
    <w:rsid w:val="000B4BA3"/>
    <w:rsid w:val="000B55DE"/>
    <w:rsid w:val="000B56C1"/>
    <w:rsid w:val="000B6465"/>
    <w:rsid w:val="000B658E"/>
    <w:rsid w:val="000B67F1"/>
    <w:rsid w:val="000B72F2"/>
    <w:rsid w:val="000C000E"/>
    <w:rsid w:val="000C0068"/>
    <w:rsid w:val="000C0767"/>
    <w:rsid w:val="000C08B3"/>
    <w:rsid w:val="000C1058"/>
    <w:rsid w:val="000C19C0"/>
    <w:rsid w:val="000C1FB3"/>
    <w:rsid w:val="000C20F9"/>
    <w:rsid w:val="000C25C3"/>
    <w:rsid w:val="000C282B"/>
    <w:rsid w:val="000C2B54"/>
    <w:rsid w:val="000C2D76"/>
    <w:rsid w:val="000C2FE4"/>
    <w:rsid w:val="000C3314"/>
    <w:rsid w:val="000C376C"/>
    <w:rsid w:val="000C383B"/>
    <w:rsid w:val="000C390E"/>
    <w:rsid w:val="000C3916"/>
    <w:rsid w:val="000C408C"/>
    <w:rsid w:val="000C4179"/>
    <w:rsid w:val="000C4FA5"/>
    <w:rsid w:val="000C4FD8"/>
    <w:rsid w:val="000C5515"/>
    <w:rsid w:val="000C5689"/>
    <w:rsid w:val="000C5972"/>
    <w:rsid w:val="000C5B24"/>
    <w:rsid w:val="000C5E2B"/>
    <w:rsid w:val="000C60DC"/>
    <w:rsid w:val="000C62EC"/>
    <w:rsid w:val="000C6738"/>
    <w:rsid w:val="000C6AF1"/>
    <w:rsid w:val="000C713D"/>
    <w:rsid w:val="000C779F"/>
    <w:rsid w:val="000C788C"/>
    <w:rsid w:val="000C78DF"/>
    <w:rsid w:val="000C7DE2"/>
    <w:rsid w:val="000D06C7"/>
    <w:rsid w:val="000D0A5C"/>
    <w:rsid w:val="000D1517"/>
    <w:rsid w:val="000D15C5"/>
    <w:rsid w:val="000D170D"/>
    <w:rsid w:val="000D2118"/>
    <w:rsid w:val="000D2624"/>
    <w:rsid w:val="000D273C"/>
    <w:rsid w:val="000D28C8"/>
    <w:rsid w:val="000D2B9A"/>
    <w:rsid w:val="000D3A48"/>
    <w:rsid w:val="000D3B5F"/>
    <w:rsid w:val="000D3E3B"/>
    <w:rsid w:val="000D41D2"/>
    <w:rsid w:val="000D4258"/>
    <w:rsid w:val="000D4A2A"/>
    <w:rsid w:val="000D5BDC"/>
    <w:rsid w:val="000D5F61"/>
    <w:rsid w:val="000D68CB"/>
    <w:rsid w:val="000D6B65"/>
    <w:rsid w:val="000D6C5A"/>
    <w:rsid w:val="000D768E"/>
    <w:rsid w:val="000D7A40"/>
    <w:rsid w:val="000D7BBE"/>
    <w:rsid w:val="000E0146"/>
    <w:rsid w:val="000E04F1"/>
    <w:rsid w:val="000E0BA3"/>
    <w:rsid w:val="000E0C19"/>
    <w:rsid w:val="000E11D7"/>
    <w:rsid w:val="000E12AD"/>
    <w:rsid w:val="000E2387"/>
    <w:rsid w:val="000E2644"/>
    <w:rsid w:val="000E283E"/>
    <w:rsid w:val="000E2C16"/>
    <w:rsid w:val="000E2DB8"/>
    <w:rsid w:val="000E2E35"/>
    <w:rsid w:val="000E326E"/>
    <w:rsid w:val="000E33A4"/>
    <w:rsid w:val="000E34A7"/>
    <w:rsid w:val="000E3BA6"/>
    <w:rsid w:val="000E45A0"/>
    <w:rsid w:val="000E4C42"/>
    <w:rsid w:val="000E4EE6"/>
    <w:rsid w:val="000E4FBA"/>
    <w:rsid w:val="000E52A9"/>
    <w:rsid w:val="000E607E"/>
    <w:rsid w:val="000E688B"/>
    <w:rsid w:val="000E6BCE"/>
    <w:rsid w:val="000E6DBE"/>
    <w:rsid w:val="000E6EA5"/>
    <w:rsid w:val="000E6EA8"/>
    <w:rsid w:val="000E75C6"/>
    <w:rsid w:val="000E774E"/>
    <w:rsid w:val="000E7984"/>
    <w:rsid w:val="000E7C5B"/>
    <w:rsid w:val="000F03A7"/>
    <w:rsid w:val="000F0D09"/>
    <w:rsid w:val="000F0D1B"/>
    <w:rsid w:val="000F0ED4"/>
    <w:rsid w:val="000F0F7F"/>
    <w:rsid w:val="000F1616"/>
    <w:rsid w:val="000F1B0B"/>
    <w:rsid w:val="000F1C78"/>
    <w:rsid w:val="000F1D74"/>
    <w:rsid w:val="000F1EB0"/>
    <w:rsid w:val="000F240C"/>
    <w:rsid w:val="000F24AB"/>
    <w:rsid w:val="000F2E3E"/>
    <w:rsid w:val="000F301E"/>
    <w:rsid w:val="000F3377"/>
    <w:rsid w:val="000F34C8"/>
    <w:rsid w:val="000F37DA"/>
    <w:rsid w:val="000F3D5B"/>
    <w:rsid w:val="000F4310"/>
    <w:rsid w:val="000F4D24"/>
    <w:rsid w:val="000F534A"/>
    <w:rsid w:val="000F55AF"/>
    <w:rsid w:val="000F55B7"/>
    <w:rsid w:val="000F5E7E"/>
    <w:rsid w:val="000F600E"/>
    <w:rsid w:val="000F60A1"/>
    <w:rsid w:val="000F6184"/>
    <w:rsid w:val="000F66DB"/>
    <w:rsid w:val="000F677C"/>
    <w:rsid w:val="000F7189"/>
    <w:rsid w:val="000F72B3"/>
    <w:rsid w:val="000F7316"/>
    <w:rsid w:val="000F7E73"/>
    <w:rsid w:val="00100123"/>
    <w:rsid w:val="00100652"/>
    <w:rsid w:val="001007DB"/>
    <w:rsid w:val="00100B65"/>
    <w:rsid w:val="00100FE4"/>
    <w:rsid w:val="00101136"/>
    <w:rsid w:val="001011E5"/>
    <w:rsid w:val="001014C3"/>
    <w:rsid w:val="001022E4"/>
    <w:rsid w:val="0010268E"/>
    <w:rsid w:val="001029AC"/>
    <w:rsid w:val="00102AF0"/>
    <w:rsid w:val="00103BA9"/>
    <w:rsid w:val="001045D8"/>
    <w:rsid w:val="00104644"/>
    <w:rsid w:val="00104914"/>
    <w:rsid w:val="00104B8B"/>
    <w:rsid w:val="00105FE3"/>
    <w:rsid w:val="0010602A"/>
    <w:rsid w:val="00106198"/>
    <w:rsid w:val="001066C6"/>
    <w:rsid w:val="001067AD"/>
    <w:rsid w:val="00106968"/>
    <w:rsid w:val="00106A2D"/>
    <w:rsid w:val="00107416"/>
    <w:rsid w:val="0010785C"/>
    <w:rsid w:val="00107C4B"/>
    <w:rsid w:val="00110BE9"/>
    <w:rsid w:val="00110D6D"/>
    <w:rsid w:val="00111312"/>
    <w:rsid w:val="00111595"/>
    <w:rsid w:val="0011198C"/>
    <w:rsid w:val="001119DD"/>
    <w:rsid w:val="00111B8A"/>
    <w:rsid w:val="00111C21"/>
    <w:rsid w:val="00111C35"/>
    <w:rsid w:val="00111ED6"/>
    <w:rsid w:val="00112109"/>
    <w:rsid w:val="001122DD"/>
    <w:rsid w:val="001126E7"/>
    <w:rsid w:val="00112830"/>
    <w:rsid w:val="00112C98"/>
    <w:rsid w:val="00112CC7"/>
    <w:rsid w:val="001130CA"/>
    <w:rsid w:val="00113508"/>
    <w:rsid w:val="00113BC6"/>
    <w:rsid w:val="00113ED5"/>
    <w:rsid w:val="001140D6"/>
    <w:rsid w:val="00114200"/>
    <w:rsid w:val="00114ECB"/>
    <w:rsid w:val="00115242"/>
    <w:rsid w:val="001153A5"/>
    <w:rsid w:val="00115DD6"/>
    <w:rsid w:val="00116170"/>
    <w:rsid w:val="001161F2"/>
    <w:rsid w:val="00116280"/>
    <w:rsid w:val="001168DB"/>
    <w:rsid w:val="001170A9"/>
    <w:rsid w:val="001175AC"/>
    <w:rsid w:val="00117BA9"/>
    <w:rsid w:val="00117C82"/>
    <w:rsid w:val="00120424"/>
    <w:rsid w:val="0012089B"/>
    <w:rsid w:val="001208D6"/>
    <w:rsid w:val="00120B01"/>
    <w:rsid w:val="00120EEE"/>
    <w:rsid w:val="00121109"/>
    <w:rsid w:val="001213E5"/>
    <w:rsid w:val="0012140A"/>
    <w:rsid w:val="00121965"/>
    <w:rsid w:val="001220A2"/>
    <w:rsid w:val="00122331"/>
    <w:rsid w:val="00122CEB"/>
    <w:rsid w:val="00122D11"/>
    <w:rsid w:val="001233AF"/>
    <w:rsid w:val="00123986"/>
    <w:rsid w:val="00123AE7"/>
    <w:rsid w:val="00123F39"/>
    <w:rsid w:val="00124166"/>
    <w:rsid w:val="00124293"/>
    <w:rsid w:val="001243D3"/>
    <w:rsid w:val="00124E90"/>
    <w:rsid w:val="0012507A"/>
    <w:rsid w:val="00125496"/>
    <w:rsid w:val="00125878"/>
    <w:rsid w:val="00126911"/>
    <w:rsid w:val="00126E48"/>
    <w:rsid w:val="00126F08"/>
    <w:rsid w:val="0012721E"/>
    <w:rsid w:val="001275C1"/>
    <w:rsid w:val="001277CB"/>
    <w:rsid w:val="0013002D"/>
    <w:rsid w:val="0013069A"/>
    <w:rsid w:val="00130B3B"/>
    <w:rsid w:val="00130E1F"/>
    <w:rsid w:val="0013121E"/>
    <w:rsid w:val="001314AD"/>
    <w:rsid w:val="00132974"/>
    <w:rsid w:val="00132D91"/>
    <w:rsid w:val="00133246"/>
    <w:rsid w:val="00133795"/>
    <w:rsid w:val="00133B38"/>
    <w:rsid w:val="00133C8E"/>
    <w:rsid w:val="00133DC9"/>
    <w:rsid w:val="00133E00"/>
    <w:rsid w:val="00134264"/>
    <w:rsid w:val="001348A0"/>
    <w:rsid w:val="0013492A"/>
    <w:rsid w:val="00134D00"/>
    <w:rsid w:val="00134F08"/>
    <w:rsid w:val="001351BB"/>
    <w:rsid w:val="001355B8"/>
    <w:rsid w:val="00135D8D"/>
    <w:rsid w:val="00136309"/>
    <w:rsid w:val="001365D3"/>
    <w:rsid w:val="00136688"/>
    <w:rsid w:val="00136DD2"/>
    <w:rsid w:val="001370EE"/>
    <w:rsid w:val="001372FA"/>
    <w:rsid w:val="00137B74"/>
    <w:rsid w:val="00137BF0"/>
    <w:rsid w:val="00137F02"/>
    <w:rsid w:val="00140141"/>
    <w:rsid w:val="00140208"/>
    <w:rsid w:val="0014032B"/>
    <w:rsid w:val="00140925"/>
    <w:rsid w:val="00140A6A"/>
    <w:rsid w:val="001411FF"/>
    <w:rsid w:val="001412C9"/>
    <w:rsid w:val="00141461"/>
    <w:rsid w:val="00141634"/>
    <w:rsid w:val="0014196E"/>
    <w:rsid w:val="00141C58"/>
    <w:rsid w:val="00141D78"/>
    <w:rsid w:val="00141E39"/>
    <w:rsid w:val="001421CB"/>
    <w:rsid w:val="00142B15"/>
    <w:rsid w:val="0014338B"/>
    <w:rsid w:val="00143B77"/>
    <w:rsid w:val="00143BFC"/>
    <w:rsid w:val="00143CDC"/>
    <w:rsid w:val="00143D79"/>
    <w:rsid w:val="00144016"/>
    <w:rsid w:val="00144246"/>
    <w:rsid w:val="0014464C"/>
    <w:rsid w:val="00144931"/>
    <w:rsid w:val="00144D4D"/>
    <w:rsid w:val="00144D93"/>
    <w:rsid w:val="00145586"/>
    <w:rsid w:val="001457F5"/>
    <w:rsid w:val="00145C40"/>
    <w:rsid w:val="00146222"/>
    <w:rsid w:val="001462A8"/>
    <w:rsid w:val="00146ACB"/>
    <w:rsid w:val="00146E1A"/>
    <w:rsid w:val="00146ED7"/>
    <w:rsid w:val="0014756B"/>
    <w:rsid w:val="00147621"/>
    <w:rsid w:val="00147B92"/>
    <w:rsid w:val="00147C88"/>
    <w:rsid w:val="00147FA9"/>
    <w:rsid w:val="00147FCF"/>
    <w:rsid w:val="001503EC"/>
    <w:rsid w:val="0015051C"/>
    <w:rsid w:val="00150C9A"/>
    <w:rsid w:val="00150DD9"/>
    <w:rsid w:val="00150F91"/>
    <w:rsid w:val="00151226"/>
    <w:rsid w:val="00151337"/>
    <w:rsid w:val="00151A0D"/>
    <w:rsid w:val="00151FA3"/>
    <w:rsid w:val="00152389"/>
    <w:rsid w:val="0015246C"/>
    <w:rsid w:val="00152C0A"/>
    <w:rsid w:val="00152DA4"/>
    <w:rsid w:val="0015344B"/>
    <w:rsid w:val="001534AD"/>
    <w:rsid w:val="001536EF"/>
    <w:rsid w:val="001539E1"/>
    <w:rsid w:val="00153F96"/>
    <w:rsid w:val="001541C3"/>
    <w:rsid w:val="001546A3"/>
    <w:rsid w:val="001549A7"/>
    <w:rsid w:val="001551BF"/>
    <w:rsid w:val="0015576C"/>
    <w:rsid w:val="00155EE2"/>
    <w:rsid w:val="00155F3E"/>
    <w:rsid w:val="00155F77"/>
    <w:rsid w:val="00156146"/>
    <w:rsid w:val="00156202"/>
    <w:rsid w:val="00156434"/>
    <w:rsid w:val="001567FD"/>
    <w:rsid w:val="001572D8"/>
    <w:rsid w:val="0015737A"/>
    <w:rsid w:val="00157CA2"/>
    <w:rsid w:val="00160024"/>
    <w:rsid w:val="0016037F"/>
    <w:rsid w:val="00160399"/>
    <w:rsid w:val="00160650"/>
    <w:rsid w:val="00160C19"/>
    <w:rsid w:val="00160CA1"/>
    <w:rsid w:val="0016110A"/>
    <w:rsid w:val="00161B7E"/>
    <w:rsid w:val="00161D6A"/>
    <w:rsid w:val="001620DF"/>
    <w:rsid w:val="001621B6"/>
    <w:rsid w:val="001623BD"/>
    <w:rsid w:val="00162913"/>
    <w:rsid w:val="00162C01"/>
    <w:rsid w:val="001632A4"/>
    <w:rsid w:val="001637DE"/>
    <w:rsid w:val="00163A5F"/>
    <w:rsid w:val="00163BAC"/>
    <w:rsid w:val="00163E75"/>
    <w:rsid w:val="001643A8"/>
    <w:rsid w:val="0016488F"/>
    <w:rsid w:val="00164CF1"/>
    <w:rsid w:val="00164D73"/>
    <w:rsid w:val="00165246"/>
    <w:rsid w:val="00165320"/>
    <w:rsid w:val="0016533A"/>
    <w:rsid w:val="00165B90"/>
    <w:rsid w:val="00165BB5"/>
    <w:rsid w:val="00165BF9"/>
    <w:rsid w:val="00165C3F"/>
    <w:rsid w:val="00166378"/>
    <w:rsid w:val="0016656C"/>
    <w:rsid w:val="00166593"/>
    <w:rsid w:val="001668B4"/>
    <w:rsid w:val="00166901"/>
    <w:rsid w:val="00166916"/>
    <w:rsid w:val="00166B9E"/>
    <w:rsid w:val="00166DC1"/>
    <w:rsid w:val="00167278"/>
    <w:rsid w:val="0016729C"/>
    <w:rsid w:val="0016744E"/>
    <w:rsid w:val="00167486"/>
    <w:rsid w:val="001676AF"/>
    <w:rsid w:val="0016777E"/>
    <w:rsid w:val="001679EE"/>
    <w:rsid w:val="00167E74"/>
    <w:rsid w:val="0017029F"/>
    <w:rsid w:val="0017081D"/>
    <w:rsid w:val="00170C55"/>
    <w:rsid w:val="00170CA2"/>
    <w:rsid w:val="00171F1D"/>
    <w:rsid w:val="0017210A"/>
    <w:rsid w:val="00172273"/>
    <w:rsid w:val="00172356"/>
    <w:rsid w:val="001724AD"/>
    <w:rsid w:val="00172ADF"/>
    <w:rsid w:val="00172B94"/>
    <w:rsid w:val="00172DB2"/>
    <w:rsid w:val="001738C7"/>
    <w:rsid w:val="00173A6B"/>
    <w:rsid w:val="00173ED6"/>
    <w:rsid w:val="001753F3"/>
    <w:rsid w:val="001758B8"/>
    <w:rsid w:val="00176051"/>
    <w:rsid w:val="00176272"/>
    <w:rsid w:val="001765F4"/>
    <w:rsid w:val="0017678B"/>
    <w:rsid w:val="00176802"/>
    <w:rsid w:val="00176B39"/>
    <w:rsid w:val="00176CC4"/>
    <w:rsid w:val="00176D54"/>
    <w:rsid w:val="00176D84"/>
    <w:rsid w:val="001771D5"/>
    <w:rsid w:val="00177647"/>
    <w:rsid w:val="00177690"/>
    <w:rsid w:val="00177B06"/>
    <w:rsid w:val="00177B6C"/>
    <w:rsid w:val="00180E8B"/>
    <w:rsid w:val="001812A3"/>
    <w:rsid w:val="001812E7"/>
    <w:rsid w:val="001815DC"/>
    <w:rsid w:val="001817EC"/>
    <w:rsid w:val="0018232A"/>
    <w:rsid w:val="001827B0"/>
    <w:rsid w:val="0018281F"/>
    <w:rsid w:val="00182832"/>
    <w:rsid w:val="00182AC1"/>
    <w:rsid w:val="00182CD4"/>
    <w:rsid w:val="00183030"/>
    <w:rsid w:val="0018324A"/>
    <w:rsid w:val="00183303"/>
    <w:rsid w:val="0018334E"/>
    <w:rsid w:val="0018349F"/>
    <w:rsid w:val="00183546"/>
    <w:rsid w:val="0018429A"/>
    <w:rsid w:val="00184306"/>
    <w:rsid w:val="0018446A"/>
    <w:rsid w:val="00184831"/>
    <w:rsid w:val="001849A4"/>
    <w:rsid w:val="00184ACE"/>
    <w:rsid w:val="001856F0"/>
    <w:rsid w:val="0018581B"/>
    <w:rsid w:val="00185929"/>
    <w:rsid w:val="00185DC0"/>
    <w:rsid w:val="00185ED5"/>
    <w:rsid w:val="001861F3"/>
    <w:rsid w:val="001867C0"/>
    <w:rsid w:val="00186A68"/>
    <w:rsid w:val="00186F1A"/>
    <w:rsid w:val="00187568"/>
    <w:rsid w:val="001875E6"/>
    <w:rsid w:val="00187706"/>
    <w:rsid w:val="00187EED"/>
    <w:rsid w:val="00187F29"/>
    <w:rsid w:val="0019009E"/>
    <w:rsid w:val="0019078B"/>
    <w:rsid w:val="00190A95"/>
    <w:rsid w:val="00190AB4"/>
    <w:rsid w:val="00191BBA"/>
    <w:rsid w:val="00191DB3"/>
    <w:rsid w:val="00192EBD"/>
    <w:rsid w:val="00193975"/>
    <w:rsid w:val="00194125"/>
    <w:rsid w:val="001942ED"/>
    <w:rsid w:val="00194E8D"/>
    <w:rsid w:val="00194F39"/>
    <w:rsid w:val="001950B8"/>
    <w:rsid w:val="00195799"/>
    <w:rsid w:val="00195812"/>
    <w:rsid w:val="00195995"/>
    <w:rsid w:val="00195B1F"/>
    <w:rsid w:val="00195FE8"/>
    <w:rsid w:val="00196717"/>
    <w:rsid w:val="00196F30"/>
    <w:rsid w:val="0019742C"/>
    <w:rsid w:val="00197916"/>
    <w:rsid w:val="00197BF5"/>
    <w:rsid w:val="001A0622"/>
    <w:rsid w:val="001A0772"/>
    <w:rsid w:val="001A0F9A"/>
    <w:rsid w:val="001A1116"/>
    <w:rsid w:val="001A1348"/>
    <w:rsid w:val="001A174A"/>
    <w:rsid w:val="001A18A2"/>
    <w:rsid w:val="001A1CE9"/>
    <w:rsid w:val="001A2292"/>
    <w:rsid w:val="001A2514"/>
    <w:rsid w:val="001A2906"/>
    <w:rsid w:val="001A2A0C"/>
    <w:rsid w:val="001A3734"/>
    <w:rsid w:val="001A3BEC"/>
    <w:rsid w:val="001A3C96"/>
    <w:rsid w:val="001A3E4D"/>
    <w:rsid w:val="001A3EDA"/>
    <w:rsid w:val="001A42A4"/>
    <w:rsid w:val="001A45AC"/>
    <w:rsid w:val="001A4609"/>
    <w:rsid w:val="001A4885"/>
    <w:rsid w:val="001A49B3"/>
    <w:rsid w:val="001A4C68"/>
    <w:rsid w:val="001A4FBD"/>
    <w:rsid w:val="001A5034"/>
    <w:rsid w:val="001A5AAF"/>
    <w:rsid w:val="001A5AF1"/>
    <w:rsid w:val="001A5D8F"/>
    <w:rsid w:val="001A6155"/>
    <w:rsid w:val="001A616F"/>
    <w:rsid w:val="001A64BF"/>
    <w:rsid w:val="001A6815"/>
    <w:rsid w:val="001A6E12"/>
    <w:rsid w:val="001A7245"/>
    <w:rsid w:val="001A78F1"/>
    <w:rsid w:val="001A79DE"/>
    <w:rsid w:val="001A7BC3"/>
    <w:rsid w:val="001A7E71"/>
    <w:rsid w:val="001B0718"/>
    <w:rsid w:val="001B0746"/>
    <w:rsid w:val="001B19CE"/>
    <w:rsid w:val="001B1AC5"/>
    <w:rsid w:val="001B2207"/>
    <w:rsid w:val="001B2210"/>
    <w:rsid w:val="001B2972"/>
    <w:rsid w:val="001B2C17"/>
    <w:rsid w:val="001B2EC8"/>
    <w:rsid w:val="001B33ED"/>
    <w:rsid w:val="001B340F"/>
    <w:rsid w:val="001B3CBB"/>
    <w:rsid w:val="001B43F2"/>
    <w:rsid w:val="001B4521"/>
    <w:rsid w:val="001B461F"/>
    <w:rsid w:val="001B5246"/>
    <w:rsid w:val="001B59A9"/>
    <w:rsid w:val="001B5F6C"/>
    <w:rsid w:val="001B61ED"/>
    <w:rsid w:val="001B6BA7"/>
    <w:rsid w:val="001B70A3"/>
    <w:rsid w:val="001C10DD"/>
    <w:rsid w:val="001C1249"/>
    <w:rsid w:val="001C1475"/>
    <w:rsid w:val="001C171C"/>
    <w:rsid w:val="001C1880"/>
    <w:rsid w:val="001C19A4"/>
    <w:rsid w:val="001C1A1A"/>
    <w:rsid w:val="001C1C50"/>
    <w:rsid w:val="001C1E09"/>
    <w:rsid w:val="001C209C"/>
    <w:rsid w:val="001C21F9"/>
    <w:rsid w:val="001C2595"/>
    <w:rsid w:val="001C2C4B"/>
    <w:rsid w:val="001C2EB6"/>
    <w:rsid w:val="001C3134"/>
    <w:rsid w:val="001C39E2"/>
    <w:rsid w:val="001C3D1C"/>
    <w:rsid w:val="001C3F3C"/>
    <w:rsid w:val="001C3F63"/>
    <w:rsid w:val="001C42AA"/>
    <w:rsid w:val="001C4415"/>
    <w:rsid w:val="001C579C"/>
    <w:rsid w:val="001C59A1"/>
    <w:rsid w:val="001C5E03"/>
    <w:rsid w:val="001C6070"/>
    <w:rsid w:val="001C60AF"/>
    <w:rsid w:val="001C6220"/>
    <w:rsid w:val="001C6795"/>
    <w:rsid w:val="001C69E5"/>
    <w:rsid w:val="001C6B50"/>
    <w:rsid w:val="001C6DAF"/>
    <w:rsid w:val="001C7010"/>
    <w:rsid w:val="001C74D6"/>
    <w:rsid w:val="001C79D1"/>
    <w:rsid w:val="001C7B9E"/>
    <w:rsid w:val="001C7C92"/>
    <w:rsid w:val="001C7D2C"/>
    <w:rsid w:val="001C7F46"/>
    <w:rsid w:val="001C7FAE"/>
    <w:rsid w:val="001D0350"/>
    <w:rsid w:val="001D0999"/>
    <w:rsid w:val="001D132B"/>
    <w:rsid w:val="001D14D0"/>
    <w:rsid w:val="001D1D1E"/>
    <w:rsid w:val="001D211D"/>
    <w:rsid w:val="001D2345"/>
    <w:rsid w:val="001D2774"/>
    <w:rsid w:val="001D3334"/>
    <w:rsid w:val="001D3A80"/>
    <w:rsid w:val="001D4117"/>
    <w:rsid w:val="001D44D2"/>
    <w:rsid w:val="001D4D73"/>
    <w:rsid w:val="001D4EC1"/>
    <w:rsid w:val="001D50B1"/>
    <w:rsid w:val="001D5108"/>
    <w:rsid w:val="001D598B"/>
    <w:rsid w:val="001D5BD1"/>
    <w:rsid w:val="001D5CB7"/>
    <w:rsid w:val="001D6282"/>
    <w:rsid w:val="001D6554"/>
    <w:rsid w:val="001D65FC"/>
    <w:rsid w:val="001D6AAC"/>
    <w:rsid w:val="001E0031"/>
    <w:rsid w:val="001E0478"/>
    <w:rsid w:val="001E06FE"/>
    <w:rsid w:val="001E0A45"/>
    <w:rsid w:val="001E0A9F"/>
    <w:rsid w:val="001E0BB0"/>
    <w:rsid w:val="001E0E29"/>
    <w:rsid w:val="001E1087"/>
    <w:rsid w:val="001E1937"/>
    <w:rsid w:val="001E1AD7"/>
    <w:rsid w:val="001E1F4B"/>
    <w:rsid w:val="001E24B2"/>
    <w:rsid w:val="001E274A"/>
    <w:rsid w:val="001E2AAB"/>
    <w:rsid w:val="001E2CDC"/>
    <w:rsid w:val="001E2FF1"/>
    <w:rsid w:val="001E3504"/>
    <w:rsid w:val="001E394F"/>
    <w:rsid w:val="001E4217"/>
    <w:rsid w:val="001E4338"/>
    <w:rsid w:val="001E468C"/>
    <w:rsid w:val="001E4AC7"/>
    <w:rsid w:val="001E4C42"/>
    <w:rsid w:val="001E4C67"/>
    <w:rsid w:val="001E5C41"/>
    <w:rsid w:val="001E5F37"/>
    <w:rsid w:val="001E61A2"/>
    <w:rsid w:val="001E639E"/>
    <w:rsid w:val="001E6493"/>
    <w:rsid w:val="001E67EA"/>
    <w:rsid w:val="001E6A0B"/>
    <w:rsid w:val="001E701C"/>
    <w:rsid w:val="001E72AF"/>
    <w:rsid w:val="001E7F68"/>
    <w:rsid w:val="001F0423"/>
    <w:rsid w:val="001F0670"/>
    <w:rsid w:val="001F0893"/>
    <w:rsid w:val="001F0ED6"/>
    <w:rsid w:val="001F1583"/>
    <w:rsid w:val="001F1A13"/>
    <w:rsid w:val="001F1C2C"/>
    <w:rsid w:val="001F1D96"/>
    <w:rsid w:val="001F20CF"/>
    <w:rsid w:val="001F2606"/>
    <w:rsid w:val="001F2CB9"/>
    <w:rsid w:val="001F37A8"/>
    <w:rsid w:val="001F39E9"/>
    <w:rsid w:val="001F3BD2"/>
    <w:rsid w:val="001F3E5E"/>
    <w:rsid w:val="001F3FA0"/>
    <w:rsid w:val="001F429B"/>
    <w:rsid w:val="001F42B0"/>
    <w:rsid w:val="001F44CD"/>
    <w:rsid w:val="001F4DA5"/>
    <w:rsid w:val="001F4F32"/>
    <w:rsid w:val="001F5803"/>
    <w:rsid w:val="001F59C3"/>
    <w:rsid w:val="001F645C"/>
    <w:rsid w:val="001F6472"/>
    <w:rsid w:val="001F64CF"/>
    <w:rsid w:val="001F657C"/>
    <w:rsid w:val="001F6588"/>
    <w:rsid w:val="001F6682"/>
    <w:rsid w:val="001F6683"/>
    <w:rsid w:val="001F674C"/>
    <w:rsid w:val="001F6AF1"/>
    <w:rsid w:val="001F6EA7"/>
    <w:rsid w:val="001F728D"/>
    <w:rsid w:val="001F76CD"/>
    <w:rsid w:val="001F7AB4"/>
    <w:rsid w:val="0020044F"/>
    <w:rsid w:val="0020063A"/>
    <w:rsid w:val="00200982"/>
    <w:rsid w:val="00200A8E"/>
    <w:rsid w:val="002010B3"/>
    <w:rsid w:val="00201D85"/>
    <w:rsid w:val="00201E17"/>
    <w:rsid w:val="00201F66"/>
    <w:rsid w:val="00203060"/>
    <w:rsid w:val="00203734"/>
    <w:rsid w:val="00203B7A"/>
    <w:rsid w:val="00203CB5"/>
    <w:rsid w:val="00204DE4"/>
    <w:rsid w:val="00205608"/>
    <w:rsid w:val="002056BD"/>
    <w:rsid w:val="00205D04"/>
    <w:rsid w:val="002063F7"/>
    <w:rsid w:val="00206643"/>
    <w:rsid w:val="002066F7"/>
    <w:rsid w:val="00206EDB"/>
    <w:rsid w:val="00207398"/>
    <w:rsid w:val="0020781E"/>
    <w:rsid w:val="00207893"/>
    <w:rsid w:val="00207ACB"/>
    <w:rsid w:val="00207BE9"/>
    <w:rsid w:val="00207DD0"/>
    <w:rsid w:val="00207E2A"/>
    <w:rsid w:val="00210246"/>
    <w:rsid w:val="002103E6"/>
    <w:rsid w:val="00211396"/>
    <w:rsid w:val="00211687"/>
    <w:rsid w:val="00211B5D"/>
    <w:rsid w:val="00211E3B"/>
    <w:rsid w:val="00212146"/>
    <w:rsid w:val="002122F2"/>
    <w:rsid w:val="002123E3"/>
    <w:rsid w:val="002128F2"/>
    <w:rsid w:val="00213065"/>
    <w:rsid w:val="002134A4"/>
    <w:rsid w:val="002134B0"/>
    <w:rsid w:val="002138CD"/>
    <w:rsid w:val="00213B11"/>
    <w:rsid w:val="00214369"/>
    <w:rsid w:val="00214726"/>
    <w:rsid w:val="0021488F"/>
    <w:rsid w:val="00214967"/>
    <w:rsid w:val="00214B44"/>
    <w:rsid w:val="0021529C"/>
    <w:rsid w:val="002156FF"/>
    <w:rsid w:val="00215CC3"/>
    <w:rsid w:val="00216B5B"/>
    <w:rsid w:val="00216D87"/>
    <w:rsid w:val="0021701E"/>
    <w:rsid w:val="002174A4"/>
    <w:rsid w:val="00217582"/>
    <w:rsid w:val="00217672"/>
    <w:rsid w:val="002177B9"/>
    <w:rsid w:val="00217815"/>
    <w:rsid w:val="00217A95"/>
    <w:rsid w:val="00217DAB"/>
    <w:rsid w:val="00217E4B"/>
    <w:rsid w:val="002204D4"/>
    <w:rsid w:val="00220671"/>
    <w:rsid w:val="002207E5"/>
    <w:rsid w:val="002215AA"/>
    <w:rsid w:val="002215AB"/>
    <w:rsid w:val="002216AF"/>
    <w:rsid w:val="002217DF"/>
    <w:rsid w:val="00221ACC"/>
    <w:rsid w:val="00221CBE"/>
    <w:rsid w:val="00222096"/>
    <w:rsid w:val="002221C5"/>
    <w:rsid w:val="00222E4C"/>
    <w:rsid w:val="00222EE2"/>
    <w:rsid w:val="00224A0F"/>
    <w:rsid w:val="0022525E"/>
    <w:rsid w:val="002253E6"/>
    <w:rsid w:val="002258B1"/>
    <w:rsid w:val="00225F39"/>
    <w:rsid w:val="00226448"/>
    <w:rsid w:val="0022646E"/>
    <w:rsid w:val="0022682A"/>
    <w:rsid w:val="00226AA4"/>
    <w:rsid w:val="00226D8C"/>
    <w:rsid w:val="00226FAF"/>
    <w:rsid w:val="002273C0"/>
    <w:rsid w:val="0022768B"/>
    <w:rsid w:val="0022769C"/>
    <w:rsid w:val="002276A0"/>
    <w:rsid w:val="00227A06"/>
    <w:rsid w:val="00227F80"/>
    <w:rsid w:val="0023000E"/>
    <w:rsid w:val="0023037C"/>
    <w:rsid w:val="00230702"/>
    <w:rsid w:val="0023087D"/>
    <w:rsid w:val="00230F9C"/>
    <w:rsid w:val="00231339"/>
    <w:rsid w:val="00231370"/>
    <w:rsid w:val="002316DD"/>
    <w:rsid w:val="00231EE3"/>
    <w:rsid w:val="002321F2"/>
    <w:rsid w:val="00232491"/>
    <w:rsid w:val="00232929"/>
    <w:rsid w:val="00232A6A"/>
    <w:rsid w:val="00232C83"/>
    <w:rsid w:val="00232F26"/>
    <w:rsid w:val="0023302E"/>
    <w:rsid w:val="002336B0"/>
    <w:rsid w:val="002339F2"/>
    <w:rsid w:val="00234550"/>
    <w:rsid w:val="002346EC"/>
    <w:rsid w:val="0023532E"/>
    <w:rsid w:val="0023564F"/>
    <w:rsid w:val="002357BB"/>
    <w:rsid w:val="00235A3B"/>
    <w:rsid w:val="00235BB8"/>
    <w:rsid w:val="002360A8"/>
    <w:rsid w:val="002361C7"/>
    <w:rsid w:val="002361F3"/>
    <w:rsid w:val="0023634A"/>
    <w:rsid w:val="00236775"/>
    <w:rsid w:val="0023698A"/>
    <w:rsid w:val="00236A53"/>
    <w:rsid w:val="00237238"/>
    <w:rsid w:val="0023742F"/>
    <w:rsid w:val="002378B3"/>
    <w:rsid w:val="00237A47"/>
    <w:rsid w:val="00237D87"/>
    <w:rsid w:val="00237E98"/>
    <w:rsid w:val="002401A0"/>
    <w:rsid w:val="0024027E"/>
    <w:rsid w:val="002402C6"/>
    <w:rsid w:val="002402C9"/>
    <w:rsid w:val="002407DF"/>
    <w:rsid w:val="002407FA"/>
    <w:rsid w:val="002408BF"/>
    <w:rsid w:val="00240B45"/>
    <w:rsid w:val="00241464"/>
    <w:rsid w:val="00241E74"/>
    <w:rsid w:val="00242060"/>
    <w:rsid w:val="00242505"/>
    <w:rsid w:val="002434F4"/>
    <w:rsid w:val="0024382B"/>
    <w:rsid w:val="002446F2"/>
    <w:rsid w:val="00244856"/>
    <w:rsid w:val="00244979"/>
    <w:rsid w:val="00244992"/>
    <w:rsid w:val="002453D8"/>
    <w:rsid w:val="00245B91"/>
    <w:rsid w:val="00245D14"/>
    <w:rsid w:val="00246545"/>
    <w:rsid w:val="00246A9A"/>
    <w:rsid w:val="00246B1C"/>
    <w:rsid w:val="00246BF2"/>
    <w:rsid w:val="00246DA9"/>
    <w:rsid w:val="00246FC9"/>
    <w:rsid w:val="0024767A"/>
    <w:rsid w:val="002476EB"/>
    <w:rsid w:val="00247F15"/>
    <w:rsid w:val="002503E0"/>
    <w:rsid w:val="00250F11"/>
    <w:rsid w:val="002515D3"/>
    <w:rsid w:val="00251CB8"/>
    <w:rsid w:val="002522D7"/>
    <w:rsid w:val="0025245F"/>
    <w:rsid w:val="002527DC"/>
    <w:rsid w:val="002529FE"/>
    <w:rsid w:val="0025329B"/>
    <w:rsid w:val="0025388F"/>
    <w:rsid w:val="00253A7B"/>
    <w:rsid w:val="00253DDA"/>
    <w:rsid w:val="00254130"/>
    <w:rsid w:val="002543D7"/>
    <w:rsid w:val="00254CE5"/>
    <w:rsid w:val="00254DEE"/>
    <w:rsid w:val="00255341"/>
    <w:rsid w:val="00255385"/>
    <w:rsid w:val="00255576"/>
    <w:rsid w:val="00255859"/>
    <w:rsid w:val="00256039"/>
    <w:rsid w:val="002563AA"/>
    <w:rsid w:val="00256CB7"/>
    <w:rsid w:val="002570D9"/>
    <w:rsid w:val="00257607"/>
    <w:rsid w:val="00257AB4"/>
    <w:rsid w:val="002606FA"/>
    <w:rsid w:val="00260939"/>
    <w:rsid w:val="00260A2E"/>
    <w:rsid w:val="00260B3E"/>
    <w:rsid w:val="00260FB9"/>
    <w:rsid w:val="00260FFE"/>
    <w:rsid w:val="0026126E"/>
    <w:rsid w:val="002612F5"/>
    <w:rsid w:val="00261305"/>
    <w:rsid w:val="00261397"/>
    <w:rsid w:val="0026155B"/>
    <w:rsid w:val="002618DA"/>
    <w:rsid w:val="00261E80"/>
    <w:rsid w:val="00261FD3"/>
    <w:rsid w:val="00262098"/>
    <w:rsid w:val="002627B9"/>
    <w:rsid w:val="00262C8E"/>
    <w:rsid w:val="00262EAF"/>
    <w:rsid w:val="00263C70"/>
    <w:rsid w:val="00263C95"/>
    <w:rsid w:val="002642E5"/>
    <w:rsid w:val="00264607"/>
    <w:rsid w:val="00264BEE"/>
    <w:rsid w:val="00264D05"/>
    <w:rsid w:val="0026573C"/>
    <w:rsid w:val="00265869"/>
    <w:rsid w:val="0026621A"/>
    <w:rsid w:val="002662BD"/>
    <w:rsid w:val="002666E0"/>
    <w:rsid w:val="002669BB"/>
    <w:rsid w:val="00266A5A"/>
    <w:rsid w:val="00266B8C"/>
    <w:rsid w:val="00266C09"/>
    <w:rsid w:val="002672DB"/>
    <w:rsid w:val="00267A1C"/>
    <w:rsid w:val="00267CF5"/>
    <w:rsid w:val="00267EBB"/>
    <w:rsid w:val="00267F28"/>
    <w:rsid w:val="00270054"/>
    <w:rsid w:val="002708DC"/>
    <w:rsid w:val="00270A26"/>
    <w:rsid w:val="00270D4E"/>
    <w:rsid w:val="00270D9C"/>
    <w:rsid w:val="002710FB"/>
    <w:rsid w:val="00271865"/>
    <w:rsid w:val="00271AC7"/>
    <w:rsid w:val="0027289D"/>
    <w:rsid w:val="00272DA5"/>
    <w:rsid w:val="002730B4"/>
    <w:rsid w:val="00273114"/>
    <w:rsid w:val="00273CAE"/>
    <w:rsid w:val="00273F59"/>
    <w:rsid w:val="002747FE"/>
    <w:rsid w:val="00274C5D"/>
    <w:rsid w:val="00274CBE"/>
    <w:rsid w:val="00275362"/>
    <w:rsid w:val="002753DD"/>
    <w:rsid w:val="00275932"/>
    <w:rsid w:val="0027596E"/>
    <w:rsid w:val="00275DC3"/>
    <w:rsid w:val="0027601E"/>
    <w:rsid w:val="002760AC"/>
    <w:rsid w:val="00276546"/>
    <w:rsid w:val="002766F0"/>
    <w:rsid w:val="0027694A"/>
    <w:rsid w:val="00276CBF"/>
    <w:rsid w:val="00276DDE"/>
    <w:rsid w:val="002771C7"/>
    <w:rsid w:val="002779C7"/>
    <w:rsid w:val="00277A9C"/>
    <w:rsid w:val="00277E81"/>
    <w:rsid w:val="00277EF9"/>
    <w:rsid w:val="00277F21"/>
    <w:rsid w:val="002804F9"/>
    <w:rsid w:val="00281712"/>
    <w:rsid w:val="002827DE"/>
    <w:rsid w:val="00282C6D"/>
    <w:rsid w:val="00282C6E"/>
    <w:rsid w:val="00282E93"/>
    <w:rsid w:val="002831CB"/>
    <w:rsid w:val="002836BB"/>
    <w:rsid w:val="00283856"/>
    <w:rsid w:val="00283BC0"/>
    <w:rsid w:val="00283E3D"/>
    <w:rsid w:val="00283EA7"/>
    <w:rsid w:val="002840D8"/>
    <w:rsid w:val="00284396"/>
    <w:rsid w:val="002849E4"/>
    <w:rsid w:val="002853C7"/>
    <w:rsid w:val="00285FF1"/>
    <w:rsid w:val="00286094"/>
    <w:rsid w:val="00286230"/>
    <w:rsid w:val="002866DF"/>
    <w:rsid w:val="002867AF"/>
    <w:rsid w:val="002869F2"/>
    <w:rsid w:val="00286D04"/>
    <w:rsid w:val="00286E3D"/>
    <w:rsid w:val="0028705B"/>
    <w:rsid w:val="002871B7"/>
    <w:rsid w:val="0028755C"/>
    <w:rsid w:val="00287A30"/>
    <w:rsid w:val="00290610"/>
    <w:rsid w:val="002908DE"/>
    <w:rsid w:val="00290D1B"/>
    <w:rsid w:val="002911B4"/>
    <w:rsid w:val="002916B9"/>
    <w:rsid w:val="002916BD"/>
    <w:rsid w:val="00291F49"/>
    <w:rsid w:val="00292118"/>
    <w:rsid w:val="0029217E"/>
    <w:rsid w:val="00293294"/>
    <w:rsid w:val="002938EF"/>
    <w:rsid w:val="00294667"/>
    <w:rsid w:val="00294AFE"/>
    <w:rsid w:val="00295210"/>
    <w:rsid w:val="002954A4"/>
    <w:rsid w:val="00295603"/>
    <w:rsid w:val="00295677"/>
    <w:rsid w:val="0029590F"/>
    <w:rsid w:val="00296B54"/>
    <w:rsid w:val="00296D6B"/>
    <w:rsid w:val="00296DDD"/>
    <w:rsid w:val="002971DD"/>
    <w:rsid w:val="0029747A"/>
    <w:rsid w:val="002A0090"/>
    <w:rsid w:val="002A00E6"/>
    <w:rsid w:val="002A02D3"/>
    <w:rsid w:val="002A0671"/>
    <w:rsid w:val="002A07A7"/>
    <w:rsid w:val="002A0E30"/>
    <w:rsid w:val="002A116C"/>
    <w:rsid w:val="002A140F"/>
    <w:rsid w:val="002A154B"/>
    <w:rsid w:val="002A1674"/>
    <w:rsid w:val="002A1BD4"/>
    <w:rsid w:val="002A1D3F"/>
    <w:rsid w:val="002A1F37"/>
    <w:rsid w:val="002A256C"/>
    <w:rsid w:val="002A2597"/>
    <w:rsid w:val="002A26F3"/>
    <w:rsid w:val="002A2D5F"/>
    <w:rsid w:val="002A2E71"/>
    <w:rsid w:val="002A3531"/>
    <w:rsid w:val="002A3593"/>
    <w:rsid w:val="002A3597"/>
    <w:rsid w:val="002A3C87"/>
    <w:rsid w:val="002A3FE0"/>
    <w:rsid w:val="002A45A1"/>
    <w:rsid w:val="002A48C1"/>
    <w:rsid w:val="002A4AD6"/>
    <w:rsid w:val="002A5068"/>
    <w:rsid w:val="002A508B"/>
    <w:rsid w:val="002A5394"/>
    <w:rsid w:val="002A57B9"/>
    <w:rsid w:val="002A5D78"/>
    <w:rsid w:val="002A5DEA"/>
    <w:rsid w:val="002A5FB6"/>
    <w:rsid w:val="002A60D3"/>
    <w:rsid w:val="002A624A"/>
    <w:rsid w:val="002A636F"/>
    <w:rsid w:val="002A666D"/>
    <w:rsid w:val="002A6704"/>
    <w:rsid w:val="002A68A9"/>
    <w:rsid w:val="002A6BE4"/>
    <w:rsid w:val="002A6C53"/>
    <w:rsid w:val="002A6D1E"/>
    <w:rsid w:val="002A704E"/>
    <w:rsid w:val="002A70B6"/>
    <w:rsid w:val="002A72BA"/>
    <w:rsid w:val="002A76BC"/>
    <w:rsid w:val="002A7E3A"/>
    <w:rsid w:val="002A7F01"/>
    <w:rsid w:val="002A7F20"/>
    <w:rsid w:val="002B0512"/>
    <w:rsid w:val="002B0B49"/>
    <w:rsid w:val="002B0C1C"/>
    <w:rsid w:val="002B0E36"/>
    <w:rsid w:val="002B1344"/>
    <w:rsid w:val="002B15C2"/>
    <w:rsid w:val="002B2165"/>
    <w:rsid w:val="002B2C5A"/>
    <w:rsid w:val="002B2F2E"/>
    <w:rsid w:val="002B3543"/>
    <w:rsid w:val="002B35F1"/>
    <w:rsid w:val="002B3BF3"/>
    <w:rsid w:val="002B3C9C"/>
    <w:rsid w:val="002B4163"/>
    <w:rsid w:val="002B460D"/>
    <w:rsid w:val="002B4ACB"/>
    <w:rsid w:val="002B50E9"/>
    <w:rsid w:val="002B5105"/>
    <w:rsid w:val="002B54F4"/>
    <w:rsid w:val="002B55E1"/>
    <w:rsid w:val="002B586B"/>
    <w:rsid w:val="002B5D48"/>
    <w:rsid w:val="002B609B"/>
    <w:rsid w:val="002B6272"/>
    <w:rsid w:val="002B65CE"/>
    <w:rsid w:val="002B6683"/>
    <w:rsid w:val="002B6992"/>
    <w:rsid w:val="002B7375"/>
    <w:rsid w:val="002C0088"/>
    <w:rsid w:val="002C0108"/>
    <w:rsid w:val="002C066B"/>
    <w:rsid w:val="002C0B8D"/>
    <w:rsid w:val="002C0C5A"/>
    <w:rsid w:val="002C1200"/>
    <w:rsid w:val="002C1C05"/>
    <w:rsid w:val="002C230E"/>
    <w:rsid w:val="002C39F7"/>
    <w:rsid w:val="002C3E8F"/>
    <w:rsid w:val="002C4046"/>
    <w:rsid w:val="002C4086"/>
    <w:rsid w:val="002C4105"/>
    <w:rsid w:val="002C4227"/>
    <w:rsid w:val="002C48F0"/>
    <w:rsid w:val="002C4D04"/>
    <w:rsid w:val="002C516F"/>
    <w:rsid w:val="002C5267"/>
    <w:rsid w:val="002C541F"/>
    <w:rsid w:val="002C5443"/>
    <w:rsid w:val="002C5C4C"/>
    <w:rsid w:val="002C5DB7"/>
    <w:rsid w:val="002C601E"/>
    <w:rsid w:val="002C64FA"/>
    <w:rsid w:val="002C67D4"/>
    <w:rsid w:val="002C6E66"/>
    <w:rsid w:val="002C6F30"/>
    <w:rsid w:val="002C720F"/>
    <w:rsid w:val="002C7237"/>
    <w:rsid w:val="002C743D"/>
    <w:rsid w:val="002C7CAB"/>
    <w:rsid w:val="002C7E73"/>
    <w:rsid w:val="002D00DC"/>
    <w:rsid w:val="002D0405"/>
    <w:rsid w:val="002D0513"/>
    <w:rsid w:val="002D05C7"/>
    <w:rsid w:val="002D0B8B"/>
    <w:rsid w:val="002D0BA7"/>
    <w:rsid w:val="002D123D"/>
    <w:rsid w:val="002D183C"/>
    <w:rsid w:val="002D1DCB"/>
    <w:rsid w:val="002D24D8"/>
    <w:rsid w:val="002D2693"/>
    <w:rsid w:val="002D2C36"/>
    <w:rsid w:val="002D2F9E"/>
    <w:rsid w:val="002D386E"/>
    <w:rsid w:val="002D3B3E"/>
    <w:rsid w:val="002D3F0A"/>
    <w:rsid w:val="002D40C4"/>
    <w:rsid w:val="002D48B4"/>
    <w:rsid w:val="002D4B70"/>
    <w:rsid w:val="002D4FBC"/>
    <w:rsid w:val="002D532B"/>
    <w:rsid w:val="002D5451"/>
    <w:rsid w:val="002D5484"/>
    <w:rsid w:val="002D5517"/>
    <w:rsid w:val="002D5ABF"/>
    <w:rsid w:val="002D6225"/>
    <w:rsid w:val="002D65DD"/>
    <w:rsid w:val="002D65E0"/>
    <w:rsid w:val="002D6624"/>
    <w:rsid w:val="002D69A8"/>
    <w:rsid w:val="002D6C32"/>
    <w:rsid w:val="002D71B6"/>
    <w:rsid w:val="002D71E8"/>
    <w:rsid w:val="002D72B6"/>
    <w:rsid w:val="002D76DE"/>
    <w:rsid w:val="002D78DF"/>
    <w:rsid w:val="002D797E"/>
    <w:rsid w:val="002D7F58"/>
    <w:rsid w:val="002D7F59"/>
    <w:rsid w:val="002E00EF"/>
    <w:rsid w:val="002E01A4"/>
    <w:rsid w:val="002E0658"/>
    <w:rsid w:val="002E0AC7"/>
    <w:rsid w:val="002E0C27"/>
    <w:rsid w:val="002E11AA"/>
    <w:rsid w:val="002E11EE"/>
    <w:rsid w:val="002E193E"/>
    <w:rsid w:val="002E1AE4"/>
    <w:rsid w:val="002E2043"/>
    <w:rsid w:val="002E2426"/>
    <w:rsid w:val="002E25A3"/>
    <w:rsid w:val="002E2664"/>
    <w:rsid w:val="002E2CEB"/>
    <w:rsid w:val="002E3249"/>
    <w:rsid w:val="002E328B"/>
    <w:rsid w:val="002E44AE"/>
    <w:rsid w:val="002E49E2"/>
    <w:rsid w:val="002E5466"/>
    <w:rsid w:val="002E54BD"/>
    <w:rsid w:val="002E5540"/>
    <w:rsid w:val="002E5679"/>
    <w:rsid w:val="002E5C8F"/>
    <w:rsid w:val="002E5DA7"/>
    <w:rsid w:val="002E5F5A"/>
    <w:rsid w:val="002E604B"/>
    <w:rsid w:val="002E6447"/>
    <w:rsid w:val="002E67FD"/>
    <w:rsid w:val="002E7531"/>
    <w:rsid w:val="002F002B"/>
    <w:rsid w:val="002F0409"/>
    <w:rsid w:val="002F0412"/>
    <w:rsid w:val="002F07A2"/>
    <w:rsid w:val="002F0B0A"/>
    <w:rsid w:val="002F0CBF"/>
    <w:rsid w:val="002F10C2"/>
    <w:rsid w:val="002F1493"/>
    <w:rsid w:val="002F17EF"/>
    <w:rsid w:val="002F2733"/>
    <w:rsid w:val="002F2D8A"/>
    <w:rsid w:val="002F2E69"/>
    <w:rsid w:val="002F2F31"/>
    <w:rsid w:val="002F32AD"/>
    <w:rsid w:val="002F3783"/>
    <w:rsid w:val="002F3BB9"/>
    <w:rsid w:val="002F3C2F"/>
    <w:rsid w:val="002F3C46"/>
    <w:rsid w:val="002F3E9F"/>
    <w:rsid w:val="002F406F"/>
    <w:rsid w:val="002F407F"/>
    <w:rsid w:val="002F42B9"/>
    <w:rsid w:val="002F49DD"/>
    <w:rsid w:val="002F4D99"/>
    <w:rsid w:val="002F5332"/>
    <w:rsid w:val="002F560F"/>
    <w:rsid w:val="002F582C"/>
    <w:rsid w:val="002F5989"/>
    <w:rsid w:val="002F5D7D"/>
    <w:rsid w:val="002F5EA9"/>
    <w:rsid w:val="002F5F6E"/>
    <w:rsid w:val="002F71B8"/>
    <w:rsid w:val="002F75E8"/>
    <w:rsid w:val="002F784D"/>
    <w:rsid w:val="002F78C4"/>
    <w:rsid w:val="002F7CBA"/>
    <w:rsid w:val="00300664"/>
    <w:rsid w:val="00301002"/>
    <w:rsid w:val="00301884"/>
    <w:rsid w:val="00301F5B"/>
    <w:rsid w:val="00301FA7"/>
    <w:rsid w:val="00302040"/>
    <w:rsid w:val="0030216B"/>
    <w:rsid w:val="003021F8"/>
    <w:rsid w:val="0030239F"/>
    <w:rsid w:val="00303B8F"/>
    <w:rsid w:val="00303F64"/>
    <w:rsid w:val="003040E5"/>
    <w:rsid w:val="003041B5"/>
    <w:rsid w:val="003041F3"/>
    <w:rsid w:val="00304549"/>
    <w:rsid w:val="00304571"/>
    <w:rsid w:val="00304A23"/>
    <w:rsid w:val="00304EFC"/>
    <w:rsid w:val="00305490"/>
    <w:rsid w:val="003055BC"/>
    <w:rsid w:val="00305609"/>
    <w:rsid w:val="0030597F"/>
    <w:rsid w:val="00305C9F"/>
    <w:rsid w:val="00305D60"/>
    <w:rsid w:val="003064D0"/>
    <w:rsid w:val="0030681E"/>
    <w:rsid w:val="00306AE5"/>
    <w:rsid w:val="00306B3C"/>
    <w:rsid w:val="0030706C"/>
    <w:rsid w:val="00307500"/>
    <w:rsid w:val="00307B71"/>
    <w:rsid w:val="00307C7D"/>
    <w:rsid w:val="00310201"/>
    <w:rsid w:val="003102F7"/>
    <w:rsid w:val="00310761"/>
    <w:rsid w:val="00310B6B"/>
    <w:rsid w:val="0031194C"/>
    <w:rsid w:val="00312211"/>
    <w:rsid w:val="00312808"/>
    <w:rsid w:val="00312974"/>
    <w:rsid w:val="00312A0B"/>
    <w:rsid w:val="00312B2C"/>
    <w:rsid w:val="00312D66"/>
    <w:rsid w:val="0031337C"/>
    <w:rsid w:val="00313662"/>
    <w:rsid w:val="003137C5"/>
    <w:rsid w:val="00313B35"/>
    <w:rsid w:val="0031401B"/>
    <w:rsid w:val="0031449C"/>
    <w:rsid w:val="00314509"/>
    <w:rsid w:val="00314A84"/>
    <w:rsid w:val="00314E32"/>
    <w:rsid w:val="00314F6A"/>
    <w:rsid w:val="0031510A"/>
    <w:rsid w:val="00315521"/>
    <w:rsid w:val="00315816"/>
    <w:rsid w:val="00315849"/>
    <w:rsid w:val="00315878"/>
    <w:rsid w:val="00315A83"/>
    <w:rsid w:val="00315D96"/>
    <w:rsid w:val="003162DC"/>
    <w:rsid w:val="003171F7"/>
    <w:rsid w:val="00317908"/>
    <w:rsid w:val="00317979"/>
    <w:rsid w:val="00320770"/>
    <w:rsid w:val="00320B11"/>
    <w:rsid w:val="00320F94"/>
    <w:rsid w:val="003212A7"/>
    <w:rsid w:val="003214FE"/>
    <w:rsid w:val="003221C0"/>
    <w:rsid w:val="003223FF"/>
    <w:rsid w:val="00322D8F"/>
    <w:rsid w:val="0032387E"/>
    <w:rsid w:val="00323D1B"/>
    <w:rsid w:val="0032466D"/>
    <w:rsid w:val="00324767"/>
    <w:rsid w:val="00324AA8"/>
    <w:rsid w:val="00325210"/>
    <w:rsid w:val="003254B4"/>
    <w:rsid w:val="00325795"/>
    <w:rsid w:val="00325C2B"/>
    <w:rsid w:val="00326055"/>
    <w:rsid w:val="00326F12"/>
    <w:rsid w:val="00327945"/>
    <w:rsid w:val="00327B43"/>
    <w:rsid w:val="00327E3A"/>
    <w:rsid w:val="00330F6B"/>
    <w:rsid w:val="00331191"/>
    <w:rsid w:val="00331927"/>
    <w:rsid w:val="00331A4F"/>
    <w:rsid w:val="00331BA5"/>
    <w:rsid w:val="00331C5D"/>
    <w:rsid w:val="0033231F"/>
    <w:rsid w:val="00332816"/>
    <w:rsid w:val="00332ACD"/>
    <w:rsid w:val="00333450"/>
    <w:rsid w:val="0033443B"/>
    <w:rsid w:val="00334DB8"/>
    <w:rsid w:val="003354B3"/>
    <w:rsid w:val="00335DB1"/>
    <w:rsid w:val="0033605E"/>
    <w:rsid w:val="00336099"/>
    <w:rsid w:val="0033630C"/>
    <w:rsid w:val="00336882"/>
    <w:rsid w:val="00336984"/>
    <w:rsid w:val="00336E0E"/>
    <w:rsid w:val="003370C0"/>
    <w:rsid w:val="00337B59"/>
    <w:rsid w:val="003400A6"/>
    <w:rsid w:val="00340290"/>
    <w:rsid w:val="003409EC"/>
    <w:rsid w:val="00341257"/>
    <w:rsid w:val="003417A5"/>
    <w:rsid w:val="003420F1"/>
    <w:rsid w:val="00342337"/>
    <w:rsid w:val="0034259F"/>
    <w:rsid w:val="0034277F"/>
    <w:rsid w:val="003427B8"/>
    <w:rsid w:val="00342CA6"/>
    <w:rsid w:val="00342D68"/>
    <w:rsid w:val="00343A67"/>
    <w:rsid w:val="00343A7C"/>
    <w:rsid w:val="00343B0A"/>
    <w:rsid w:val="00343B73"/>
    <w:rsid w:val="0034477A"/>
    <w:rsid w:val="00344A7B"/>
    <w:rsid w:val="00344AB3"/>
    <w:rsid w:val="00344AB5"/>
    <w:rsid w:val="00344C8E"/>
    <w:rsid w:val="0034500E"/>
    <w:rsid w:val="00345310"/>
    <w:rsid w:val="00345493"/>
    <w:rsid w:val="003455EE"/>
    <w:rsid w:val="00345F18"/>
    <w:rsid w:val="00345F26"/>
    <w:rsid w:val="0034600A"/>
    <w:rsid w:val="0034605F"/>
    <w:rsid w:val="00346621"/>
    <w:rsid w:val="00346ABC"/>
    <w:rsid w:val="00346E14"/>
    <w:rsid w:val="0034701D"/>
    <w:rsid w:val="00347C8C"/>
    <w:rsid w:val="00350D5A"/>
    <w:rsid w:val="00350F76"/>
    <w:rsid w:val="003515DD"/>
    <w:rsid w:val="00351602"/>
    <w:rsid w:val="003519DF"/>
    <w:rsid w:val="003519FE"/>
    <w:rsid w:val="00351CF9"/>
    <w:rsid w:val="0035222B"/>
    <w:rsid w:val="00352AA0"/>
    <w:rsid w:val="00352AEF"/>
    <w:rsid w:val="00352F11"/>
    <w:rsid w:val="003539F9"/>
    <w:rsid w:val="00353E6F"/>
    <w:rsid w:val="00353FDF"/>
    <w:rsid w:val="003540D9"/>
    <w:rsid w:val="0035441F"/>
    <w:rsid w:val="00354BED"/>
    <w:rsid w:val="0035539A"/>
    <w:rsid w:val="0035573E"/>
    <w:rsid w:val="003568A0"/>
    <w:rsid w:val="003569AF"/>
    <w:rsid w:val="00357480"/>
    <w:rsid w:val="00357CFA"/>
    <w:rsid w:val="00360951"/>
    <w:rsid w:val="00360A52"/>
    <w:rsid w:val="00360A76"/>
    <w:rsid w:val="00360BF8"/>
    <w:rsid w:val="00360CEE"/>
    <w:rsid w:val="00360D4B"/>
    <w:rsid w:val="00360EBB"/>
    <w:rsid w:val="00360FA7"/>
    <w:rsid w:val="0036124A"/>
    <w:rsid w:val="003612A2"/>
    <w:rsid w:val="003614AE"/>
    <w:rsid w:val="003615C8"/>
    <w:rsid w:val="003619B0"/>
    <w:rsid w:val="00361B4B"/>
    <w:rsid w:val="00361B61"/>
    <w:rsid w:val="00361CEB"/>
    <w:rsid w:val="00361DE0"/>
    <w:rsid w:val="00361F0E"/>
    <w:rsid w:val="00361F56"/>
    <w:rsid w:val="00362C88"/>
    <w:rsid w:val="003634D0"/>
    <w:rsid w:val="0036367B"/>
    <w:rsid w:val="00363BC0"/>
    <w:rsid w:val="00364331"/>
    <w:rsid w:val="00364485"/>
    <w:rsid w:val="003644C1"/>
    <w:rsid w:val="003645AE"/>
    <w:rsid w:val="00364623"/>
    <w:rsid w:val="00364969"/>
    <w:rsid w:val="00364C20"/>
    <w:rsid w:val="00364C37"/>
    <w:rsid w:val="00365020"/>
    <w:rsid w:val="003655C1"/>
    <w:rsid w:val="00365F2F"/>
    <w:rsid w:val="00366180"/>
    <w:rsid w:val="003663AE"/>
    <w:rsid w:val="00366958"/>
    <w:rsid w:val="00367171"/>
    <w:rsid w:val="00367257"/>
    <w:rsid w:val="003675CE"/>
    <w:rsid w:val="00367A46"/>
    <w:rsid w:val="00367AFD"/>
    <w:rsid w:val="00367B4E"/>
    <w:rsid w:val="00367EB1"/>
    <w:rsid w:val="00367F0A"/>
    <w:rsid w:val="0037093F"/>
    <w:rsid w:val="0037099B"/>
    <w:rsid w:val="003710D5"/>
    <w:rsid w:val="0037175E"/>
    <w:rsid w:val="00371769"/>
    <w:rsid w:val="00371887"/>
    <w:rsid w:val="0037196C"/>
    <w:rsid w:val="003719E0"/>
    <w:rsid w:val="00371A4E"/>
    <w:rsid w:val="00371BC7"/>
    <w:rsid w:val="00371E0A"/>
    <w:rsid w:val="00371F22"/>
    <w:rsid w:val="0037214C"/>
    <w:rsid w:val="003723B4"/>
    <w:rsid w:val="00372947"/>
    <w:rsid w:val="003739A1"/>
    <w:rsid w:val="00374068"/>
    <w:rsid w:val="003745C7"/>
    <w:rsid w:val="00374788"/>
    <w:rsid w:val="00374AD8"/>
    <w:rsid w:val="00375108"/>
    <w:rsid w:val="00375338"/>
    <w:rsid w:val="003755ED"/>
    <w:rsid w:val="0037564F"/>
    <w:rsid w:val="00376409"/>
    <w:rsid w:val="00376721"/>
    <w:rsid w:val="003768F8"/>
    <w:rsid w:val="00376B38"/>
    <w:rsid w:val="00377080"/>
    <w:rsid w:val="0037720F"/>
    <w:rsid w:val="00377390"/>
    <w:rsid w:val="0037761B"/>
    <w:rsid w:val="00377B39"/>
    <w:rsid w:val="00377F17"/>
    <w:rsid w:val="0038004C"/>
    <w:rsid w:val="0038020F"/>
    <w:rsid w:val="00380426"/>
    <w:rsid w:val="003806C0"/>
    <w:rsid w:val="0038116F"/>
    <w:rsid w:val="003812DC"/>
    <w:rsid w:val="0038163A"/>
    <w:rsid w:val="003816AD"/>
    <w:rsid w:val="003819DB"/>
    <w:rsid w:val="00381FBC"/>
    <w:rsid w:val="003822A3"/>
    <w:rsid w:val="00382368"/>
    <w:rsid w:val="003823EB"/>
    <w:rsid w:val="00382711"/>
    <w:rsid w:val="00382D13"/>
    <w:rsid w:val="003832E0"/>
    <w:rsid w:val="00383365"/>
    <w:rsid w:val="003839D2"/>
    <w:rsid w:val="00383C18"/>
    <w:rsid w:val="00383D0D"/>
    <w:rsid w:val="00383F6D"/>
    <w:rsid w:val="00384550"/>
    <w:rsid w:val="00385338"/>
    <w:rsid w:val="003855A4"/>
    <w:rsid w:val="00385740"/>
    <w:rsid w:val="003858B8"/>
    <w:rsid w:val="003863BC"/>
    <w:rsid w:val="00386934"/>
    <w:rsid w:val="003871F0"/>
    <w:rsid w:val="00387221"/>
    <w:rsid w:val="00387367"/>
    <w:rsid w:val="003878A2"/>
    <w:rsid w:val="003879D7"/>
    <w:rsid w:val="003907D3"/>
    <w:rsid w:val="00391248"/>
    <w:rsid w:val="003919A5"/>
    <w:rsid w:val="003919D1"/>
    <w:rsid w:val="00391C3F"/>
    <w:rsid w:val="003920E2"/>
    <w:rsid w:val="0039230F"/>
    <w:rsid w:val="00392A11"/>
    <w:rsid w:val="00392A80"/>
    <w:rsid w:val="003935D4"/>
    <w:rsid w:val="003937C2"/>
    <w:rsid w:val="003938C7"/>
    <w:rsid w:val="00393A31"/>
    <w:rsid w:val="00393C12"/>
    <w:rsid w:val="00393E41"/>
    <w:rsid w:val="00394110"/>
    <w:rsid w:val="00394133"/>
    <w:rsid w:val="0039434E"/>
    <w:rsid w:val="003943DD"/>
    <w:rsid w:val="003947E8"/>
    <w:rsid w:val="00394A22"/>
    <w:rsid w:val="00394A4E"/>
    <w:rsid w:val="00394C43"/>
    <w:rsid w:val="00395ACA"/>
    <w:rsid w:val="00395C10"/>
    <w:rsid w:val="00395FF6"/>
    <w:rsid w:val="003961B1"/>
    <w:rsid w:val="00396840"/>
    <w:rsid w:val="003968AB"/>
    <w:rsid w:val="00396CED"/>
    <w:rsid w:val="00396FC1"/>
    <w:rsid w:val="00397302"/>
    <w:rsid w:val="0039796C"/>
    <w:rsid w:val="00397A64"/>
    <w:rsid w:val="00397ABE"/>
    <w:rsid w:val="00397B1A"/>
    <w:rsid w:val="003A04E8"/>
    <w:rsid w:val="003A0828"/>
    <w:rsid w:val="003A0E00"/>
    <w:rsid w:val="003A0E68"/>
    <w:rsid w:val="003A1ACD"/>
    <w:rsid w:val="003A1BE7"/>
    <w:rsid w:val="003A1DDC"/>
    <w:rsid w:val="003A1FC2"/>
    <w:rsid w:val="003A201C"/>
    <w:rsid w:val="003A25FD"/>
    <w:rsid w:val="003A320C"/>
    <w:rsid w:val="003A34B4"/>
    <w:rsid w:val="003A36AB"/>
    <w:rsid w:val="003A374A"/>
    <w:rsid w:val="003A3ABD"/>
    <w:rsid w:val="003A3BD3"/>
    <w:rsid w:val="003A3DAC"/>
    <w:rsid w:val="003A3EB2"/>
    <w:rsid w:val="003A40ED"/>
    <w:rsid w:val="003A41BB"/>
    <w:rsid w:val="003A41F1"/>
    <w:rsid w:val="003A4AB0"/>
    <w:rsid w:val="003A4C45"/>
    <w:rsid w:val="003A4CF6"/>
    <w:rsid w:val="003A4FC8"/>
    <w:rsid w:val="003A5428"/>
    <w:rsid w:val="003A55A1"/>
    <w:rsid w:val="003A5DD2"/>
    <w:rsid w:val="003A617D"/>
    <w:rsid w:val="003A635E"/>
    <w:rsid w:val="003A63CF"/>
    <w:rsid w:val="003A65A8"/>
    <w:rsid w:val="003A6B66"/>
    <w:rsid w:val="003A6F33"/>
    <w:rsid w:val="003B04FC"/>
    <w:rsid w:val="003B0D70"/>
    <w:rsid w:val="003B110B"/>
    <w:rsid w:val="003B129D"/>
    <w:rsid w:val="003B13E5"/>
    <w:rsid w:val="003B14BB"/>
    <w:rsid w:val="003B19FB"/>
    <w:rsid w:val="003B2294"/>
    <w:rsid w:val="003B24F1"/>
    <w:rsid w:val="003B25A5"/>
    <w:rsid w:val="003B26F9"/>
    <w:rsid w:val="003B320F"/>
    <w:rsid w:val="003B3601"/>
    <w:rsid w:val="003B3C3E"/>
    <w:rsid w:val="003B4169"/>
    <w:rsid w:val="003B4A41"/>
    <w:rsid w:val="003B4B72"/>
    <w:rsid w:val="003B52F4"/>
    <w:rsid w:val="003B53F9"/>
    <w:rsid w:val="003B5582"/>
    <w:rsid w:val="003B5B65"/>
    <w:rsid w:val="003B5EC3"/>
    <w:rsid w:val="003B5F1F"/>
    <w:rsid w:val="003B62BF"/>
    <w:rsid w:val="003B63A2"/>
    <w:rsid w:val="003B6602"/>
    <w:rsid w:val="003B6638"/>
    <w:rsid w:val="003B664E"/>
    <w:rsid w:val="003B669F"/>
    <w:rsid w:val="003B6C98"/>
    <w:rsid w:val="003B72D5"/>
    <w:rsid w:val="003B76B2"/>
    <w:rsid w:val="003B7A57"/>
    <w:rsid w:val="003C1618"/>
    <w:rsid w:val="003C170D"/>
    <w:rsid w:val="003C181E"/>
    <w:rsid w:val="003C192A"/>
    <w:rsid w:val="003C206A"/>
    <w:rsid w:val="003C25CB"/>
    <w:rsid w:val="003C27B1"/>
    <w:rsid w:val="003C2DB9"/>
    <w:rsid w:val="003C2DE5"/>
    <w:rsid w:val="003C313C"/>
    <w:rsid w:val="003C381A"/>
    <w:rsid w:val="003C387C"/>
    <w:rsid w:val="003C3B9E"/>
    <w:rsid w:val="003C3D85"/>
    <w:rsid w:val="003C3E65"/>
    <w:rsid w:val="003C415D"/>
    <w:rsid w:val="003C41FC"/>
    <w:rsid w:val="003C46DF"/>
    <w:rsid w:val="003C472C"/>
    <w:rsid w:val="003C4BCA"/>
    <w:rsid w:val="003C53CF"/>
    <w:rsid w:val="003C56AB"/>
    <w:rsid w:val="003C5799"/>
    <w:rsid w:val="003C57A1"/>
    <w:rsid w:val="003C58CD"/>
    <w:rsid w:val="003C5B6B"/>
    <w:rsid w:val="003C608D"/>
    <w:rsid w:val="003C63EF"/>
    <w:rsid w:val="003C647F"/>
    <w:rsid w:val="003C674C"/>
    <w:rsid w:val="003C6A38"/>
    <w:rsid w:val="003C7C78"/>
    <w:rsid w:val="003D0AAA"/>
    <w:rsid w:val="003D0AE1"/>
    <w:rsid w:val="003D0D80"/>
    <w:rsid w:val="003D126E"/>
    <w:rsid w:val="003D156C"/>
    <w:rsid w:val="003D188A"/>
    <w:rsid w:val="003D1B8F"/>
    <w:rsid w:val="003D1EB9"/>
    <w:rsid w:val="003D31B9"/>
    <w:rsid w:val="003D3211"/>
    <w:rsid w:val="003D3385"/>
    <w:rsid w:val="003D34A5"/>
    <w:rsid w:val="003D3543"/>
    <w:rsid w:val="003D3615"/>
    <w:rsid w:val="003D3DA6"/>
    <w:rsid w:val="003D449D"/>
    <w:rsid w:val="003D4945"/>
    <w:rsid w:val="003D4E97"/>
    <w:rsid w:val="003D5AC7"/>
    <w:rsid w:val="003D5D4A"/>
    <w:rsid w:val="003D6300"/>
    <w:rsid w:val="003D647D"/>
    <w:rsid w:val="003D660D"/>
    <w:rsid w:val="003D66AE"/>
    <w:rsid w:val="003D671A"/>
    <w:rsid w:val="003D6E68"/>
    <w:rsid w:val="003D74D5"/>
    <w:rsid w:val="003E022D"/>
    <w:rsid w:val="003E02BF"/>
    <w:rsid w:val="003E0A36"/>
    <w:rsid w:val="003E14DD"/>
    <w:rsid w:val="003E170F"/>
    <w:rsid w:val="003E1994"/>
    <w:rsid w:val="003E1D5E"/>
    <w:rsid w:val="003E21FE"/>
    <w:rsid w:val="003E2325"/>
    <w:rsid w:val="003E2548"/>
    <w:rsid w:val="003E28C1"/>
    <w:rsid w:val="003E2A65"/>
    <w:rsid w:val="003E2E46"/>
    <w:rsid w:val="003E2E68"/>
    <w:rsid w:val="003E3218"/>
    <w:rsid w:val="003E341D"/>
    <w:rsid w:val="003E34C1"/>
    <w:rsid w:val="003E3D40"/>
    <w:rsid w:val="003E3E52"/>
    <w:rsid w:val="003E41F0"/>
    <w:rsid w:val="003E4404"/>
    <w:rsid w:val="003E4563"/>
    <w:rsid w:val="003E4607"/>
    <w:rsid w:val="003E4A99"/>
    <w:rsid w:val="003E4E5A"/>
    <w:rsid w:val="003E5769"/>
    <w:rsid w:val="003E5880"/>
    <w:rsid w:val="003E5FD4"/>
    <w:rsid w:val="003E69E3"/>
    <w:rsid w:val="003E6C8A"/>
    <w:rsid w:val="003E6DC7"/>
    <w:rsid w:val="003E7A79"/>
    <w:rsid w:val="003E7BAC"/>
    <w:rsid w:val="003E7DB7"/>
    <w:rsid w:val="003F12AC"/>
    <w:rsid w:val="003F132E"/>
    <w:rsid w:val="003F15F5"/>
    <w:rsid w:val="003F1702"/>
    <w:rsid w:val="003F1E82"/>
    <w:rsid w:val="003F1F88"/>
    <w:rsid w:val="003F28E8"/>
    <w:rsid w:val="003F2A2F"/>
    <w:rsid w:val="003F2BF4"/>
    <w:rsid w:val="003F2C93"/>
    <w:rsid w:val="003F2E9E"/>
    <w:rsid w:val="003F2EAA"/>
    <w:rsid w:val="003F30BE"/>
    <w:rsid w:val="003F31F6"/>
    <w:rsid w:val="003F33EE"/>
    <w:rsid w:val="003F3696"/>
    <w:rsid w:val="003F3799"/>
    <w:rsid w:val="003F3BAF"/>
    <w:rsid w:val="003F3BBE"/>
    <w:rsid w:val="003F3CA1"/>
    <w:rsid w:val="003F48AF"/>
    <w:rsid w:val="003F5040"/>
    <w:rsid w:val="003F53B8"/>
    <w:rsid w:val="003F55D9"/>
    <w:rsid w:val="003F5701"/>
    <w:rsid w:val="003F5719"/>
    <w:rsid w:val="003F588C"/>
    <w:rsid w:val="003F5D8F"/>
    <w:rsid w:val="003F5EF4"/>
    <w:rsid w:val="003F617A"/>
    <w:rsid w:val="003F651E"/>
    <w:rsid w:val="003F6B4E"/>
    <w:rsid w:val="003F6C1D"/>
    <w:rsid w:val="003F6C4D"/>
    <w:rsid w:val="003F71AC"/>
    <w:rsid w:val="003F7839"/>
    <w:rsid w:val="00401061"/>
    <w:rsid w:val="00401423"/>
    <w:rsid w:val="0040151E"/>
    <w:rsid w:val="004015A5"/>
    <w:rsid w:val="00402875"/>
    <w:rsid w:val="00402A68"/>
    <w:rsid w:val="00402FC7"/>
    <w:rsid w:val="004030E8"/>
    <w:rsid w:val="0040324C"/>
    <w:rsid w:val="00403478"/>
    <w:rsid w:val="004035EF"/>
    <w:rsid w:val="004036F9"/>
    <w:rsid w:val="00403F1B"/>
    <w:rsid w:val="00404331"/>
    <w:rsid w:val="004045CC"/>
    <w:rsid w:val="00404CCA"/>
    <w:rsid w:val="00404D06"/>
    <w:rsid w:val="00405183"/>
    <w:rsid w:val="00405CD0"/>
    <w:rsid w:val="00406146"/>
    <w:rsid w:val="00407108"/>
    <w:rsid w:val="004071A6"/>
    <w:rsid w:val="004073DE"/>
    <w:rsid w:val="00407565"/>
    <w:rsid w:val="00407898"/>
    <w:rsid w:val="00407B12"/>
    <w:rsid w:val="00407E90"/>
    <w:rsid w:val="00407F85"/>
    <w:rsid w:val="00407FBA"/>
    <w:rsid w:val="00410328"/>
    <w:rsid w:val="004104E6"/>
    <w:rsid w:val="00410C3F"/>
    <w:rsid w:val="00410D6A"/>
    <w:rsid w:val="00410DF6"/>
    <w:rsid w:val="00411112"/>
    <w:rsid w:val="00411219"/>
    <w:rsid w:val="0041129B"/>
    <w:rsid w:val="004112EF"/>
    <w:rsid w:val="00411388"/>
    <w:rsid w:val="00411784"/>
    <w:rsid w:val="0041188D"/>
    <w:rsid w:val="00411B36"/>
    <w:rsid w:val="004121CC"/>
    <w:rsid w:val="0041222C"/>
    <w:rsid w:val="00412A12"/>
    <w:rsid w:val="00412D62"/>
    <w:rsid w:val="0041314A"/>
    <w:rsid w:val="00413350"/>
    <w:rsid w:val="00413B6C"/>
    <w:rsid w:val="00414440"/>
    <w:rsid w:val="00414993"/>
    <w:rsid w:val="00415322"/>
    <w:rsid w:val="00415912"/>
    <w:rsid w:val="00415C7B"/>
    <w:rsid w:val="00415F65"/>
    <w:rsid w:val="004161A6"/>
    <w:rsid w:val="00416257"/>
    <w:rsid w:val="004162E4"/>
    <w:rsid w:val="004163F5"/>
    <w:rsid w:val="004170E5"/>
    <w:rsid w:val="0041717F"/>
    <w:rsid w:val="00417261"/>
    <w:rsid w:val="004174D9"/>
    <w:rsid w:val="00417D1A"/>
    <w:rsid w:val="0042004B"/>
    <w:rsid w:val="00420411"/>
    <w:rsid w:val="0042054A"/>
    <w:rsid w:val="00420588"/>
    <w:rsid w:val="00420C07"/>
    <w:rsid w:val="00420DDA"/>
    <w:rsid w:val="00420ECE"/>
    <w:rsid w:val="0042109D"/>
    <w:rsid w:val="00421968"/>
    <w:rsid w:val="00421F49"/>
    <w:rsid w:val="00422307"/>
    <w:rsid w:val="00422349"/>
    <w:rsid w:val="00422999"/>
    <w:rsid w:val="00422D9B"/>
    <w:rsid w:val="00423550"/>
    <w:rsid w:val="00423F14"/>
    <w:rsid w:val="004243CB"/>
    <w:rsid w:val="0042472B"/>
    <w:rsid w:val="004253B0"/>
    <w:rsid w:val="00425458"/>
    <w:rsid w:val="0042599E"/>
    <w:rsid w:val="00425E76"/>
    <w:rsid w:val="004260EC"/>
    <w:rsid w:val="0042644D"/>
    <w:rsid w:val="0042671B"/>
    <w:rsid w:val="004269E7"/>
    <w:rsid w:val="00426E0B"/>
    <w:rsid w:val="00427334"/>
    <w:rsid w:val="004275AF"/>
    <w:rsid w:val="0042770C"/>
    <w:rsid w:val="004278CB"/>
    <w:rsid w:val="004279A8"/>
    <w:rsid w:val="00427BC7"/>
    <w:rsid w:val="00427C8F"/>
    <w:rsid w:val="0043086F"/>
    <w:rsid w:val="004309E5"/>
    <w:rsid w:val="00430A0A"/>
    <w:rsid w:val="00430C81"/>
    <w:rsid w:val="004310A2"/>
    <w:rsid w:val="004310B6"/>
    <w:rsid w:val="004314A8"/>
    <w:rsid w:val="004319EC"/>
    <w:rsid w:val="00431A7A"/>
    <w:rsid w:val="00431BC0"/>
    <w:rsid w:val="004321A4"/>
    <w:rsid w:val="004321D6"/>
    <w:rsid w:val="00432300"/>
    <w:rsid w:val="0043246A"/>
    <w:rsid w:val="00432527"/>
    <w:rsid w:val="00432ABE"/>
    <w:rsid w:val="00432AD8"/>
    <w:rsid w:val="004332E8"/>
    <w:rsid w:val="0043350E"/>
    <w:rsid w:val="00433950"/>
    <w:rsid w:val="00433DAD"/>
    <w:rsid w:val="00434005"/>
    <w:rsid w:val="004350EF"/>
    <w:rsid w:val="00435F73"/>
    <w:rsid w:val="00436AA3"/>
    <w:rsid w:val="00436C3C"/>
    <w:rsid w:val="0043719C"/>
    <w:rsid w:val="00437642"/>
    <w:rsid w:val="00437D04"/>
    <w:rsid w:val="004403A1"/>
    <w:rsid w:val="00440601"/>
    <w:rsid w:val="0044128E"/>
    <w:rsid w:val="00441FD6"/>
    <w:rsid w:val="00443AB1"/>
    <w:rsid w:val="00443D70"/>
    <w:rsid w:val="004443B7"/>
    <w:rsid w:val="0044441B"/>
    <w:rsid w:val="004444DE"/>
    <w:rsid w:val="00444A6C"/>
    <w:rsid w:val="004451BF"/>
    <w:rsid w:val="00445300"/>
    <w:rsid w:val="00445D47"/>
    <w:rsid w:val="00445D92"/>
    <w:rsid w:val="00445F6A"/>
    <w:rsid w:val="0044689F"/>
    <w:rsid w:val="00446ACD"/>
    <w:rsid w:val="00446BA7"/>
    <w:rsid w:val="00446FEE"/>
    <w:rsid w:val="00447022"/>
    <w:rsid w:val="00447118"/>
    <w:rsid w:val="004473BD"/>
    <w:rsid w:val="0044741B"/>
    <w:rsid w:val="00447C94"/>
    <w:rsid w:val="004501A2"/>
    <w:rsid w:val="004504D8"/>
    <w:rsid w:val="00450B2D"/>
    <w:rsid w:val="00450CAD"/>
    <w:rsid w:val="00450D1C"/>
    <w:rsid w:val="00450DD1"/>
    <w:rsid w:val="004512FD"/>
    <w:rsid w:val="00451E6E"/>
    <w:rsid w:val="004522CE"/>
    <w:rsid w:val="00452889"/>
    <w:rsid w:val="004528DE"/>
    <w:rsid w:val="00452B4C"/>
    <w:rsid w:val="00452BF7"/>
    <w:rsid w:val="00452D82"/>
    <w:rsid w:val="00453090"/>
    <w:rsid w:val="00453C6F"/>
    <w:rsid w:val="00453F13"/>
    <w:rsid w:val="00454332"/>
    <w:rsid w:val="004543AE"/>
    <w:rsid w:val="00454DDD"/>
    <w:rsid w:val="00455092"/>
    <w:rsid w:val="00455BC5"/>
    <w:rsid w:val="00455C3A"/>
    <w:rsid w:val="00455ED7"/>
    <w:rsid w:val="00456476"/>
    <w:rsid w:val="004566A2"/>
    <w:rsid w:val="00456785"/>
    <w:rsid w:val="00456836"/>
    <w:rsid w:val="004568BD"/>
    <w:rsid w:val="00456BE9"/>
    <w:rsid w:val="00456CB4"/>
    <w:rsid w:val="00456EFA"/>
    <w:rsid w:val="00457196"/>
    <w:rsid w:val="004576BC"/>
    <w:rsid w:val="004579A8"/>
    <w:rsid w:val="00457B66"/>
    <w:rsid w:val="004609E2"/>
    <w:rsid w:val="00460BD1"/>
    <w:rsid w:val="00460DCE"/>
    <w:rsid w:val="0046125A"/>
    <w:rsid w:val="004617D6"/>
    <w:rsid w:val="0046196D"/>
    <w:rsid w:val="00461A60"/>
    <w:rsid w:val="00462390"/>
    <w:rsid w:val="00462657"/>
    <w:rsid w:val="00462BE4"/>
    <w:rsid w:val="00462DE5"/>
    <w:rsid w:val="004630B9"/>
    <w:rsid w:val="004646F3"/>
    <w:rsid w:val="0046475B"/>
    <w:rsid w:val="004649A0"/>
    <w:rsid w:val="00464D07"/>
    <w:rsid w:val="004650A1"/>
    <w:rsid w:val="00465689"/>
    <w:rsid w:val="00465994"/>
    <w:rsid w:val="004663AB"/>
    <w:rsid w:val="00466450"/>
    <w:rsid w:val="00466491"/>
    <w:rsid w:val="004667D8"/>
    <w:rsid w:val="004669D5"/>
    <w:rsid w:val="00467585"/>
    <w:rsid w:val="0046763E"/>
    <w:rsid w:val="00467D3F"/>
    <w:rsid w:val="00470744"/>
    <w:rsid w:val="00470848"/>
    <w:rsid w:val="00470F5F"/>
    <w:rsid w:val="0047117D"/>
    <w:rsid w:val="004717BB"/>
    <w:rsid w:val="00471A02"/>
    <w:rsid w:val="00471E07"/>
    <w:rsid w:val="00472321"/>
    <w:rsid w:val="00472CD0"/>
    <w:rsid w:val="00472DC9"/>
    <w:rsid w:val="00472DE1"/>
    <w:rsid w:val="00473416"/>
    <w:rsid w:val="00473620"/>
    <w:rsid w:val="00473CBB"/>
    <w:rsid w:val="00473CBE"/>
    <w:rsid w:val="00474BA6"/>
    <w:rsid w:val="00474E59"/>
    <w:rsid w:val="00474FED"/>
    <w:rsid w:val="00475285"/>
    <w:rsid w:val="0047535A"/>
    <w:rsid w:val="004754C8"/>
    <w:rsid w:val="0047570C"/>
    <w:rsid w:val="004759EA"/>
    <w:rsid w:val="00475AAE"/>
    <w:rsid w:val="00475F67"/>
    <w:rsid w:val="00475FB7"/>
    <w:rsid w:val="00476A63"/>
    <w:rsid w:val="0047736D"/>
    <w:rsid w:val="00477635"/>
    <w:rsid w:val="00477C41"/>
    <w:rsid w:val="00480300"/>
    <w:rsid w:val="00480B95"/>
    <w:rsid w:val="00480EE9"/>
    <w:rsid w:val="0048169D"/>
    <w:rsid w:val="004819FA"/>
    <w:rsid w:val="00482079"/>
    <w:rsid w:val="00482896"/>
    <w:rsid w:val="00482B60"/>
    <w:rsid w:val="00483291"/>
    <w:rsid w:val="00483535"/>
    <w:rsid w:val="004837F7"/>
    <w:rsid w:val="00484074"/>
    <w:rsid w:val="00484079"/>
    <w:rsid w:val="00484433"/>
    <w:rsid w:val="00484902"/>
    <w:rsid w:val="004849E2"/>
    <w:rsid w:val="00484FE5"/>
    <w:rsid w:val="0048585B"/>
    <w:rsid w:val="00485C75"/>
    <w:rsid w:val="004868BB"/>
    <w:rsid w:val="00486DC6"/>
    <w:rsid w:val="00486DEA"/>
    <w:rsid w:val="00486E8C"/>
    <w:rsid w:val="0048705B"/>
    <w:rsid w:val="00487171"/>
    <w:rsid w:val="00487739"/>
    <w:rsid w:val="00487CA1"/>
    <w:rsid w:val="00487E92"/>
    <w:rsid w:val="00490012"/>
    <w:rsid w:val="00490337"/>
    <w:rsid w:val="004903BF"/>
    <w:rsid w:val="004905A4"/>
    <w:rsid w:val="004906A9"/>
    <w:rsid w:val="00490934"/>
    <w:rsid w:val="0049093C"/>
    <w:rsid w:val="00490DD0"/>
    <w:rsid w:val="004918B6"/>
    <w:rsid w:val="0049257C"/>
    <w:rsid w:val="00492BE7"/>
    <w:rsid w:val="0049302D"/>
    <w:rsid w:val="00493243"/>
    <w:rsid w:val="004936C3"/>
    <w:rsid w:val="00493801"/>
    <w:rsid w:val="004939FC"/>
    <w:rsid w:val="00493DA1"/>
    <w:rsid w:val="00493EE9"/>
    <w:rsid w:val="0049434E"/>
    <w:rsid w:val="004947F6"/>
    <w:rsid w:val="00494F27"/>
    <w:rsid w:val="00495800"/>
    <w:rsid w:val="0049643E"/>
    <w:rsid w:val="0049662E"/>
    <w:rsid w:val="00496AE2"/>
    <w:rsid w:val="004970C9"/>
    <w:rsid w:val="004972BB"/>
    <w:rsid w:val="004A063B"/>
    <w:rsid w:val="004A0B94"/>
    <w:rsid w:val="004A1257"/>
    <w:rsid w:val="004A198F"/>
    <w:rsid w:val="004A1A84"/>
    <w:rsid w:val="004A1CDB"/>
    <w:rsid w:val="004A1CE7"/>
    <w:rsid w:val="004A1DEC"/>
    <w:rsid w:val="004A1F4C"/>
    <w:rsid w:val="004A1FA8"/>
    <w:rsid w:val="004A20F5"/>
    <w:rsid w:val="004A232D"/>
    <w:rsid w:val="004A29CB"/>
    <w:rsid w:val="004A30F6"/>
    <w:rsid w:val="004A31BD"/>
    <w:rsid w:val="004A38E2"/>
    <w:rsid w:val="004A3A2B"/>
    <w:rsid w:val="004A3BA9"/>
    <w:rsid w:val="004A3BB5"/>
    <w:rsid w:val="004A4116"/>
    <w:rsid w:val="004A4121"/>
    <w:rsid w:val="004A42FF"/>
    <w:rsid w:val="004A4825"/>
    <w:rsid w:val="004A4ADA"/>
    <w:rsid w:val="004A4BF8"/>
    <w:rsid w:val="004A53DF"/>
    <w:rsid w:val="004A55A4"/>
    <w:rsid w:val="004A575D"/>
    <w:rsid w:val="004A5942"/>
    <w:rsid w:val="004A5D9E"/>
    <w:rsid w:val="004A5F5D"/>
    <w:rsid w:val="004A63BC"/>
    <w:rsid w:val="004A6588"/>
    <w:rsid w:val="004A6650"/>
    <w:rsid w:val="004A7092"/>
    <w:rsid w:val="004A72D0"/>
    <w:rsid w:val="004A74D7"/>
    <w:rsid w:val="004A74E7"/>
    <w:rsid w:val="004A7BDD"/>
    <w:rsid w:val="004A7EF5"/>
    <w:rsid w:val="004A7F16"/>
    <w:rsid w:val="004B10DC"/>
    <w:rsid w:val="004B14DE"/>
    <w:rsid w:val="004B18EE"/>
    <w:rsid w:val="004B2EC6"/>
    <w:rsid w:val="004B3145"/>
    <w:rsid w:val="004B31AE"/>
    <w:rsid w:val="004B3202"/>
    <w:rsid w:val="004B354C"/>
    <w:rsid w:val="004B3A9A"/>
    <w:rsid w:val="004B3DF1"/>
    <w:rsid w:val="004B3FCC"/>
    <w:rsid w:val="004B4067"/>
    <w:rsid w:val="004B500B"/>
    <w:rsid w:val="004B544B"/>
    <w:rsid w:val="004B591E"/>
    <w:rsid w:val="004B5AB6"/>
    <w:rsid w:val="004B608F"/>
    <w:rsid w:val="004B64CF"/>
    <w:rsid w:val="004B6C27"/>
    <w:rsid w:val="004B6D68"/>
    <w:rsid w:val="004B74F6"/>
    <w:rsid w:val="004B7FDD"/>
    <w:rsid w:val="004C02C5"/>
    <w:rsid w:val="004C0463"/>
    <w:rsid w:val="004C085E"/>
    <w:rsid w:val="004C0AB7"/>
    <w:rsid w:val="004C1074"/>
    <w:rsid w:val="004C11F4"/>
    <w:rsid w:val="004C14DC"/>
    <w:rsid w:val="004C1A12"/>
    <w:rsid w:val="004C1D9B"/>
    <w:rsid w:val="004C1DAB"/>
    <w:rsid w:val="004C1DDF"/>
    <w:rsid w:val="004C26F9"/>
    <w:rsid w:val="004C2963"/>
    <w:rsid w:val="004C2C82"/>
    <w:rsid w:val="004C2F22"/>
    <w:rsid w:val="004C3191"/>
    <w:rsid w:val="004C3501"/>
    <w:rsid w:val="004C351C"/>
    <w:rsid w:val="004C358E"/>
    <w:rsid w:val="004C3B09"/>
    <w:rsid w:val="004C3C3A"/>
    <w:rsid w:val="004C3C41"/>
    <w:rsid w:val="004C3EA3"/>
    <w:rsid w:val="004C4082"/>
    <w:rsid w:val="004C41E9"/>
    <w:rsid w:val="004C450A"/>
    <w:rsid w:val="004C4A5A"/>
    <w:rsid w:val="004C50CE"/>
    <w:rsid w:val="004C5B4F"/>
    <w:rsid w:val="004C60A7"/>
    <w:rsid w:val="004C6789"/>
    <w:rsid w:val="004C6814"/>
    <w:rsid w:val="004C6A1A"/>
    <w:rsid w:val="004C6F7F"/>
    <w:rsid w:val="004C73D1"/>
    <w:rsid w:val="004C76E6"/>
    <w:rsid w:val="004D01B2"/>
    <w:rsid w:val="004D097E"/>
    <w:rsid w:val="004D0E7B"/>
    <w:rsid w:val="004D106B"/>
    <w:rsid w:val="004D116A"/>
    <w:rsid w:val="004D1356"/>
    <w:rsid w:val="004D1971"/>
    <w:rsid w:val="004D1C81"/>
    <w:rsid w:val="004D2138"/>
    <w:rsid w:val="004D2A0E"/>
    <w:rsid w:val="004D397D"/>
    <w:rsid w:val="004D47EB"/>
    <w:rsid w:val="004D5E17"/>
    <w:rsid w:val="004D6075"/>
    <w:rsid w:val="004D65E3"/>
    <w:rsid w:val="004D6C57"/>
    <w:rsid w:val="004D701D"/>
    <w:rsid w:val="004D74E8"/>
    <w:rsid w:val="004D77D2"/>
    <w:rsid w:val="004D7A0E"/>
    <w:rsid w:val="004D7FC6"/>
    <w:rsid w:val="004E009B"/>
    <w:rsid w:val="004E06DB"/>
    <w:rsid w:val="004E0B3E"/>
    <w:rsid w:val="004E0F74"/>
    <w:rsid w:val="004E1454"/>
    <w:rsid w:val="004E1747"/>
    <w:rsid w:val="004E2410"/>
    <w:rsid w:val="004E3099"/>
    <w:rsid w:val="004E3DF0"/>
    <w:rsid w:val="004E40B6"/>
    <w:rsid w:val="004E43CE"/>
    <w:rsid w:val="004E4674"/>
    <w:rsid w:val="004E47AF"/>
    <w:rsid w:val="004E48A2"/>
    <w:rsid w:val="004E51F7"/>
    <w:rsid w:val="004E5605"/>
    <w:rsid w:val="004E58AA"/>
    <w:rsid w:val="004E60CB"/>
    <w:rsid w:val="004E6688"/>
    <w:rsid w:val="004E67B2"/>
    <w:rsid w:val="004E6D3F"/>
    <w:rsid w:val="004E70DC"/>
    <w:rsid w:val="004E711C"/>
    <w:rsid w:val="004E729C"/>
    <w:rsid w:val="004E75A9"/>
    <w:rsid w:val="004E7742"/>
    <w:rsid w:val="004E78F7"/>
    <w:rsid w:val="004F01E8"/>
    <w:rsid w:val="004F043F"/>
    <w:rsid w:val="004F046A"/>
    <w:rsid w:val="004F057A"/>
    <w:rsid w:val="004F06C9"/>
    <w:rsid w:val="004F08AC"/>
    <w:rsid w:val="004F1B9E"/>
    <w:rsid w:val="004F1C76"/>
    <w:rsid w:val="004F1CE4"/>
    <w:rsid w:val="004F1E2C"/>
    <w:rsid w:val="004F1FDD"/>
    <w:rsid w:val="004F2034"/>
    <w:rsid w:val="004F2329"/>
    <w:rsid w:val="004F2CF7"/>
    <w:rsid w:val="004F2E3B"/>
    <w:rsid w:val="004F367E"/>
    <w:rsid w:val="004F3FD1"/>
    <w:rsid w:val="004F40D2"/>
    <w:rsid w:val="004F48FD"/>
    <w:rsid w:val="004F57A0"/>
    <w:rsid w:val="004F69AE"/>
    <w:rsid w:val="004F6D48"/>
    <w:rsid w:val="004F6DF5"/>
    <w:rsid w:val="004F7014"/>
    <w:rsid w:val="004F7356"/>
    <w:rsid w:val="004F7373"/>
    <w:rsid w:val="004F73CC"/>
    <w:rsid w:val="004F764F"/>
    <w:rsid w:val="004F7782"/>
    <w:rsid w:val="004F78B2"/>
    <w:rsid w:val="004F797E"/>
    <w:rsid w:val="004F7FFA"/>
    <w:rsid w:val="00500080"/>
    <w:rsid w:val="00500122"/>
    <w:rsid w:val="00500396"/>
    <w:rsid w:val="00500439"/>
    <w:rsid w:val="005005FC"/>
    <w:rsid w:val="005006A0"/>
    <w:rsid w:val="0050080E"/>
    <w:rsid w:val="00500C1E"/>
    <w:rsid w:val="00500F6C"/>
    <w:rsid w:val="00501241"/>
    <w:rsid w:val="00501264"/>
    <w:rsid w:val="0050140A"/>
    <w:rsid w:val="0050151A"/>
    <w:rsid w:val="00501674"/>
    <w:rsid w:val="005017D7"/>
    <w:rsid w:val="005019E4"/>
    <w:rsid w:val="00501B32"/>
    <w:rsid w:val="00501D03"/>
    <w:rsid w:val="00501FE0"/>
    <w:rsid w:val="0050204E"/>
    <w:rsid w:val="00502082"/>
    <w:rsid w:val="0050276A"/>
    <w:rsid w:val="005029B8"/>
    <w:rsid w:val="00502CDB"/>
    <w:rsid w:val="0050352B"/>
    <w:rsid w:val="005037A0"/>
    <w:rsid w:val="00503879"/>
    <w:rsid w:val="0050415C"/>
    <w:rsid w:val="005041AE"/>
    <w:rsid w:val="0050461F"/>
    <w:rsid w:val="00504BF0"/>
    <w:rsid w:val="00504C4B"/>
    <w:rsid w:val="005053D7"/>
    <w:rsid w:val="005056ED"/>
    <w:rsid w:val="005056F7"/>
    <w:rsid w:val="00505E6D"/>
    <w:rsid w:val="0050669B"/>
    <w:rsid w:val="00506CEF"/>
    <w:rsid w:val="00506D81"/>
    <w:rsid w:val="00506E28"/>
    <w:rsid w:val="00507011"/>
    <w:rsid w:val="0050737F"/>
    <w:rsid w:val="00507474"/>
    <w:rsid w:val="0051040D"/>
    <w:rsid w:val="005108B1"/>
    <w:rsid w:val="00510A35"/>
    <w:rsid w:val="0051103B"/>
    <w:rsid w:val="005113E4"/>
    <w:rsid w:val="00511996"/>
    <w:rsid w:val="00511F06"/>
    <w:rsid w:val="005124A6"/>
    <w:rsid w:val="00512522"/>
    <w:rsid w:val="00513014"/>
    <w:rsid w:val="005131BB"/>
    <w:rsid w:val="005137E6"/>
    <w:rsid w:val="00513E22"/>
    <w:rsid w:val="00514214"/>
    <w:rsid w:val="005148B3"/>
    <w:rsid w:val="00514A3C"/>
    <w:rsid w:val="005150D0"/>
    <w:rsid w:val="0051588B"/>
    <w:rsid w:val="00515A02"/>
    <w:rsid w:val="00515BBD"/>
    <w:rsid w:val="00515C4E"/>
    <w:rsid w:val="00515F20"/>
    <w:rsid w:val="00515F2C"/>
    <w:rsid w:val="00516456"/>
    <w:rsid w:val="00516AD4"/>
    <w:rsid w:val="00516E6B"/>
    <w:rsid w:val="00516F21"/>
    <w:rsid w:val="0051766C"/>
    <w:rsid w:val="005176C2"/>
    <w:rsid w:val="00517DD9"/>
    <w:rsid w:val="0052003D"/>
    <w:rsid w:val="00520642"/>
    <w:rsid w:val="005206DA"/>
    <w:rsid w:val="00520F8B"/>
    <w:rsid w:val="00521D91"/>
    <w:rsid w:val="0052208A"/>
    <w:rsid w:val="00522135"/>
    <w:rsid w:val="0052232B"/>
    <w:rsid w:val="00522518"/>
    <w:rsid w:val="005226CA"/>
    <w:rsid w:val="00522782"/>
    <w:rsid w:val="00522C09"/>
    <w:rsid w:val="00522D4E"/>
    <w:rsid w:val="005236B0"/>
    <w:rsid w:val="00523AB9"/>
    <w:rsid w:val="00523D28"/>
    <w:rsid w:val="005241B6"/>
    <w:rsid w:val="00524352"/>
    <w:rsid w:val="00524770"/>
    <w:rsid w:val="00524A2C"/>
    <w:rsid w:val="00524B48"/>
    <w:rsid w:val="00524EFF"/>
    <w:rsid w:val="0052522C"/>
    <w:rsid w:val="005253E0"/>
    <w:rsid w:val="00525941"/>
    <w:rsid w:val="00525949"/>
    <w:rsid w:val="00526056"/>
    <w:rsid w:val="0052612A"/>
    <w:rsid w:val="0052630F"/>
    <w:rsid w:val="005263B0"/>
    <w:rsid w:val="005268D6"/>
    <w:rsid w:val="00526BD5"/>
    <w:rsid w:val="00527386"/>
    <w:rsid w:val="00527697"/>
    <w:rsid w:val="005302A6"/>
    <w:rsid w:val="00530827"/>
    <w:rsid w:val="00530BCD"/>
    <w:rsid w:val="00530F51"/>
    <w:rsid w:val="00530F6B"/>
    <w:rsid w:val="005317EA"/>
    <w:rsid w:val="00531C17"/>
    <w:rsid w:val="00531D91"/>
    <w:rsid w:val="00532035"/>
    <w:rsid w:val="005323CF"/>
    <w:rsid w:val="00532513"/>
    <w:rsid w:val="005331DD"/>
    <w:rsid w:val="0053332A"/>
    <w:rsid w:val="00533346"/>
    <w:rsid w:val="005333D8"/>
    <w:rsid w:val="00533465"/>
    <w:rsid w:val="00533C70"/>
    <w:rsid w:val="00534204"/>
    <w:rsid w:val="00534A18"/>
    <w:rsid w:val="00534D2F"/>
    <w:rsid w:val="00535067"/>
    <w:rsid w:val="005352BF"/>
    <w:rsid w:val="005357F1"/>
    <w:rsid w:val="005358E0"/>
    <w:rsid w:val="00535D73"/>
    <w:rsid w:val="0053672C"/>
    <w:rsid w:val="0053680B"/>
    <w:rsid w:val="00536EC2"/>
    <w:rsid w:val="0053705A"/>
    <w:rsid w:val="005370D8"/>
    <w:rsid w:val="00537C66"/>
    <w:rsid w:val="00537D57"/>
    <w:rsid w:val="005402C0"/>
    <w:rsid w:val="00540485"/>
    <w:rsid w:val="0054050B"/>
    <w:rsid w:val="00540759"/>
    <w:rsid w:val="0054115B"/>
    <w:rsid w:val="005418C2"/>
    <w:rsid w:val="00541D8A"/>
    <w:rsid w:val="00541FB5"/>
    <w:rsid w:val="00541FFE"/>
    <w:rsid w:val="00542710"/>
    <w:rsid w:val="00542B75"/>
    <w:rsid w:val="00543414"/>
    <w:rsid w:val="005439BC"/>
    <w:rsid w:val="0054404D"/>
    <w:rsid w:val="0054464E"/>
    <w:rsid w:val="00544A6A"/>
    <w:rsid w:val="00544D11"/>
    <w:rsid w:val="00544DCD"/>
    <w:rsid w:val="00545144"/>
    <w:rsid w:val="0054568F"/>
    <w:rsid w:val="00545817"/>
    <w:rsid w:val="00545C73"/>
    <w:rsid w:val="0054612C"/>
    <w:rsid w:val="0054639C"/>
    <w:rsid w:val="005469BA"/>
    <w:rsid w:val="005469F0"/>
    <w:rsid w:val="00546A51"/>
    <w:rsid w:val="00546F80"/>
    <w:rsid w:val="005472F4"/>
    <w:rsid w:val="00547746"/>
    <w:rsid w:val="00547761"/>
    <w:rsid w:val="005479DC"/>
    <w:rsid w:val="00550235"/>
    <w:rsid w:val="005506CB"/>
    <w:rsid w:val="00550973"/>
    <w:rsid w:val="00550D83"/>
    <w:rsid w:val="00550D9F"/>
    <w:rsid w:val="00550FEB"/>
    <w:rsid w:val="005510B8"/>
    <w:rsid w:val="0055143C"/>
    <w:rsid w:val="00551932"/>
    <w:rsid w:val="005519F2"/>
    <w:rsid w:val="00551BFD"/>
    <w:rsid w:val="0055273A"/>
    <w:rsid w:val="00552C77"/>
    <w:rsid w:val="005534C9"/>
    <w:rsid w:val="0055363F"/>
    <w:rsid w:val="005536EE"/>
    <w:rsid w:val="005537BA"/>
    <w:rsid w:val="00554611"/>
    <w:rsid w:val="0055468A"/>
    <w:rsid w:val="00554E07"/>
    <w:rsid w:val="00555D0F"/>
    <w:rsid w:val="0055615B"/>
    <w:rsid w:val="005562BA"/>
    <w:rsid w:val="005564E7"/>
    <w:rsid w:val="005566DF"/>
    <w:rsid w:val="005574B7"/>
    <w:rsid w:val="0055758A"/>
    <w:rsid w:val="0055785A"/>
    <w:rsid w:val="00557996"/>
    <w:rsid w:val="005579BA"/>
    <w:rsid w:val="00557CDE"/>
    <w:rsid w:val="00557D2A"/>
    <w:rsid w:val="00557F5B"/>
    <w:rsid w:val="0056019A"/>
    <w:rsid w:val="005602E0"/>
    <w:rsid w:val="00560479"/>
    <w:rsid w:val="0056103F"/>
    <w:rsid w:val="00561155"/>
    <w:rsid w:val="0056187D"/>
    <w:rsid w:val="0056196F"/>
    <w:rsid w:val="00561D9D"/>
    <w:rsid w:val="00561E3A"/>
    <w:rsid w:val="00562C6D"/>
    <w:rsid w:val="00562EE1"/>
    <w:rsid w:val="00563148"/>
    <w:rsid w:val="00563206"/>
    <w:rsid w:val="0056331B"/>
    <w:rsid w:val="00563499"/>
    <w:rsid w:val="0056356E"/>
    <w:rsid w:val="00563983"/>
    <w:rsid w:val="00563B3A"/>
    <w:rsid w:val="00564085"/>
    <w:rsid w:val="0056414E"/>
    <w:rsid w:val="0056455D"/>
    <w:rsid w:val="0056465E"/>
    <w:rsid w:val="00564816"/>
    <w:rsid w:val="005649B6"/>
    <w:rsid w:val="00564D5F"/>
    <w:rsid w:val="005650EE"/>
    <w:rsid w:val="005652EA"/>
    <w:rsid w:val="0056547C"/>
    <w:rsid w:val="0056593A"/>
    <w:rsid w:val="00565BAC"/>
    <w:rsid w:val="00565D25"/>
    <w:rsid w:val="00566115"/>
    <w:rsid w:val="00566826"/>
    <w:rsid w:val="0056722D"/>
    <w:rsid w:val="005674A8"/>
    <w:rsid w:val="00567719"/>
    <w:rsid w:val="00567A7A"/>
    <w:rsid w:val="00567CA2"/>
    <w:rsid w:val="00570228"/>
    <w:rsid w:val="00570541"/>
    <w:rsid w:val="00571544"/>
    <w:rsid w:val="00571618"/>
    <w:rsid w:val="0057181D"/>
    <w:rsid w:val="00571D99"/>
    <w:rsid w:val="005720CA"/>
    <w:rsid w:val="005725FE"/>
    <w:rsid w:val="005737D9"/>
    <w:rsid w:val="00573CDF"/>
    <w:rsid w:val="00574441"/>
    <w:rsid w:val="0057448D"/>
    <w:rsid w:val="0057451C"/>
    <w:rsid w:val="005748E0"/>
    <w:rsid w:val="00574C72"/>
    <w:rsid w:val="00574EE0"/>
    <w:rsid w:val="005752CA"/>
    <w:rsid w:val="005753ED"/>
    <w:rsid w:val="0057577B"/>
    <w:rsid w:val="00575963"/>
    <w:rsid w:val="005759B6"/>
    <w:rsid w:val="00575F6E"/>
    <w:rsid w:val="00576195"/>
    <w:rsid w:val="005761A8"/>
    <w:rsid w:val="005761EA"/>
    <w:rsid w:val="005763F2"/>
    <w:rsid w:val="00576C3E"/>
    <w:rsid w:val="00576D18"/>
    <w:rsid w:val="00576D45"/>
    <w:rsid w:val="00576D9D"/>
    <w:rsid w:val="005770C5"/>
    <w:rsid w:val="0057724D"/>
    <w:rsid w:val="00577BC8"/>
    <w:rsid w:val="0058001D"/>
    <w:rsid w:val="005802DF"/>
    <w:rsid w:val="0058077D"/>
    <w:rsid w:val="00580B0A"/>
    <w:rsid w:val="00580CAF"/>
    <w:rsid w:val="00580CBF"/>
    <w:rsid w:val="00580F48"/>
    <w:rsid w:val="00581087"/>
    <w:rsid w:val="005818AC"/>
    <w:rsid w:val="00581BFE"/>
    <w:rsid w:val="005821B8"/>
    <w:rsid w:val="00582691"/>
    <w:rsid w:val="00582E1F"/>
    <w:rsid w:val="005833AE"/>
    <w:rsid w:val="00583661"/>
    <w:rsid w:val="00583761"/>
    <w:rsid w:val="0058380D"/>
    <w:rsid w:val="00583BBA"/>
    <w:rsid w:val="00583BDB"/>
    <w:rsid w:val="005843BE"/>
    <w:rsid w:val="00584587"/>
    <w:rsid w:val="005851B8"/>
    <w:rsid w:val="00585547"/>
    <w:rsid w:val="0058583A"/>
    <w:rsid w:val="00585852"/>
    <w:rsid w:val="00585BAC"/>
    <w:rsid w:val="00585E38"/>
    <w:rsid w:val="005860DC"/>
    <w:rsid w:val="00586D0E"/>
    <w:rsid w:val="00586D1B"/>
    <w:rsid w:val="00586D73"/>
    <w:rsid w:val="00586E8F"/>
    <w:rsid w:val="00587078"/>
    <w:rsid w:val="00587672"/>
    <w:rsid w:val="00587A01"/>
    <w:rsid w:val="00587FC5"/>
    <w:rsid w:val="005903E6"/>
    <w:rsid w:val="005908A8"/>
    <w:rsid w:val="005908B4"/>
    <w:rsid w:val="005908F2"/>
    <w:rsid w:val="00590B1B"/>
    <w:rsid w:val="005918A2"/>
    <w:rsid w:val="00591A1C"/>
    <w:rsid w:val="00591B8C"/>
    <w:rsid w:val="00591BAA"/>
    <w:rsid w:val="00591D5E"/>
    <w:rsid w:val="00591D8B"/>
    <w:rsid w:val="005922BB"/>
    <w:rsid w:val="005923E2"/>
    <w:rsid w:val="005924BE"/>
    <w:rsid w:val="005926DB"/>
    <w:rsid w:val="00592A0B"/>
    <w:rsid w:val="00592E07"/>
    <w:rsid w:val="005933F2"/>
    <w:rsid w:val="00593446"/>
    <w:rsid w:val="00593983"/>
    <w:rsid w:val="00593A87"/>
    <w:rsid w:val="00593AA1"/>
    <w:rsid w:val="00593E20"/>
    <w:rsid w:val="00593E28"/>
    <w:rsid w:val="005944BE"/>
    <w:rsid w:val="00594537"/>
    <w:rsid w:val="00594815"/>
    <w:rsid w:val="005950E5"/>
    <w:rsid w:val="00595178"/>
    <w:rsid w:val="00595491"/>
    <w:rsid w:val="00595CAE"/>
    <w:rsid w:val="00595CCF"/>
    <w:rsid w:val="00596124"/>
    <w:rsid w:val="0059636C"/>
    <w:rsid w:val="005965DE"/>
    <w:rsid w:val="005966CE"/>
    <w:rsid w:val="00596E7A"/>
    <w:rsid w:val="00596F10"/>
    <w:rsid w:val="00596FB7"/>
    <w:rsid w:val="005979E1"/>
    <w:rsid w:val="00597CD2"/>
    <w:rsid w:val="00597E64"/>
    <w:rsid w:val="005A0F83"/>
    <w:rsid w:val="005A1039"/>
    <w:rsid w:val="005A141F"/>
    <w:rsid w:val="005A15DB"/>
    <w:rsid w:val="005A1627"/>
    <w:rsid w:val="005A23B6"/>
    <w:rsid w:val="005A2537"/>
    <w:rsid w:val="005A257B"/>
    <w:rsid w:val="005A2CC7"/>
    <w:rsid w:val="005A2D68"/>
    <w:rsid w:val="005A2E6F"/>
    <w:rsid w:val="005A322E"/>
    <w:rsid w:val="005A34B6"/>
    <w:rsid w:val="005A3BFC"/>
    <w:rsid w:val="005A3D27"/>
    <w:rsid w:val="005A3E66"/>
    <w:rsid w:val="005A3F17"/>
    <w:rsid w:val="005A433D"/>
    <w:rsid w:val="005A50BE"/>
    <w:rsid w:val="005A5558"/>
    <w:rsid w:val="005A583D"/>
    <w:rsid w:val="005A5D84"/>
    <w:rsid w:val="005A667E"/>
    <w:rsid w:val="005A6C9C"/>
    <w:rsid w:val="005A6CFB"/>
    <w:rsid w:val="005A765E"/>
    <w:rsid w:val="005B0992"/>
    <w:rsid w:val="005B0AF5"/>
    <w:rsid w:val="005B0CAB"/>
    <w:rsid w:val="005B1B55"/>
    <w:rsid w:val="005B1D8E"/>
    <w:rsid w:val="005B1E91"/>
    <w:rsid w:val="005B2A57"/>
    <w:rsid w:val="005B2BCF"/>
    <w:rsid w:val="005B2F18"/>
    <w:rsid w:val="005B32AB"/>
    <w:rsid w:val="005B39C1"/>
    <w:rsid w:val="005B41A3"/>
    <w:rsid w:val="005B51A8"/>
    <w:rsid w:val="005B52BE"/>
    <w:rsid w:val="005B553B"/>
    <w:rsid w:val="005B5892"/>
    <w:rsid w:val="005B58FF"/>
    <w:rsid w:val="005B5E35"/>
    <w:rsid w:val="005B5F0C"/>
    <w:rsid w:val="005B6130"/>
    <w:rsid w:val="005B61E9"/>
    <w:rsid w:val="005B6432"/>
    <w:rsid w:val="005B6755"/>
    <w:rsid w:val="005B69D1"/>
    <w:rsid w:val="005B6A62"/>
    <w:rsid w:val="005B73B9"/>
    <w:rsid w:val="005B765F"/>
    <w:rsid w:val="005B78F5"/>
    <w:rsid w:val="005B799F"/>
    <w:rsid w:val="005B7B1B"/>
    <w:rsid w:val="005B7F64"/>
    <w:rsid w:val="005C00FA"/>
    <w:rsid w:val="005C0157"/>
    <w:rsid w:val="005C01D3"/>
    <w:rsid w:val="005C01D5"/>
    <w:rsid w:val="005C0D31"/>
    <w:rsid w:val="005C0F19"/>
    <w:rsid w:val="005C1365"/>
    <w:rsid w:val="005C13F5"/>
    <w:rsid w:val="005C17A8"/>
    <w:rsid w:val="005C1829"/>
    <w:rsid w:val="005C190E"/>
    <w:rsid w:val="005C1BF1"/>
    <w:rsid w:val="005C1C43"/>
    <w:rsid w:val="005C1EE2"/>
    <w:rsid w:val="005C1FEC"/>
    <w:rsid w:val="005C2350"/>
    <w:rsid w:val="005C2613"/>
    <w:rsid w:val="005C2ED4"/>
    <w:rsid w:val="005C2FB6"/>
    <w:rsid w:val="005C3232"/>
    <w:rsid w:val="005C3252"/>
    <w:rsid w:val="005C3BF9"/>
    <w:rsid w:val="005C4497"/>
    <w:rsid w:val="005C4A94"/>
    <w:rsid w:val="005C5966"/>
    <w:rsid w:val="005C59C4"/>
    <w:rsid w:val="005C5D2E"/>
    <w:rsid w:val="005C626A"/>
    <w:rsid w:val="005C6988"/>
    <w:rsid w:val="005C69BF"/>
    <w:rsid w:val="005C69FB"/>
    <w:rsid w:val="005C7353"/>
    <w:rsid w:val="005C7410"/>
    <w:rsid w:val="005C754E"/>
    <w:rsid w:val="005C7B36"/>
    <w:rsid w:val="005C7B53"/>
    <w:rsid w:val="005C7C4A"/>
    <w:rsid w:val="005D062D"/>
    <w:rsid w:val="005D0B65"/>
    <w:rsid w:val="005D1910"/>
    <w:rsid w:val="005D2188"/>
    <w:rsid w:val="005D275A"/>
    <w:rsid w:val="005D2C26"/>
    <w:rsid w:val="005D2CBA"/>
    <w:rsid w:val="005D2E76"/>
    <w:rsid w:val="005D319E"/>
    <w:rsid w:val="005D31AE"/>
    <w:rsid w:val="005D3574"/>
    <w:rsid w:val="005D3D8D"/>
    <w:rsid w:val="005D4644"/>
    <w:rsid w:val="005D4AC4"/>
    <w:rsid w:val="005D4BEB"/>
    <w:rsid w:val="005D50E4"/>
    <w:rsid w:val="005D5277"/>
    <w:rsid w:val="005D5E86"/>
    <w:rsid w:val="005D5F5B"/>
    <w:rsid w:val="005D68AA"/>
    <w:rsid w:val="005D702F"/>
    <w:rsid w:val="005D7327"/>
    <w:rsid w:val="005D73F3"/>
    <w:rsid w:val="005D742F"/>
    <w:rsid w:val="005D77FE"/>
    <w:rsid w:val="005D7BC5"/>
    <w:rsid w:val="005D7DA9"/>
    <w:rsid w:val="005E11B3"/>
    <w:rsid w:val="005E1561"/>
    <w:rsid w:val="005E1C6D"/>
    <w:rsid w:val="005E1ECD"/>
    <w:rsid w:val="005E2E65"/>
    <w:rsid w:val="005E30CD"/>
    <w:rsid w:val="005E31B6"/>
    <w:rsid w:val="005E3209"/>
    <w:rsid w:val="005E367A"/>
    <w:rsid w:val="005E36B9"/>
    <w:rsid w:val="005E36C9"/>
    <w:rsid w:val="005E3715"/>
    <w:rsid w:val="005E3F42"/>
    <w:rsid w:val="005E40CD"/>
    <w:rsid w:val="005E412B"/>
    <w:rsid w:val="005E476F"/>
    <w:rsid w:val="005E4D9E"/>
    <w:rsid w:val="005E5010"/>
    <w:rsid w:val="005E5046"/>
    <w:rsid w:val="005E533B"/>
    <w:rsid w:val="005E54BA"/>
    <w:rsid w:val="005E5BE9"/>
    <w:rsid w:val="005E6350"/>
    <w:rsid w:val="005E6615"/>
    <w:rsid w:val="005E67BE"/>
    <w:rsid w:val="005E6F09"/>
    <w:rsid w:val="005E75DC"/>
    <w:rsid w:val="005E765F"/>
    <w:rsid w:val="005E787B"/>
    <w:rsid w:val="005E78C0"/>
    <w:rsid w:val="005E7AA3"/>
    <w:rsid w:val="005E7AD8"/>
    <w:rsid w:val="005F005D"/>
    <w:rsid w:val="005F09DD"/>
    <w:rsid w:val="005F0A90"/>
    <w:rsid w:val="005F1615"/>
    <w:rsid w:val="005F1741"/>
    <w:rsid w:val="005F17FD"/>
    <w:rsid w:val="005F1960"/>
    <w:rsid w:val="005F1C06"/>
    <w:rsid w:val="005F1EC0"/>
    <w:rsid w:val="005F267E"/>
    <w:rsid w:val="005F280D"/>
    <w:rsid w:val="005F2A2C"/>
    <w:rsid w:val="005F2D35"/>
    <w:rsid w:val="005F2D82"/>
    <w:rsid w:val="005F3314"/>
    <w:rsid w:val="005F35A3"/>
    <w:rsid w:val="005F3D9A"/>
    <w:rsid w:val="005F4026"/>
    <w:rsid w:val="005F44B3"/>
    <w:rsid w:val="005F4591"/>
    <w:rsid w:val="005F46B0"/>
    <w:rsid w:val="005F4D6C"/>
    <w:rsid w:val="005F4DD7"/>
    <w:rsid w:val="005F5156"/>
    <w:rsid w:val="005F56E8"/>
    <w:rsid w:val="005F58AE"/>
    <w:rsid w:val="005F59B2"/>
    <w:rsid w:val="005F60F2"/>
    <w:rsid w:val="005F6729"/>
    <w:rsid w:val="005F67F5"/>
    <w:rsid w:val="005F6E47"/>
    <w:rsid w:val="005F70A1"/>
    <w:rsid w:val="005F70BE"/>
    <w:rsid w:val="005F755B"/>
    <w:rsid w:val="005F7705"/>
    <w:rsid w:val="005F7D9D"/>
    <w:rsid w:val="005F7EF1"/>
    <w:rsid w:val="006006C1"/>
    <w:rsid w:val="006006F6"/>
    <w:rsid w:val="00600775"/>
    <w:rsid w:val="00600788"/>
    <w:rsid w:val="0060109B"/>
    <w:rsid w:val="006013A7"/>
    <w:rsid w:val="006019A0"/>
    <w:rsid w:val="00601B60"/>
    <w:rsid w:val="00601C1A"/>
    <w:rsid w:val="00601F2F"/>
    <w:rsid w:val="00601F82"/>
    <w:rsid w:val="0060232F"/>
    <w:rsid w:val="0060250B"/>
    <w:rsid w:val="00602AFF"/>
    <w:rsid w:val="00602B98"/>
    <w:rsid w:val="00602DBB"/>
    <w:rsid w:val="00602E53"/>
    <w:rsid w:val="00602F3A"/>
    <w:rsid w:val="0060309B"/>
    <w:rsid w:val="006036AE"/>
    <w:rsid w:val="00603AEB"/>
    <w:rsid w:val="00603E2D"/>
    <w:rsid w:val="00603F34"/>
    <w:rsid w:val="006040A7"/>
    <w:rsid w:val="00604368"/>
    <w:rsid w:val="006047D8"/>
    <w:rsid w:val="0060486E"/>
    <w:rsid w:val="00605402"/>
    <w:rsid w:val="00605DFA"/>
    <w:rsid w:val="0060627E"/>
    <w:rsid w:val="00606345"/>
    <w:rsid w:val="0060643C"/>
    <w:rsid w:val="006065EF"/>
    <w:rsid w:val="006068FB"/>
    <w:rsid w:val="00606B73"/>
    <w:rsid w:val="00606F05"/>
    <w:rsid w:val="0060744A"/>
    <w:rsid w:val="00607C08"/>
    <w:rsid w:val="00607DAC"/>
    <w:rsid w:val="00610126"/>
    <w:rsid w:val="0061023D"/>
    <w:rsid w:val="00610364"/>
    <w:rsid w:val="006104CC"/>
    <w:rsid w:val="00610728"/>
    <w:rsid w:val="00610D89"/>
    <w:rsid w:val="0061128A"/>
    <w:rsid w:val="00611CEE"/>
    <w:rsid w:val="006124BF"/>
    <w:rsid w:val="00612ED7"/>
    <w:rsid w:val="00612F08"/>
    <w:rsid w:val="00613182"/>
    <w:rsid w:val="0061345F"/>
    <w:rsid w:val="006134C5"/>
    <w:rsid w:val="00613589"/>
    <w:rsid w:val="00613598"/>
    <w:rsid w:val="00613FCB"/>
    <w:rsid w:val="006140CD"/>
    <w:rsid w:val="00614887"/>
    <w:rsid w:val="00614C03"/>
    <w:rsid w:val="00615428"/>
    <w:rsid w:val="0061584D"/>
    <w:rsid w:val="00615AF8"/>
    <w:rsid w:val="00615D32"/>
    <w:rsid w:val="0061614D"/>
    <w:rsid w:val="0061620A"/>
    <w:rsid w:val="00616289"/>
    <w:rsid w:val="0061689C"/>
    <w:rsid w:val="00616FC5"/>
    <w:rsid w:val="006173FE"/>
    <w:rsid w:val="006174A6"/>
    <w:rsid w:val="00617766"/>
    <w:rsid w:val="00617AE6"/>
    <w:rsid w:val="00617D99"/>
    <w:rsid w:val="00620130"/>
    <w:rsid w:val="0062033E"/>
    <w:rsid w:val="00620A0E"/>
    <w:rsid w:val="006217FE"/>
    <w:rsid w:val="00621807"/>
    <w:rsid w:val="00621A8E"/>
    <w:rsid w:val="0062201A"/>
    <w:rsid w:val="006220A4"/>
    <w:rsid w:val="006224C6"/>
    <w:rsid w:val="00622621"/>
    <w:rsid w:val="00622A73"/>
    <w:rsid w:val="00622D95"/>
    <w:rsid w:val="00622ED2"/>
    <w:rsid w:val="006234DA"/>
    <w:rsid w:val="00623513"/>
    <w:rsid w:val="006237FD"/>
    <w:rsid w:val="00623847"/>
    <w:rsid w:val="00623CFF"/>
    <w:rsid w:val="0062502C"/>
    <w:rsid w:val="006253C1"/>
    <w:rsid w:val="00625663"/>
    <w:rsid w:val="00625853"/>
    <w:rsid w:val="006258D3"/>
    <w:rsid w:val="00625D3A"/>
    <w:rsid w:val="0062602B"/>
    <w:rsid w:val="0062647A"/>
    <w:rsid w:val="00626794"/>
    <w:rsid w:val="006272C2"/>
    <w:rsid w:val="00627760"/>
    <w:rsid w:val="0062785D"/>
    <w:rsid w:val="006278C4"/>
    <w:rsid w:val="0063007A"/>
    <w:rsid w:val="0063017F"/>
    <w:rsid w:val="006301EC"/>
    <w:rsid w:val="00630490"/>
    <w:rsid w:val="006309A5"/>
    <w:rsid w:val="00631508"/>
    <w:rsid w:val="006324E0"/>
    <w:rsid w:val="00632B39"/>
    <w:rsid w:val="00632BE3"/>
    <w:rsid w:val="006330F5"/>
    <w:rsid w:val="0063311D"/>
    <w:rsid w:val="0063316D"/>
    <w:rsid w:val="00633C10"/>
    <w:rsid w:val="006344C5"/>
    <w:rsid w:val="00635511"/>
    <w:rsid w:val="00635C9D"/>
    <w:rsid w:val="00635E98"/>
    <w:rsid w:val="00635FBD"/>
    <w:rsid w:val="0063622A"/>
    <w:rsid w:val="00636292"/>
    <w:rsid w:val="00636FF1"/>
    <w:rsid w:val="00637061"/>
    <w:rsid w:val="0063722F"/>
    <w:rsid w:val="0063723A"/>
    <w:rsid w:val="00637EEB"/>
    <w:rsid w:val="00640044"/>
    <w:rsid w:val="00640069"/>
    <w:rsid w:val="00640210"/>
    <w:rsid w:val="006408FD"/>
    <w:rsid w:val="006409D0"/>
    <w:rsid w:val="00640FDC"/>
    <w:rsid w:val="006417EB"/>
    <w:rsid w:val="006423C5"/>
    <w:rsid w:val="006429F0"/>
    <w:rsid w:val="00642FA6"/>
    <w:rsid w:val="00643002"/>
    <w:rsid w:val="0064306B"/>
    <w:rsid w:val="0064308D"/>
    <w:rsid w:val="0064320A"/>
    <w:rsid w:val="006433A6"/>
    <w:rsid w:val="0064370D"/>
    <w:rsid w:val="00643C97"/>
    <w:rsid w:val="00643E43"/>
    <w:rsid w:val="00643EEE"/>
    <w:rsid w:val="0064418A"/>
    <w:rsid w:val="00644478"/>
    <w:rsid w:val="006447A9"/>
    <w:rsid w:val="006447E9"/>
    <w:rsid w:val="006448EF"/>
    <w:rsid w:val="00644FFF"/>
    <w:rsid w:val="006450DC"/>
    <w:rsid w:val="006455F9"/>
    <w:rsid w:val="00645935"/>
    <w:rsid w:val="00645CF4"/>
    <w:rsid w:val="00646363"/>
    <w:rsid w:val="00646625"/>
    <w:rsid w:val="00646BDA"/>
    <w:rsid w:val="00646BE5"/>
    <w:rsid w:val="00646DB2"/>
    <w:rsid w:val="006470FC"/>
    <w:rsid w:val="006472DA"/>
    <w:rsid w:val="0064759E"/>
    <w:rsid w:val="00647F59"/>
    <w:rsid w:val="00650204"/>
    <w:rsid w:val="00650827"/>
    <w:rsid w:val="00650923"/>
    <w:rsid w:val="00650AF1"/>
    <w:rsid w:val="00651602"/>
    <w:rsid w:val="006518B0"/>
    <w:rsid w:val="00651C26"/>
    <w:rsid w:val="00651E2E"/>
    <w:rsid w:val="00652D6C"/>
    <w:rsid w:val="00653908"/>
    <w:rsid w:val="006542B6"/>
    <w:rsid w:val="006547CC"/>
    <w:rsid w:val="006549BA"/>
    <w:rsid w:val="00654B22"/>
    <w:rsid w:val="00654E78"/>
    <w:rsid w:val="0065524B"/>
    <w:rsid w:val="00655403"/>
    <w:rsid w:val="006554AB"/>
    <w:rsid w:val="00655738"/>
    <w:rsid w:val="006557AA"/>
    <w:rsid w:val="0065623F"/>
    <w:rsid w:val="006568F5"/>
    <w:rsid w:val="00656DC0"/>
    <w:rsid w:val="00656E8A"/>
    <w:rsid w:val="006571F2"/>
    <w:rsid w:val="006572EC"/>
    <w:rsid w:val="006579C1"/>
    <w:rsid w:val="00657DF1"/>
    <w:rsid w:val="00657ED2"/>
    <w:rsid w:val="006601DE"/>
    <w:rsid w:val="0066042D"/>
    <w:rsid w:val="006605EC"/>
    <w:rsid w:val="006622A3"/>
    <w:rsid w:val="00662306"/>
    <w:rsid w:val="006624C1"/>
    <w:rsid w:val="006628E0"/>
    <w:rsid w:val="00662A2F"/>
    <w:rsid w:val="00662A80"/>
    <w:rsid w:val="00662AFC"/>
    <w:rsid w:val="00663171"/>
    <w:rsid w:val="0066317E"/>
    <w:rsid w:val="006634F8"/>
    <w:rsid w:val="00663772"/>
    <w:rsid w:val="0066385A"/>
    <w:rsid w:val="006638D3"/>
    <w:rsid w:val="0066444F"/>
    <w:rsid w:val="0066451B"/>
    <w:rsid w:val="00664534"/>
    <w:rsid w:val="006648D6"/>
    <w:rsid w:val="0066504F"/>
    <w:rsid w:val="0066545A"/>
    <w:rsid w:val="00665516"/>
    <w:rsid w:val="006656A0"/>
    <w:rsid w:val="00665A5A"/>
    <w:rsid w:val="00665AC0"/>
    <w:rsid w:val="00665D96"/>
    <w:rsid w:val="00666253"/>
    <w:rsid w:val="0066666F"/>
    <w:rsid w:val="0066675E"/>
    <w:rsid w:val="006668FB"/>
    <w:rsid w:val="006669CC"/>
    <w:rsid w:val="00667071"/>
    <w:rsid w:val="0066769A"/>
    <w:rsid w:val="006676CE"/>
    <w:rsid w:val="00667A2B"/>
    <w:rsid w:val="00667FBB"/>
    <w:rsid w:val="00670AD8"/>
    <w:rsid w:val="00670D95"/>
    <w:rsid w:val="0067164F"/>
    <w:rsid w:val="0067191F"/>
    <w:rsid w:val="006719B8"/>
    <w:rsid w:val="006719FB"/>
    <w:rsid w:val="00672534"/>
    <w:rsid w:val="006729BC"/>
    <w:rsid w:val="00672A64"/>
    <w:rsid w:val="00672D0F"/>
    <w:rsid w:val="00672EB0"/>
    <w:rsid w:val="006732C3"/>
    <w:rsid w:val="0067343D"/>
    <w:rsid w:val="00673444"/>
    <w:rsid w:val="00673D36"/>
    <w:rsid w:val="00674191"/>
    <w:rsid w:val="0067422A"/>
    <w:rsid w:val="00674232"/>
    <w:rsid w:val="006743D0"/>
    <w:rsid w:val="006748C4"/>
    <w:rsid w:val="00675181"/>
    <w:rsid w:val="00675604"/>
    <w:rsid w:val="00675610"/>
    <w:rsid w:val="00675911"/>
    <w:rsid w:val="00675D17"/>
    <w:rsid w:val="00675F69"/>
    <w:rsid w:val="006763E9"/>
    <w:rsid w:val="0067641E"/>
    <w:rsid w:val="006768CF"/>
    <w:rsid w:val="006768EF"/>
    <w:rsid w:val="00676C80"/>
    <w:rsid w:val="00677347"/>
    <w:rsid w:val="00677396"/>
    <w:rsid w:val="006775DC"/>
    <w:rsid w:val="00677A9D"/>
    <w:rsid w:val="00677C01"/>
    <w:rsid w:val="00677E6C"/>
    <w:rsid w:val="006800F2"/>
    <w:rsid w:val="0068017D"/>
    <w:rsid w:val="006802CB"/>
    <w:rsid w:val="0068060B"/>
    <w:rsid w:val="00681163"/>
    <w:rsid w:val="006811FF"/>
    <w:rsid w:val="0068125E"/>
    <w:rsid w:val="0068131E"/>
    <w:rsid w:val="00681892"/>
    <w:rsid w:val="00681D36"/>
    <w:rsid w:val="00683127"/>
    <w:rsid w:val="0068351B"/>
    <w:rsid w:val="006837C5"/>
    <w:rsid w:val="006839BA"/>
    <w:rsid w:val="006839EB"/>
    <w:rsid w:val="00683A19"/>
    <w:rsid w:val="00683C0A"/>
    <w:rsid w:val="00683C42"/>
    <w:rsid w:val="00683CB6"/>
    <w:rsid w:val="00684B56"/>
    <w:rsid w:val="00685D80"/>
    <w:rsid w:val="00686067"/>
    <w:rsid w:val="006860A4"/>
    <w:rsid w:val="00686252"/>
    <w:rsid w:val="00686601"/>
    <w:rsid w:val="00686A41"/>
    <w:rsid w:val="00687359"/>
    <w:rsid w:val="00687D35"/>
    <w:rsid w:val="00687E3A"/>
    <w:rsid w:val="006905B3"/>
    <w:rsid w:val="006911E6"/>
    <w:rsid w:val="00692107"/>
    <w:rsid w:val="00692228"/>
    <w:rsid w:val="00692414"/>
    <w:rsid w:val="00692640"/>
    <w:rsid w:val="006926CD"/>
    <w:rsid w:val="006928DE"/>
    <w:rsid w:val="0069290E"/>
    <w:rsid w:val="00692B3A"/>
    <w:rsid w:val="00692BD1"/>
    <w:rsid w:val="00692F25"/>
    <w:rsid w:val="00692FC6"/>
    <w:rsid w:val="006930CF"/>
    <w:rsid w:val="00693D9A"/>
    <w:rsid w:val="00693E00"/>
    <w:rsid w:val="006941D6"/>
    <w:rsid w:val="00694419"/>
    <w:rsid w:val="0069445F"/>
    <w:rsid w:val="0069466F"/>
    <w:rsid w:val="006946B4"/>
    <w:rsid w:val="00694906"/>
    <w:rsid w:val="00694A1B"/>
    <w:rsid w:val="00694F98"/>
    <w:rsid w:val="00695503"/>
    <w:rsid w:val="006956F9"/>
    <w:rsid w:val="00695A72"/>
    <w:rsid w:val="00695ACA"/>
    <w:rsid w:val="00695FB1"/>
    <w:rsid w:val="00696372"/>
    <w:rsid w:val="00696438"/>
    <w:rsid w:val="006965E5"/>
    <w:rsid w:val="00696801"/>
    <w:rsid w:val="00696A02"/>
    <w:rsid w:val="00696C23"/>
    <w:rsid w:val="00696CA2"/>
    <w:rsid w:val="00696E63"/>
    <w:rsid w:val="00696ECF"/>
    <w:rsid w:val="006976DF"/>
    <w:rsid w:val="006A046A"/>
    <w:rsid w:val="006A13B1"/>
    <w:rsid w:val="006A1930"/>
    <w:rsid w:val="006A1996"/>
    <w:rsid w:val="006A1B33"/>
    <w:rsid w:val="006A2225"/>
    <w:rsid w:val="006A2433"/>
    <w:rsid w:val="006A26A4"/>
    <w:rsid w:val="006A2848"/>
    <w:rsid w:val="006A2902"/>
    <w:rsid w:val="006A2EC5"/>
    <w:rsid w:val="006A3881"/>
    <w:rsid w:val="006A3D9C"/>
    <w:rsid w:val="006A3E62"/>
    <w:rsid w:val="006A404A"/>
    <w:rsid w:val="006A494B"/>
    <w:rsid w:val="006A4976"/>
    <w:rsid w:val="006A4B93"/>
    <w:rsid w:val="006A4DF7"/>
    <w:rsid w:val="006A51E3"/>
    <w:rsid w:val="006A5379"/>
    <w:rsid w:val="006A5809"/>
    <w:rsid w:val="006A6760"/>
    <w:rsid w:val="006A6ACB"/>
    <w:rsid w:val="006A7246"/>
    <w:rsid w:val="006B025E"/>
    <w:rsid w:val="006B0418"/>
    <w:rsid w:val="006B08DB"/>
    <w:rsid w:val="006B0D39"/>
    <w:rsid w:val="006B100A"/>
    <w:rsid w:val="006B15AD"/>
    <w:rsid w:val="006B1EBC"/>
    <w:rsid w:val="006B238D"/>
    <w:rsid w:val="006B244E"/>
    <w:rsid w:val="006B245B"/>
    <w:rsid w:val="006B341D"/>
    <w:rsid w:val="006B399F"/>
    <w:rsid w:val="006B3D2A"/>
    <w:rsid w:val="006B4438"/>
    <w:rsid w:val="006B460C"/>
    <w:rsid w:val="006B4B9F"/>
    <w:rsid w:val="006B4E34"/>
    <w:rsid w:val="006B606D"/>
    <w:rsid w:val="006B608B"/>
    <w:rsid w:val="006B6279"/>
    <w:rsid w:val="006B65FE"/>
    <w:rsid w:val="006B6B21"/>
    <w:rsid w:val="006B704B"/>
    <w:rsid w:val="006B7452"/>
    <w:rsid w:val="006B783F"/>
    <w:rsid w:val="006C056F"/>
    <w:rsid w:val="006C0578"/>
    <w:rsid w:val="006C05F8"/>
    <w:rsid w:val="006C061F"/>
    <w:rsid w:val="006C0769"/>
    <w:rsid w:val="006C0904"/>
    <w:rsid w:val="006C0AEE"/>
    <w:rsid w:val="006C0D08"/>
    <w:rsid w:val="006C0F31"/>
    <w:rsid w:val="006C13C4"/>
    <w:rsid w:val="006C2097"/>
    <w:rsid w:val="006C2772"/>
    <w:rsid w:val="006C27A5"/>
    <w:rsid w:val="006C2C4A"/>
    <w:rsid w:val="006C2CAB"/>
    <w:rsid w:val="006C31A4"/>
    <w:rsid w:val="006C3484"/>
    <w:rsid w:val="006C43B9"/>
    <w:rsid w:val="006C43BD"/>
    <w:rsid w:val="006C450D"/>
    <w:rsid w:val="006C4971"/>
    <w:rsid w:val="006C5CAA"/>
    <w:rsid w:val="006C602A"/>
    <w:rsid w:val="006C6347"/>
    <w:rsid w:val="006C6782"/>
    <w:rsid w:val="006C693D"/>
    <w:rsid w:val="006C6A6A"/>
    <w:rsid w:val="006C7433"/>
    <w:rsid w:val="006C7C7A"/>
    <w:rsid w:val="006C7C9C"/>
    <w:rsid w:val="006C7F39"/>
    <w:rsid w:val="006D01F0"/>
    <w:rsid w:val="006D0548"/>
    <w:rsid w:val="006D0844"/>
    <w:rsid w:val="006D0AA6"/>
    <w:rsid w:val="006D0CD4"/>
    <w:rsid w:val="006D1357"/>
    <w:rsid w:val="006D15F1"/>
    <w:rsid w:val="006D1A00"/>
    <w:rsid w:val="006D1A67"/>
    <w:rsid w:val="006D1ABC"/>
    <w:rsid w:val="006D1B15"/>
    <w:rsid w:val="006D1EE1"/>
    <w:rsid w:val="006D207D"/>
    <w:rsid w:val="006D241B"/>
    <w:rsid w:val="006D24C8"/>
    <w:rsid w:val="006D2C45"/>
    <w:rsid w:val="006D2DB4"/>
    <w:rsid w:val="006D2FE4"/>
    <w:rsid w:val="006D36EE"/>
    <w:rsid w:val="006D3749"/>
    <w:rsid w:val="006D3DAF"/>
    <w:rsid w:val="006D42AF"/>
    <w:rsid w:val="006D4409"/>
    <w:rsid w:val="006D4703"/>
    <w:rsid w:val="006D49F8"/>
    <w:rsid w:val="006D52E5"/>
    <w:rsid w:val="006D5464"/>
    <w:rsid w:val="006D5493"/>
    <w:rsid w:val="006D6551"/>
    <w:rsid w:val="006D6D2C"/>
    <w:rsid w:val="006D75DD"/>
    <w:rsid w:val="006D7E33"/>
    <w:rsid w:val="006D7FB1"/>
    <w:rsid w:val="006E037B"/>
    <w:rsid w:val="006E0A41"/>
    <w:rsid w:val="006E0AA9"/>
    <w:rsid w:val="006E0D84"/>
    <w:rsid w:val="006E11EC"/>
    <w:rsid w:val="006E1294"/>
    <w:rsid w:val="006E159C"/>
    <w:rsid w:val="006E1EB5"/>
    <w:rsid w:val="006E1F22"/>
    <w:rsid w:val="006E1FE3"/>
    <w:rsid w:val="006E2A6C"/>
    <w:rsid w:val="006E2B3D"/>
    <w:rsid w:val="006E30D9"/>
    <w:rsid w:val="006E34C0"/>
    <w:rsid w:val="006E3E05"/>
    <w:rsid w:val="006E427E"/>
    <w:rsid w:val="006E4518"/>
    <w:rsid w:val="006E4911"/>
    <w:rsid w:val="006E4920"/>
    <w:rsid w:val="006E4ED2"/>
    <w:rsid w:val="006E4EF5"/>
    <w:rsid w:val="006E4F41"/>
    <w:rsid w:val="006E5358"/>
    <w:rsid w:val="006E540A"/>
    <w:rsid w:val="006E5AEF"/>
    <w:rsid w:val="006E5F5F"/>
    <w:rsid w:val="006E6413"/>
    <w:rsid w:val="006E65C5"/>
    <w:rsid w:val="006E6974"/>
    <w:rsid w:val="006E7D18"/>
    <w:rsid w:val="006F03C2"/>
    <w:rsid w:val="006F093B"/>
    <w:rsid w:val="006F1001"/>
    <w:rsid w:val="006F1515"/>
    <w:rsid w:val="006F1554"/>
    <w:rsid w:val="006F163B"/>
    <w:rsid w:val="006F2ACB"/>
    <w:rsid w:val="006F2BEE"/>
    <w:rsid w:val="006F2DFE"/>
    <w:rsid w:val="006F3247"/>
    <w:rsid w:val="006F3AFD"/>
    <w:rsid w:val="006F3F00"/>
    <w:rsid w:val="006F4018"/>
    <w:rsid w:val="006F404E"/>
    <w:rsid w:val="006F4648"/>
    <w:rsid w:val="006F4767"/>
    <w:rsid w:val="006F49A6"/>
    <w:rsid w:val="006F4B3D"/>
    <w:rsid w:val="006F4E01"/>
    <w:rsid w:val="006F546A"/>
    <w:rsid w:val="006F5D8E"/>
    <w:rsid w:val="006F5E0B"/>
    <w:rsid w:val="006F5E29"/>
    <w:rsid w:val="006F6354"/>
    <w:rsid w:val="006F68B2"/>
    <w:rsid w:val="006F7379"/>
    <w:rsid w:val="006F738F"/>
    <w:rsid w:val="006F7849"/>
    <w:rsid w:val="00700487"/>
    <w:rsid w:val="007004E2"/>
    <w:rsid w:val="00700E03"/>
    <w:rsid w:val="007014FE"/>
    <w:rsid w:val="0070168B"/>
    <w:rsid w:val="00701CD6"/>
    <w:rsid w:val="007020C8"/>
    <w:rsid w:val="007020F4"/>
    <w:rsid w:val="007021CC"/>
    <w:rsid w:val="00702BA4"/>
    <w:rsid w:val="00702C36"/>
    <w:rsid w:val="00702F6B"/>
    <w:rsid w:val="007035E5"/>
    <w:rsid w:val="00703606"/>
    <w:rsid w:val="00703CE8"/>
    <w:rsid w:val="00703D1D"/>
    <w:rsid w:val="00703DC5"/>
    <w:rsid w:val="00703F49"/>
    <w:rsid w:val="0070423D"/>
    <w:rsid w:val="00704773"/>
    <w:rsid w:val="0070498F"/>
    <w:rsid w:val="00704F76"/>
    <w:rsid w:val="0070552B"/>
    <w:rsid w:val="0070693A"/>
    <w:rsid w:val="007069EB"/>
    <w:rsid w:val="00706CB4"/>
    <w:rsid w:val="007078D2"/>
    <w:rsid w:val="00707B6D"/>
    <w:rsid w:val="00707F4C"/>
    <w:rsid w:val="00710092"/>
    <w:rsid w:val="00710C9E"/>
    <w:rsid w:val="00710E33"/>
    <w:rsid w:val="0071106C"/>
    <w:rsid w:val="00711298"/>
    <w:rsid w:val="00711D1B"/>
    <w:rsid w:val="00711E2A"/>
    <w:rsid w:val="007121D6"/>
    <w:rsid w:val="007126A8"/>
    <w:rsid w:val="00712BDE"/>
    <w:rsid w:val="0071315D"/>
    <w:rsid w:val="0071316B"/>
    <w:rsid w:val="0071339E"/>
    <w:rsid w:val="0071343A"/>
    <w:rsid w:val="00713798"/>
    <w:rsid w:val="007137C7"/>
    <w:rsid w:val="00713BE6"/>
    <w:rsid w:val="00714384"/>
    <w:rsid w:val="00714F53"/>
    <w:rsid w:val="007150CF"/>
    <w:rsid w:val="00715C70"/>
    <w:rsid w:val="0071631F"/>
    <w:rsid w:val="0071650F"/>
    <w:rsid w:val="00716825"/>
    <w:rsid w:val="00716B7B"/>
    <w:rsid w:val="00716CDB"/>
    <w:rsid w:val="00716DB7"/>
    <w:rsid w:val="00716FC6"/>
    <w:rsid w:val="007178E7"/>
    <w:rsid w:val="00717AE9"/>
    <w:rsid w:val="00717D4D"/>
    <w:rsid w:val="007200D4"/>
    <w:rsid w:val="00720483"/>
    <w:rsid w:val="00720823"/>
    <w:rsid w:val="00720993"/>
    <w:rsid w:val="0072107D"/>
    <w:rsid w:val="00722258"/>
    <w:rsid w:val="007228F3"/>
    <w:rsid w:val="007230C2"/>
    <w:rsid w:val="007231EC"/>
    <w:rsid w:val="00723DAE"/>
    <w:rsid w:val="0072429D"/>
    <w:rsid w:val="007243A6"/>
    <w:rsid w:val="00724902"/>
    <w:rsid w:val="00724AAE"/>
    <w:rsid w:val="00724CA5"/>
    <w:rsid w:val="00725454"/>
    <w:rsid w:val="0072551C"/>
    <w:rsid w:val="0072554D"/>
    <w:rsid w:val="007255AA"/>
    <w:rsid w:val="007259D4"/>
    <w:rsid w:val="00725A28"/>
    <w:rsid w:val="00725E85"/>
    <w:rsid w:val="00726251"/>
    <w:rsid w:val="00726640"/>
    <w:rsid w:val="00730AF0"/>
    <w:rsid w:val="00730D82"/>
    <w:rsid w:val="00730D9B"/>
    <w:rsid w:val="00730E4D"/>
    <w:rsid w:val="007314AE"/>
    <w:rsid w:val="007316AA"/>
    <w:rsid w:val="007317D3"/>
    <w:rsid w:val="00731815"/>
    <w:rsid w:val="007319C0"/>
    <w:rsid w:val="00731D41"/>
    <w:rsid w:val="007321CF"/>
    <w:rsid w:val="007323FB"/>
    <w:rsid w:val="00732A6B"/>
    <w:rsid w:val="00732D80"/>
    <w:rsid w:val="00732FA6"/>
    <w:rsid w:val="00733988"/>
    <w:rsid w:val="00733D91"/>
    <w:rsid w:val="00734BAE"/>
    <w:rsid w:val="00734C2E"/>
    <w:rsid w:val="0073526C"/>
    <w:rsid w:val="00735926"/>
    <w:rsid w:val="00735C7D"/>
    <w:rsid w:val="007362BB"/>
    <w:rsid w:val="007365B2"/>
    <w:rsid w:val="007366D1"/>
    <w:rsid w:val="007367D5"/>
    <w:rsid w:val="00736EE1"/>
    <w:rsid w:val="007370C3"/>
    <w:rsid w:val="007378F7"/>
    <w:rsid w:val="00740211"/>
    <w:rsid w:val="007404F6"/>
    <w:rsid w:val="00740502"/>
    <w:rsid w:val="00740B67"/>
    <w:rsid w:val="00740CBF"/>
    <w:rsid w:val="00740D80"/>
    <w:rsid w:val="007414F7"/>
    <w:rsid w:val="00741C6B"/>
    <w:rsid w:val="00741E94"/>
    <w:rsid w:val="0074254C"/>
    <w:rsid w:val="007436B6"/>
    <w:rsid w:val="007437A2"/>
    <w:rsid w:val="00743A12"/>
    <w:rsid w:val="00743B03"/>
    <w:rsid w:val="00743D75"/>
    <w:rsid w:val="007440A3"/>
    <w:rsid w:val="0074452C"/>
    <w:rsid w:val="00744745"/>
    <w:rsid w:val="00744825"/>
    <w:rsid w:val="00744BF8"/>
    <w:rsid w:val="00744D96"/>
    <w:rsid w:val="00744DC2"/>
    <w:rsid w:val="00744ED2"/>
    <w:rsid w:val="007459CD"/>
    <w:rsid w:val="00745ECA"/>
    <w:rsid w:val="0074613C"/>
    <w:rsid w:val="00746408"/>
    <w:rsid w:val="00747553"/>
    <w:rsid w:val="00747DD2"/>
    <w:rsid w:val="00747E2C"/>
    <w:rsid w:val="00747FC3"/>
    <w:rsid w:val="00750071"/>
    <w:rsid w:val="0075007E"/>
    <w:rsid w:val="007502DB"/>
    <w:rsid w:val="007506FC"/>
    <w:rsid w:val="0075117D"/>
    <w:rsid w:val="00751500"/>
    <w:rsid w:val="00751A6E"/>
    <w:rsid w:val="00752D26"/>
    <w:rsid w:val="00752DCD"/>
    <w:rsid w:val="00752E87"/>
    <w:rsid w:val="00753382"/>
    <w:rsid w:val="007537F5"/>
    <w:rsid w:val="0075399B"/>
    <w:rsid w:val="00753C0E"/>
    <w:rsid w:val="007544B4"/>
    <w:rsid w:val="0075480D"/>
    <w:rsid w:val="00754F8E"/>
    <w:rsid w:val="0075534E"/>
    <w:rsid w:val="007553BF"/>
    <w:rsid w:val="007556F9"/>
    <w:rsid w:val="007558A6"/>
    <w:rsid w:val="00755C36"/>
    <w:rsid w:val="00755C4D"/>
    <w:rsid w:val="007560FF"/>
    <w:rsid w:val="00756982"/>
    <w:rsid w:val="00756A24"/>
    <w:rsid w:val="00756AB4"/>
    <w:rsid w:val="00756B28"/>
    <w:rsid w:val="00756C30"/>
    <w:rsid w:val="00757274"/>
    <w:rsid w:val="00757CB1"/>
    <w:rsid w:val="00757D2B"/>
    <w:rsid w:val="00757D73"/>
    <w:rsid w:val="00760969"/>
    <w:rsid w:val="00760C85"/>
    <w:rsid w:val="00760CB1"/>
    <w:rsid w:val="00761344"/>
    <w:rsid w:val="0076160D"/>
    <w:rsid w:val="00761A26"/>
    <w:rsid w:val="00761C73"/>
    <w:rsid w:val="007625C4"/>
    <w:rsid w:val="007627CC"/>
    <w:rsid w:val="0076295C"/>
    <w:rsid w:val="00763186"/>
    <w:rsid w:val="00763846"/>
    <w:rsid w:val="00763AF0"/>
    <w:rsid w:val="00764305"/>
    <w:rsid w:val="007646CB"/>
    <w:rsid w:val="007649CA"/>
    <w:rsid w:val="00764BD5"/>
    <w:rsid w:val="007654A3"/>
    <w:rsid w:val="007654B5"/>
    <w:rsid w:val="00765571"/>
    <w:rsid w:val="007655E9"/>
    <w:rsid w:val="00765D55"/>
    <w:rsid w:val="0076620D"/>
    <w:rsid w:val="00766559"/>
    <w:rsid w:val="00766729"/>
    <w:rsid w:val="00766AEC"/>
    <w:rsid w:val="00766B77"/>
    <w:rsid w:val="00767418"/>
    <w:rsid w:val="00767452"/>
    <w:rsid w:val="00767ED8"/>
    <w:rsid w:val="00770061"/>
    <w:rsid w:val="00770104"/>
    <w:rsid w:val="00770A7B"/>
    <w:rsid w:val="00770BC4"/>
    <w:rsid w:val="007711E9"/>
    <w:rsid w:val="00771473"/>
    <w:rsid w:val="007715B7"/>
    <w:rsid w:val="007715F1"/>
    <w:rsid w:val="00771A11"/>
    <w:rsid w:val="00771D16"/>
    <w:rsid w:val="007721A7"/>
    <w:rsid w:val="007722D6"/>
    <w:rsid w:val="00772366"/>
    <w:rsid w:val="0077255E"/>
    <w:rsid w:val="00772F88"/>
    <w:rsid w:val="0077306F"/>
    <w:rsid w:val="007738D6"/>
    <w:rsid w:val="00773BB8"/>
    <w:rsid w:val="007745B0"/>
    <w:rsid w:val="00774AA0"/>
    <w:rsid w:val="00774E28"/>
    <w:rsid w:val="00774FA3"/>
    <w:rsid w:val="007758D1"/>
    <w:rsid w:val="00775999"/>
    <w:rsid w:val="007759B6"/>
    <w:rsid w:val="00775F43"/>
    <w:rsid w:val="00775F88"/>
    <w:rsid w:val="00775FD1"/>
    <w:rsid w:val="00776218"/>
    <w:rsid w:val="00776260"/>
    <w:rsid w:val="0077635F"/>
    <w:rsid w:val="00776472"/>
    <w:rsid w:val="00776720"/>
    <w:rsid w:val="00776776"/>
    <w:rsid w:val="0077684C"/>
    <w:rsid w:val="00776B28"/>
    <w:rsid w:val="00776EA9"/>
    <w:rsid w:val="007771E8"/>
    <w:rsid w:val="007774E8"/>
    <w:rsid w:val="00777604"/>
    <w:rsid w:val="00777EAD"/>
    <w:rsid w:val="0078008E"/>
    <w:rsid w:val="00780300"/>
    <w:rsid w:val="00780C26"/>
    <w:rsid w:val="00780C73"/>
    <w:rsid w:val="00780E4B"/>
    <w:rsid w:val="00780F4F"/>
    <w:rsid w:val="00781637"/>
    <w:rsid w:val="0078173C"/>
    <w:rsid w:val="007825A7"/>
    <w:rsid w:val="00782C44"/>
    <w:rsid w:val="00783BE1"/>
    <w:rsid w:val="00783D07"/>
    <w:rsid w:val="00784446"/>
    <w:rsid w:val="0078447D"/>
    <w:rsid w:val="0078475A"/>
    <w:rsid w:val="0078479E"/>
    <w:rsid w:val="00784894"/>
    <w:rsid w:val="007849EA"/>
    <w:rsid w:val="0078525B"/>
    <w:rsid w:val="0078540A"/>
    <w:rsid w:val="0078556B"/>
    <w:rsid w:val="00786089"/>
    <w:rsid w:val="00786BB7"/>
    <w:rsid w:val="0078767F"/>
    <w:rsid w:val="00787AEB"/>
    <w:rsid w:val="00787E50"/>
    <w:rsid w:val="00790095"/>
    <w:rsid w:val="007908E3"/>
    <w:rsid w:val="007909BB"/>
    <w:rsid w:val="00790BB2"/>
    <w:rsid w:val="00790C7C"/>
    <w:rsid w:val="00791121"/>
    <w:rsid w:val="00791238"/>
    <w:rsid w:val="00791419"/>
    <w:rsid w:val="007914E4"/>
    <w:rsid w:val="0079190D"/>
    <w:rsid w:val="00791A27"/>
    <w:rsid w:val="0079205C"/>
    <w:rsid w:val="007921B2"/>
    <w:rsid w:val="007921EE"/>
    <w:rsid w:val="00792485"/>
    <w:rsid w:val="00792958"/>
    <w:rsid w:val="007938B6"/>
    <w:rsid w:val="0079395B"/>
    <w:rsid w:val="00793992"/>
    <w:rsid w:val="00794083"/>
    <w:rsid w:val="00794741"/>
    <w:rsid w:val="00794A66"/>
    <w:rsid w:val="00794A78"/>
    <w:rsid w:val="00794B18"/>
    <w:rsid w:val="00794C2C"/>
    <w:rsid w:val="00794C55"/>
    <w:rsid w:val="00794CBA"/>
    <w:rsid w:val="00794DE7"/>
    <w:rsid w:val="00795066"/>
    <w:rsid w:val="007956E8"/>
    <w:rsid w:val="007961DB"/>
    <w:rsid w:val="00796344"/>
    <w:rsid w:val="007967B1"/>
    <w:rsid w:val="00796C2F"/>
    <w:rsid w:val="00796F09"/>
    <w:rsid w:val="007974CE"/>
    <w:rsid w:val="00797ECC"/>
    <w:rsid w:val="007A0078"/>
    <w:rsid w:val="007A0096"/>
    <w:rsid w:val="007A0524"/>
    <w:rsid w:val="007A057F"/>
    <w:rsid w:val="007A0B6A"/>
    <w:rsid w:val="007A1116"/>
    <w:rsid w:val="007A1330"/>
    <w:rsid w:val="007A1BC5"/>
    <w:rsid w:val="007A1C0E"/>
    <w:rsid w:val="007A1D7D"/>
    <w:rsid w:val="007A249B"/>
    <w:rsid w:val="007A2B37"/>
    <w:rsid w:val="007A2BC8"/>
    <w:rsid w:val="007A3832"/>
    <w:rsid w:val="007A38D1"/>
    <w:rsid w:val="007A3C93"/>
    <w:rsid w:val="007A3D9A"/>
    <w:rsid w:val="007A3F60"/>
    <w:rsid w:val="007A4234"/>
    <w:rsid w:val="007A42BC"/>
    <w:rsid w:val="007A4427"/>
    <w:rsid w:val="007A4498"/>
    <w:rsid w:val="007A4659"/>
    <w:rsid w:val="007A48C8"/>
    <w:rsid w:val="007A4BD3"/>
    <w:rsid w:val="007A4C66"/>
    <w:rsid w:val="007A4DD6"/>
    <w:rsid w:val="007A4DFE"/>
    <w:rsid w:val="007A55BF"/>
    <w:rsid w:val="007A5899"/>
    <w:rsid w:val="007A6D53"/>
    <w:rsid w:val="007A6F58"/>
    <w:rsid w:val="007A748A"/>
    <w:rsid w:val="007A74BE"/>
    <w:rsid w:val="007A76C2"/>
    <w:rsid w:val="007A7831"/>
    <w:rsid w:val="007A7980"/>
    <w:rsid w:val="007A7D08"/>
    <w:rsid w:val="007A7E0B"/>
    <w:rsid w:val="007A7FB2"/>
    <w:rsid w:val="007B0373"/>
    <w:rsid w:val="007B0916"/>
    <w:rsid w:val="007B0964"/>
    <w:rsid w:val="007B0D8F"/>
    <w:rsid w:val="007B0F53"/>
    <w:rsid w:val="007B1599"/>
    <w:rsid w:val="007B1A35"/>
    <w:rsid w:val="007B1EB8"/>
    <w:rsid w:val="007B2086"/>
    <w:rsid w:val="007B2229"/>
    <w:rsid w:val="007B2255"/>
    <w:rsid w:val="007B2406"/>
    <w:rsid w:val="007B2590"/>
    <w:rsid w:val="007B2A4F"/>
    <w:rsid w:val="007B2C2C"/>
    <w:rsid w:val="007B3059"/>
    <w:rsid w:val="007B33A5"/>
    <w:rsid w:val="007B34D4"/>
    <w:rsid w:val="007B38BF"/>
    <w:rsid w:val="007B3938"/>
    <w:rsid w:val="007B3BE4"/>
    <w:rsid w:val="007B444B"/>
    <w:rsid w:val="007B48B5"/>
    <w:rsid w:val="007B48BC"/>
    <w:rsid w:val="007B5137"/>
    <w:rsid w:val="007B5390"/>
    <w:rsid w:val="007B5A6B"/>
    <w:rsid w:val="007B5A73"/>
    <w:rsid w:val="007B5B1B"/>
    <w:rsid w:val="007B5D56"/>
    <w:rsid w:val="007B5E54"/>
    <w:rsid w:val="007B5EDE"/>
    <w:rsid w:val="007B6465"/>
    <w:rsid w:val="007B66E2"/>
    <w:rsid w:val="007B6C42"/>
    <w:rsid w:val="007B7696"/>
    <w:rsid w:val="007B7AA1"/>
    <w:rsid w:val="007B7AE9"/>
    <w:rsid w:val="007B7CBD"/>
    <w:rsid w:val="007B7E15"/>
    <w:rsid w:val="007C0007"/>
    <w:rsid w:val="007C05CC"/>
    <w:rsid w:val="007C06FA"/>
    <w:rsid w:val="007C1017"/>
    <w:rsid w:val="007C1059"/>
    <w:rsid w:val="007C190A"/>
    <w:rsid w:val="007C19BA"/>
    <w:rsid w:val="007C1CAD"/>
    <w:rsid w:val="007C1D3F"/>
    <w:rsid w:val="007C2411"/>
    <w:rsid w:val="007C2467"/>
    <w:rsid w:val="007C2827"/>
    <w:rsid w:val="007C2953"/>
    <w:rsid w:val="007C2B24"/>
    <w:rsid w:val="007C3442"/>
    <w:rsid w:val="007C36A8"/>
    <w:rsid w:val="007C370C"/>
    <w:rsid w:val="007C3A15"/>
    <w:rsid w:val="007C417F"/>
    <w:rsid w:val="007C432A"/>
    <w:rsid w:val="007C4617"/>
    <w:rsid w:val="007C461A"/>
    <w:rsid w:val="007C47DE"/>
    <w:rsid w:val="007C47E5"/>
    <w:rsid w:val="007C4D47"/>
    <w:rsid w:val="007C5266"/>
    <w:rsid w:val="007C5786"/>
    <w:rsid w:val="007C5826"/>
    <w:rsid w:val="007C5A0A"/>
    <w:rsid w:val="007C5C6D"/>
    <w:rsid w:val="007C5E15"/>
    <w:rsid w:val="007C6836"/>
    <w:rsid w:val="007C71B3"/>
    <w:rsid w:val="007C76C1"/>
    <w:rsid w:val="007C7817"/>
    <w:rsid w:val="007D00EF"/>
    <w:rsid w:val="007D0243"/>
    <w:rsid w:val="007D0898"/>
    <w:rsid w:val="007D0FE1"/>
    <w:rsid w:val="007D14CA"/>
    <w:rsid w:val="007D15D8"/>
    <w:rsid w:val="007D19E5"/>
    <w:rsid w:val="007D205F"/>
    <w:rsid w:val="007D279C"/>
    <w:rsid w:val="007D280B"/>
    <w:rsid w:val="007D2B80"/>
    <w:rsid w:val="007D2BD6"/>
    <w:rsid w:val="007D2D52"/>
    <w:rsid w:val="007D2DE8"/>
    <w:rsid w:val="007D3376"/>
    <w:rsid w:val="007D38D1"/>
    <w:rsid w:val="007D3AAD"/>
    <w:rsid w:val="007D3AD9"/>
    <w:rsid w:val="007D3B7D"/>
    <w:rsid w:val="007D3DC3"/>
    <w:rsid w:val="007D4371"/>
    <w:rsid w:val="007D517E"/>
    <w:rsid w:val="007D5967"/>
    <w:rsid w:val="007D5A8D"/>
    <w:rsid w:val="007D5D30"/>
    <w:rsid w:val="007D5F4A"/>
    <w:rsid w:val="007D6552"/>
    <w:rsid w:val="007D67EE"/>
    <w:rsid w:val="007D69FC"/>
    <w:rsid w:val="007D6C2F"/>
    <w:rsid w:val="007D7795"/>
    <w:rsid w:val="007D77A6"/>
    <w:rsid w:val="007D7D5D"/>
    <w:rsid w:val="007D7EFC"/>
    <w:rsid w:val="007E021C"/>
    <w:rsid w:val="007E0774"/>
    <w:rsid w:val="007E0C78"/>
    <w:rsid w:val="007E0F80"/>
    <w:rsid w:val="007E16EA"/>
    <w:rsid w:val="007E1763"/>
    <w:rsid w:val="007E1BE7"/>
    <w:rsid w:val="007E1CDA"/>
    <w:rsid w:val="007E2064"/>
    <w:rsid w:val="007E28A8"/>
    <w:rsid w:val="007E2A6F"/>
    <w:rsid w:val="007E2AD9"/>
    <w:rsid w:val="007E2D63"/>
    <w:rsid w:val="007E39BA"/>
    <w:rsid w:val="007E4FA2"/>
    <w:rsid w:val="007E5392"/>
    <w:rsid w:val="007E53DB"/>
    <w:rsid w:val="007E55CE"/>
    <w:rsid w:val="007E56BB"/>
    <w:rsid w:val="007E5833"/>
    <w:rsid w:val="007E5C13"/>
    <w:rsid w:val="007E69CD"/>
    <w:rsid w:val="007E6A09"/>
    <w:rsid w:val="007E6A8C"/>
    <w:rsid w:val="007E7BD5"/>
    <w:rsid w:val="007F018E"/>
    <w:rsid w:val="007F0900"/>
    <w:rsid w:val="007F0910"/>
    <w:rsid w:val="007F094A"/>
    <w:rsid w:val="007F0B64"/>
    <w:rsid w:val="007F0ED5"/>
    <w:rsid w:val="007F0EE3"/>
    <w:rsid w:val="007F0EF4"/>
    <w:rsid w:val="007F14EB"/>
    <w:rsid w:val="007F2122"/>
    <w:rsid w:val="007F22E3"/>
    <w:rsid w:val="007F2E9C"/>
    <w:rsid w:val="007F352E"/>
    <w:rsid w:val="007F35EF"/>
    <w:rsid w:val="007F3FD6"/>
    <w:rsid w:val="007F4A20"/>
    <w:rsid w:val="007F5287"/>
    <w:rsid w:val="007F5864"/>
    <w:rsid w:val="007F5A1B"/>
    <w:rsid w:val="007F5B48"/>
    <w:rsid w:val="007F6C77"/>
    <w:rsid w:val="007F6E55"/>
    <w:rsid w:val="007F6F90"/>
    <w:rsid w:val="007F7B8C"/>
    <w:rsid w:val="007F7E43"/>
    <w:rsid w:val="008001B9"/>
    <w:rsid w:val="008001E0"/>
    <w:rsid w:val="00800335"/>
    <w:rsid w:val="00800841"/>
    <w:rsid w:val="00800BDF"/>
    <w:rsid w:val="008010D2"/>
    <w:rsid w:val="008014C8"/>
    <w:rsid w:val="00801B15"/>
    <w:rsid w:val="00801B51"/>
    <w:rsid w:val="00801C76"/>
    <w:rsid w:val="008025A2"/>
    <w:rsid w:val="00802761"/>
    <w:rsid w:val="00802F36"/>
    <w:rsid w:val="00803496"/>
    <w:rsid w:val="00803506"/>
    <w:rsid w:val="00803864"/>
    <w:rsid w:val="00803A29"/>
    <w:rsid w:val="00803C29"/>
    <w:rsid w:val="00803CE8"/>
    <w:rsid w:val="00803D65"/>
    <w:rsid w:val="00803F99"/>
    <w:rsid w:val="00804514"/>
    <w:rsid w:val="008048DC"/>
    <w:rsid w:val="00804C09"/>
    <w:rsid w:val="00804DCE"/>
    <w:rsid w:val="008050FD"/>
    <w:rsid w:val="008055A2"/>
    <w:rsid w:val="00805865"/>
    <w:rsid w:val="00805A50"/>
    <w:rsid w:val="00805A60"/>
    <w:rsid w:val="00806391"/>
    <w:rsid w:val="00806932"/>
    <w:rsid w:val="008069DA"/>
    <w:rsid w:val="008069E0"/>
    <w:rsid w:val="00806E27"/>
    <w:rsid w:val="00807D66"/>
    <w:rsid w:val="00807D8A"/>
    <w:rsid w:val="00807DB4"/>
    <w:rsid w:val="00807E5D"/>
    <w:rsid w:val="00810193"/>
    <w:rsid w:val="00810CAB"/>
    <w:rsid w:val="008111AF"/>
    <w:rsid w:val="00811CCF"/>
    <w:rsid w:val="00811F4B"/>
    <w:rsid w:val="008125BA"/>
    <w:rsid w:val="0081308F"/>
    <w:rsid w:val="00813507"/>
    <w:rsid w:val="008135D3"/>
    <w:rsid w:val="008137FE"/>
    <w:rsid w:val="00813B10"/>
    <w:rsid w:val="00813C8C"/>
    <w:rsid w:val="00813D2C"/>
    <w:rsid w:val="00813E68"/>
    <w:rsid w:val="00814120"/>
    <w:rsid w:val="00814330"/>
    <w:rsid w:val="00814D1B"/>
    <w:rsid w:val="00815005"/>
    <w:rsid w:val="0081508F"/>
    <w:rsid w:val="0081536E"/>
    <w:rsid w:val="0081578E"/>
    <w:rsid w:val="00816525"/>
    <w:rsid w:val="0081655F"/>
    <w:rsid w:val="008165DD"/>
    <w:rsid w:val="00816889"/>
    <w:rsid w:val="00816A01"/>
    <w:rsid w:val="00816AE1"/>
    <w:rsid w:val="00816BCF"/>
    <w:rsid w:val="00816C9E"/>
    <w:rsid w:val="008170EA"/>
    <w:rsid w:val="00817344"/>
    <w:rsid w:val="008177A8"/>
    <w:rsid w:val="00817884"/>
    <w:rsid w:val="00817D6F"/>
    <w:rsid w:val="00817ED6"/>
    <w:rsid w:val="008200B3"/>
    <w:rsid w:val="0082057E"/>
    <w:rsid w:val="008209C3"/>
    <w:rsid w:val="00820E97"/>
    <w:rsid w:val="00821059"/>
    <w:rsid w:val="00821902"/>
    <w:rsid w:val="00822310"/>
    <w:rsid w:val="00822C60"/>
    <w:rsid w:val="00822D60"/>
    <w:rsid w:val="00823CA8"/>
    <w:rsid w:val="00824050"/>
    <w:rsid w:val="00824131"/>
    <w:rsid w:val="00824293"/>
    <w:rsid w:val="00824549"/>
    <w:rsid w:val="008254EA"/>
    <w:rsid w:val="0082571F"/>
    <w:rsid w:val="00825978"/>
    <w:rsid w:val="00825A3C"/>
    <w:rsid w:val="00825AFE"/>
    <w:rsid w:val="00825B28"/>
    <w:rsid w:val="00826AF8"/>
    <w:rsid w:val="00826E05"/>
    <w:rsid w:val="008275C6"/>
    <w:rsid w:val="008276EC"/>
    <w:rsid w:val="00827869"/>
    <w:rsid w:val="00827997"/>
    <w:rsid w:val="00827A40"/>
    <w:rsid w:val="00827F9E"/>
    <w:rsid w:val="00830126"/>
    <w:rsid w:val="00830338"/>
    <w:rsid w:val="008308C0"/>
    <w:rsid w:val="00830972"/>
    <w:rsid w:val="00830B3E"/>
    <w:rsid w:val="00831123"/>
    <w:rsid w:val="0083138A"/>
    <w:rsid w:val="0083139F"/>
    <w:rsid w:val="00831465"/>
    <w:rsid w:val="00831B8D"/>
    <w:rsid w:val="00831FF9"/>
    <w:rsid w:val="0083305A"/>
    <w:rsid w:val="0083404C"/>
    <w:rsid w:val="00834211"/>
    <w:rsid w:val="00834350"/>
    <w:rsid w:val="00834B12"/>
    <w:rsid w:val="00834B9C"/>
    <w:rsid w:val="0083564B"/>
    <w:rsid w:val="0083613F"/>
    <w:rsid w:val="008367C7"/>
    <w:rsid w:val="0083692D"/>
    <w:rsid w:val="00837101"/>
    <w:rsid w:val="00837796"/>
    <w:rsid w:val="00837809"/>
    <w:rsid w:val="00837847"/>
    <w:rsid w:val="008378BE"/>
    <w:rsid w:val="0084006D"/>
    <w:rsid w:val="008406E5"/>
    <w:rsid w:val="00840A08"/>
    <w:rsid w:val="00840C3C"/>
    <w:rsid w:val="00840EF9"/>
    <w:rsid w:val="008410B4"/>
    <w:rsid w:val="0084181C"/>
    <w:rsid w:val="008419BF"/>
    <w:rsid w:val="00842265"/>
    <w:rsid w:val="008428F9"/>
    <w:rsid w:val="00842E82"/>
    <w:rsid w:val="00842E8C"/>
    <w:rsid w:val="008430EB"/>
    <w:rsid w:val="008430F0"/>
    <w:rsid w:val="0084337A"/>
    <w:rsid w:val="008433AD"/>
    <w:rsid w:val="00843597"/>
    <w:rsid w:val="008436E7"/>
    <w:rsid w:val="0084380D"/>
    <w:rsid w:val="00843CF8"/>
    <w:rsid w:val="0084425E"/>
    <w:rsid w:val="00844365"/>
    <w:rsid w:val="00844382"/>
    <w:rsid w:val="008445F8"/>
    <w:rsid w:val="00845094"/>
    <w:rsid w:val="00845CA9"/>
    <w:rsid w:val="0084633A"/>
    <w:rsid w:val="00846620"/>
    <w:rsid w:val="008466E7"/>
    <w:rsid w:val="00846880"/>
    <w:rsid w:val="0084737A"/>
    <w:rsid w:val="00847699"/>
    <w:rsid w:val="00850053"/>
    <w:rsid w:val="00850774"/>
    <w:rsid w:val="00850BFB"/>
    <w:rsid w:val="00850FB3"/>
    <w:rsid w:val="0085113C"/>
    <w:rsid w:val="00851155"/>
    <w:rsid w:val="008514F2"/>
    <w:rsid w:val="00851511"/>
    <w:rsid w:val="008515B7"/>
    <w:rsid w:val="0085188A"/>
    <w:rsid w:val="00851DAC"/>
    <w:rsid w:val="00851E91"/>
    <w:rsid w:val="008525A8"/>
    <w:rsid w:val="00852800"/>
    <w:rsid w:val="00852FCF"/>
    <w:rsid w:val="0085312D"/>
    <w:rsid w:val="008532CC"/>
    <w:rsid w:val="0085339F"/>
    <w:rsid w:val="0085348E"/>
    <w:rsid w:val="0085348F"/>
    <w:rsid w:val="0085359C"/>
    <w:rsid w:val="0085378F"/>
    <w:rsid w:val="00853B5A"/>
    <w:rsid w:val="00853CDF"/>
    <w:rsid w:val="00853E00"/>
    <w:rsid w:val="00854560"/>
    <w:rsid w:val="00854730"/>
    <w:rsid w:val="0085492B"/>
    <w:rsid w:val="008549FE"/>
    <w:rsid w:val="00854F34"/>
    <w:rsid w:val="008552C7"/>
    <w:rsid w:val="008558CF"/>
    <w:rsid w:val="008559A4"/>
    <w:rsid w:val="00856026"/>
    <w:rsid w:val="00856197"/>
    <w:rsid w:val="008572BE"/>
    <w:rsid w:val="00857360"/>
    <w:rsid w:val="00857695"/>
    <w:rsid w:val="00857C52"/>
    <w:rsid w:val="008605AE"/>
    <w:rsid w:val="0086063D"/>
    <w:rsid w:val="008608BC"/>
    <w:rsid w:val="00860C7B"/>
    <w:rsid w:val="00860F26"/>
    <w:rsid w:val="00860FDC"/>
    <w:rsid w:val="00861C2C"/>
    <w:rsid w:val="00861CFE"/>
    <w:rsid w:val="00861FE0"/>
    <w:rsid w:val="0086232A"/>
    <w:rsid w:val="00862862"/>
    <w:rsid w:val="00862E44"/>
    <w:rsid w:val="008635B5"/>
    <w:rsid w:val="008636FD"/>
    <w:rsid w:val="0086383F"/>
    <w:rsid w:val="00863CA2"/>
    <w:rsid w:val="008641EA"/>
    <w:rsid w:val="008644C5"/>
    <w:rsid w:val="008649F6"/>
    <w:rsid w:val="0086529F"/>
    <w:rsid w:val="008654A4"/>
    <w:rsid w:val="0086586A"/>
    <w:rsid w:val="00865880"/>
    <w:rsid w:val="008661CD"/>
    <w:rsid w:val="00866325"/>
    <w:rsid w:val="0086666D"/>
    <w:rsid w:val="0086686F"/>
    <w:rsid w:val="00866A1F"/>
    <w:rsid w:val="00866DAB"/>
    <w:rsid w:val="00866F21"/>
    <w:rsid w:val="008677A1"/>
    <w:rsid w:val="00867C4C"/>
    <w:rsid w:val="00867FC6"/>
    <w:rsid w:val="00870291"/>
    <w:rsid w:val="00870653"/>
    <w:rsid w:val="00871205"/>
    <w:rsid w:val="00871478"/>
    <w:rsid w:val="008716CD"/>
    <w:rsid w:val="00871D2B"/>
    <w:rsid w:val="00872080"/>
    <w:rsid w:val="00872868"/>
    <w:rsid w:val="008729F2"/>
    <w:rsid w:val="00872A25"/>
    <w:rsid w:val="008734A2"/>
    <w:rsid w:val="00873570"/>
    <w:rsid w:val="00873589"/>
    <w:rsid w:val="00873AB2"/>
    <w:rsid w:val="00873EDD"/>
    <w:rsid w:val="00873FBD"/>
    <w:rsid w:val="00873FCA"/>
    <w:rsid w:val="0087497A"/>
    <w:rsid w:val="00874A0B"/>
    <w:rsid w:val="00874BDE"/>
    <w:rsid w:val="008754B7"/>
    <w:rsid w:val="00875B1B"/>
    <w:rsid w:val="0087647F"/>
    <w:rsid w:val="00876890"/>
    <w:rsid w:val="00876B64"/>
    <w:rsid w:val="00877356"/>
    <w:rsid w:val="0087744D"/>
    <w:rsid w:val="008776CE"/>
    <w:rsid w:val="00877A22"/>
    <w:rsid w:val="00877B0D"/>
    <w:rsid w:val="00877BBA"/>
    <w:rsid w:val="00877C16"/>
    <w:rsid w:val="00877E64"/>
    <w:rsid w:val="00877E9D"/>
    <w:rsid w:val="00880A9F"/>
    <w:rsid w:val="00880D5C"/>
    <w:rsid w:val="008815CF"/>
    <w:rsid w:val="00881D3C"/>
    <w:rsid w:val="00882072"/>
    <w:rsid w:val="0088294F"/>
    <w:rsid w:val="00882C09"/>
    <w:rsid w:val="00882D47"/>
    <w:rsid w:val="008831FC"/>
    <w:rsid w:val="00883223"/>
    <w:rsid w:val="00883320"/>
    <w:rsid w:val="008833AA"/>
    <w:rsid w:val="0088375F"/>
    <w:rsid w:val="00883C65"/>
    <w:rsid w:val="00883CB3"/>
    <w:rsid w:val="00883D1B"/>
    <w:rsid w:val="00884306"/>
    <w:rsid w:val="00884687"/>
    <w:rsid w:val="00884924"/>
    <w:rsid w:val="00884A6F"/>
    <w:rsid w:val="00884AD4"/>
    <w:rsid w:val="0088502A"/>
    <w:rsid w:val="0088523F"/>
    <w:rsid w:val="00885563"/>
    <w:rsid w:val="00885C61"/>
    <w:rsid w:val="00885ED7"/>
    <w:rsid w:val="008860C3"/>
    <w:rsid w:val="008863AD"/>
    <w:rsid w:val="0088687E"/>
    <w:rsid w:val="00886DA8"/>
    <w:rsid w:val="00887245"/>
    <w:rsid w:val="008874A8"/>
    <w:rsid w:val="008877E2"/>
    <w:rsid w:val="00890619"/>
    <w:rsid w:val="008906DB"/>
    <w:rsid w:val="00891341"/>
    <w:rsid w:val="008916B3"/>
    <w:rsid w:val="00891D48"/>
    <w:rsid w:val="00891DC7"/>
    <w:rsid w:val="00892069"/>
    <w:rsid w:val="00892B48"/>
    <w:rsid w:val="00892DAE"/>
    <w:rsid w:val="00893147"/>
    <w:rsid w:val="008932F5"/>
    <w:rsid w:val="00893792"/>
    <w:rsid w:val="0089399A"/>
    <w:rsid w:val="00893C4D"/>
    <w:rsid w:val="00894023"/>
    <w:rsid w:val="008944E5"/>
    <w:rsid w:val="0089459C"/>
    <w:rsid w:val="00894733"/>
    <w:rsid w:val="00894BEA"/>
    <w:rsid w:val="00894E96"/>
    <w:rsid w:val="00895435"/>
    <w:rsid w:val="0089597B"/>
    <w:rsid w:val="00895C44"/>
    <w:rsid w:val="008962EC"/>
    <w:rsid w:val="008966CF"/>
    <w:rsid w:val="0089740E"/>
    <w:rsid w:val="00897617"/>
    <w:rsid w:val="00897E63"/>
    <w:rsid w:val="00897F7F"/>
    <w:rsid w:val="008A02BA"/>
    <w:rsid w:val="008A02D4"/>
    <w:rsid w:val="008A0653"/>
    <w:rsid w:val="008A06F3"/>
    <w:rsid w:val="008A0925"/>
    <w:rsid w:val="008A1369"/>
    <w:rsid w:val="008A16AC"/>
    <w:rsid w:val="008A1CA1"/>
    <w:rsid w:val="008A205E"/>
    <w:rsid w:val="008A2382"/>
    <w:rsid w:val="008A2B8E"/>
    <w:rsid w:val="008A2FB0"/>
    <w:rsid w:val="008A326F"/>
    <w:rsid w:val="008A327B"/>
    <w:rsid w:val="008A343E"/>
    <w:rsid w:val="008A345C"/>
    <w:rsid w:val="008A345F"/>
    <w:rsid w:val="008A3A31"/>
    <w:rsid w:val="008A3D82"/>
    <w:rsid w:val="008A3F85"/>
    <w:rsid w:val="008A436C"/>
    <w:rsid w:val="008A490E"/>
    <w:rsid w:val="008A4EDC"/>
    <w:rsid w:val="008A4F4A"/>
    <w:rsid w:val="008A53E1"/>
    <w:rsid w:val="008A5A14"/>
    <w:rsid w:val="008A5BB5"/>
    <w:rsid w:val="008A5DBE"/>
    <w:rsid w:val="008A5DD3"/>
    <w:rsid w:val="008A71C2"/>
    <w:rsid w:val="008A74EF"/>
    <w:rsid w:val="008A77C2"/>
    <w:rsid w:val="008B0135"/>
    <w:rsid w:val="008B09F0"/>
    <w:rsid w:val="008B0C6A"/>
    <w:rsid w:val="008B1437"/>
    <w:rsid w:val="008B15FA"/>
    <w:rsid w:val="008B161E"/>
    <w:rsid w:val="008B1AFD"/>
    <w:rsid w:val="008B1D25"/>
    <w:rsid w:val="008B23ED"/>
    <w:rsid w:val="008B24B5"/>
    <w:rsid w:val="008B24C2"/>
    <w:rsid w:val="008B26C9"/>
    <w:rsid w:val="008B26F4"/>
    <w:rsid w:val="008B2751"/>
    <w:rsid w:val="008B275D"/>
    <w:rsid w:val="008B2CCA"/>
    <w:rsid w:val="008B31A5"/>
    <w:rsid w:val="008B356F"/>
    <w:rsid w:val="008B38AD"/>
    <w:rsid w:val="008B430C"/>
    <w:rsid w:val="008B443F"/>
    <w:rsid w:val="008B45F5"/>
    <w:rsid w:val="008B499D"/>
    <w:rsid w:val="008B4C4C"/>
    <w:rsid w:val="008B5095"/>
    <w:rsid w:val="008B5339"/>
    <w:rsid w:val="008B5601"/>
    <w:rsid w:val="008B56B4"/>
    <w:rsid w:val="008B57DE"/>
    <w:rsid w:val="008B58EE"/>
    <w:rsid w:val="008B614B"/>
    <w:rsid w:val="008B64A2"/>
    <w:rsid w:val="008B650F"/>
    <w:rsid w:val="008B65E0"/>
    <w:rsid w:val="008B67D0"/>
    <w:rsid w:val="008B68CF"/>
    <w:rsid w:val="008B704A"/>
    <w:rsid w:val="008B7530"/>
    <w:rsid w:val="008B75C3"/>
    <w:rsid w:val="008B76F5"/>
    <w:rsid w:val="008C0387"/>
    <w:rsid w:val="008C08CD"/>
    <w:rsid w:val="008C0924"/>
    <w:rsid w:val="008C11EF"/>
    <w:rsid w:val="008C1521"/>
    <w:rsid w:val="008C159A"/>
    <w:rsid w:val="008C1780"/>
    <w:rsid w:val="008C1825"/>
    <w:rsid w:val="008C18DC"/>
    <w:rsid w:val="008C1EB6"/>
    <w:rsid w:val="008C1F81"/>
    <w:rsid w:val="008C21F5"/>
    <w:rsid w:val="008C2204"/>
    <w:rsid w:val="008C231C"/>
    <w:rsid w:val="008C24AE"/>
    <w:rsid w:val="008C2953"/>
    <w:rsid w:val="008C2B59"/>
    <w:rsid w:val="008C2D90"/>
    <w:rsid w:val="008C37AC"/>
    <w:rsid w:val="008C3A1F"/>
    <w:rsid w:val="008C3BFF"/>
    <w:rsid w:val="008C3E6F"/>
    <w:rsid w:val="008C4254"/>
    <w:rsid w:val="008C46E5"/>
    <w:rsid w:val="008C48AE"/>
    <w:rsid w:val="008C498E"/>
    <w:rsid w:val="008C4C66"/>
    <w:rsid w:val="008C555D"/>
    <w:rsid w:val="008C5DDA"/>
    <w:rsid w:val="008C648A"/>
    <w:rsid w:val="008C65AA"/>
    <w:rsid w:val="008C6C4B"/>
    <w:rsid w:val="008C6ED7"/>
    <w:rsid w:val="008C77A7"/>
    <w:rsid w:val="008C7C5C"/>
    <w:rsid w:val="008C7D70"/>
    <w:rsid w:val="008C7DE7"/>
    <w:rsid w:val="008C7FC6"/>
    <w:rsid w:val="008D0000"/>
    <w:rsid w:val="008D0055"/>
    <w:rsid w:val="008D03CC"/>
    <w:rsid w:val="008D06E1"/>
    <w:rsid w:val="008D0D1D"/>
    <w:rsid w:val="008D2067"/>
    <w:rsid w:val="008D29EB"/>
    <w:rsid w:val="008D3009"/>
    <w:rsid w:val="008D31C9"/>
    <w:rsid w:val="008D3308"/>
    <w:rsid w:val="008D3813"/>
    <w:rsid w:val="008D3A1F"/>
    <w:rsid w:val="008D3A3E"/>
    <w:rsid w:val="008D4003"/>
    <w:rsid w:val="008D4167"/>
    <w:rsid w:val="008D4A28"/>
    <w:rsid w:val="008D4CA9"/>
    <w:rsid w:val="008D54DD"/>
    <w:rsid w:val="008D550B"/>
    <w:rsid w:val="008D59BE"/>
    <w:rsid w:val="008D5C18"/>
    <w:rsid w:val="008D5F14"/>
    <w:rsid w:val="008D680B"/>
    <w:rsid w:val="008D6B20"/>
    <w:rsid w:val="008D71D5"/>
    <w:rsid w:val="008D76C9"/>
    <w:rsid w:val="008D770F"/>
    <w:rsid w:val="008D7A51"/>
    <w:rsid w:val="008D7EB1"/>
    <w:rsid w:val="008E00CB"/>
    <w:rsid w:val="008E066B"/>
    <w:rsid w:val="008E087F"/>
    <w:rsid w:val="008E0C15"/>
    <w:rsid w:val="008E11FA"/>
    <w:rsid w:val="008E12CF"/>
    <w:rsid w:val="008E172D"/>
    <w:rsid w:val="008E1872"/>
    <w:rsid w:val="008E1CCD"/>
    <w:rsid w:val="008E1DDF"/>
    <w:rsid w:val="008E21E1"/>
    <w:rsid w:val="008E376A"/>
    <w:rsid w:val="008E3B7B"/>
    <w:rsid w:val="008E4131"/>
    <w:rsid w:val="008E47BE"/>
    <w:rsid w:val="008E49D6"/>
    <w:rsid w:val="008E4AB4"/>
    <w:rsid w:val="008E4C65"/>
    <w:rsid w:val="008E5B70"/>
    <w:rsid w:val="008E5C66"/>
    <w:rsid w:val="008E5CE5"/>
    <w:rsid w:val="008E5DB5"/>
    <w:rsid w:val="008E5E5F"/>
    <w:rsid w:val="008E5FDD"/>
    <w:rsid w:val="008E6162"/>
    <w:rsid w:val="008E64DE"/>
    <w:rsid w:val="008E7603"/>
    <w:rsid w:val="008E7647"/>
    <w:rsid w:val="008E7835"/>
    <w:rsid w:val="008E7A0C"/>
    <w:rsid w:val="008E7A72"/>
    <w:rsid w:val="008E7DBA"/>
    <w:rsid w:val="008F00A0"/>
    <w:rsid w:val="008F00BA"/>
    <w:rsid w:val="008F0524"/>
    <w:rsid w:val="008F0623"/>
    <w:rsid w:val="008F14B4"/>
    <w:rsid w:val="008F165E"/>
    <w:rsid w:val="008F18AC"/>
    <w:rsid w:val="008F1C05"/>
    <w:rsid w:val="008F24CE"/>
    <w:rsid w:val="008F2609"/>
    <w:rsid w:val="008F2C05"/>
    <w:rsid w:val="008F2FCE"/>
    <w:rsid w:val="008F3206"/>
    <w:rsid w:val="008F3222"/>
    <w:rsid w:val="008F3768"/>
    <w:rsid w:val="008F49DF"/>
    <w:rsid w:val="008F50C9"/>
    <w:rsid w:val="008F5800"/>
    <w:rsid w:val="008F587F"/>
    <w:rsid w:val="008F5D71"/>
    <w:rsid w:val="008F5FDD"/>
    <w:rsid w:val="008F64DE"/>
    <w:rsid w:val="008F6903"/>
    <w:rsid w:val="008F6A01"/>
    <w:rsid w:val="008F7311"/>
    <w:rsid w:val="00900940"/>
    <w:rsid w:val="009013F4"/>
    <w:rsid w:val="00901782"/>
    <w:rsid w:val="009021DA"/>
    <w:rsid w:val="009029DE"/>
    <w:rsid w:val="00902A78"/>
    <w:rsid w:val="00902B15"/>
    <w:rsid w:val="00902EEE"/>
    <w:rsid w:val="00902F86"/>
    <w:rsid w:val="00903655"/>
    <w:rsid w:val="00903956"/>
    <w:rsid w:val="00903D5F"/>
    <w:rsid w:val="00903D9B"/>
    <w:rsid w:val="00904194"/>
    <w:rsid w:val="009042AF"/>
    <w:rsid w:val="009044F5"/>
    <w:rsid w:val="00904A14"/>
    <w:rsid w:val="0090502C"/>
    <w:rsid w:val="00905B8B"/>
    <w:rsid w:val="00906065"/>
    <w:rsid w:val="009063A9"/>
    <w:rsid w:val="00906AA2"/>
    <w:rsid w:val="00906E81"/>
    <w:rsid w:val="009103DD"/>
    <w:rsid w:val="009103F5"/>
    <w:rsid w:val="0091050B"/>
    <w:rsid w:val="00910637"/>
    <w:rsid w:val="00910CCF"/>
    <w:rsid w:val="009117FF"/>
    <w:rsid w:val="00911828"/>
    <w:rsid w:val="00912563"/>
    <w:rsid w:val="0091269E"/>
    <w:rsid w:val="00912A74"/>
    <w:rsid w:val="00912B3D"/>
    <w:rsid w:val="00912DD9"/>
    <w:rsid w:val="00912E30"/>
    <w:rsid w:val="009133F8"/>
    <w:rsid w:val="0091386A"/>
    <w:rsid w:val="00913BB8"/>
    <w:rsid w:val="009141BF"/>
    <w:rsid w:val="00914B2D"/>
    <w:rsid w:val="00914B44"/>
    <w:rsid w:val="00914DAE"/>
    <w:rsid w:val="00915178"/>
    <w:rsid w:val="0091535A"/>
    <w:rsid w:val="0091563B"/>
    <w:rsid w:val="0091578C"/>
    <w:rsid w:val="009162C8"/>
    <w:rsid w:val="00916A21"/>
    <w:rsid w:val="00916D62"/>
    <w:rsid w:val="00916D69"/>
    <w:rsid w:val="00917068"/>
    <w:rsid w:val="009173AD"/>
    <w:rsid w:val="0091769D"/>
    <w:rsid w:val="00917770"/>
    <w:rsid w:val="0091784C"/>
    <w:rsid w:val="00917B21"/>
    <w:rsid w:val="00917F04"/>
    <w:rsid w:val="00917F13"/>
    <w:rsid w:val="009202CF"/>
    <w:rsid w:val="00920378"/>
    <w:rsid w:val="00921038"/>
    <w:rsid w:val="00921209"/>
    <w:rsid w:val="0092186D"/>
    <w:rsid w:val="009218BA"/>
    <w:rsid w:val="00921B27"/>
    <w:rsid w:val="00921BFE"/>
    <w:rsid w:val="00921E28"/>
    <w:rsid w:val="00921F1B"/>
    <w:rsid w:val="00922590"/>
    <w:rsid w:val="009228A4"/>
    <w:rsid w:val="00922B69"/>
    <w:rsid w:val="009235C1"/>
    <w:rsid w:val="009237D7"/>
    <w:rsid w:val="00923CC1"/>
    <w:rsid w:val="00924178"/>
    <w:rsid w:val="0092442F"/>
    <w:rsid w:val="00924E75"/>
    <w:rsid w:val="0092522B"/>
    <w:rsid w:val="009252D9"/>
    <w:rsid w:val="00925918"/>
    <w:rsid w:val="00926697"/>
    <w:rsid w:val="00926876"/>
    <w:rsid w:val="00926B2F"/>
    <w:rsid w:val="00926C5D"/>
    <w:rsid w:val="00926F5A"/>
    <w:rsid w:val="009301E5"/>
    <w:rsid w:val="00930435"/>
    <w:rsid w:val="009306D8"/>
    <w:rsid w:val="00930C6A"/>
    <w:rsid w:val="00930FA9"/>
    <w:rsid w:val="00931388"/>
    <w:rsid w:val="009313AE"/>
    <w:rsid w:val="009317AA"/>
    <w:rsid w:val="009328AA"/>
    <w:rsid w:val="0093304B"/>
    <w:rsid w:val="009334C1"/>
    <w:rsid w:val="0093350D"/>
    <w:rsid w:val="0093377F"/>
    <w:rsid w:val="009338DC"/>
    <w:rsid w:val="0093395B"/>
    <w:rsid w:val="00933C13"/>
    <w:rsid w:val="00933D00"/>
    <w:rsid w:val="00933F0D"/>
    <w:rsid w:val="009340BF"/>
    <w:rsid w:val="009347A5"/>
    <w:rsid w:val="00934B06"/>
    <w:rsid w:val="00934E12"/>
    <w:rsid w:val="009353C5"/>
    <w:rsid w:val="00935767"/>
    <w:rsid w:val="0093594C"/>
    <w:rsid w:val="00935D66"/>
    <w:rsid w:val="00936622"/>
    <w:rsid w:val="0093669E"/>
    <w:rsid w:val="009368D1"/>
    <w:rsid w:val="0093696A"/>
    <w:rsid w:val="009369F3"/>
    <w:rsid w:val="00937135"/>
    <w:rsid w:val="00937660"/>
    <w:rsid w:val="009377D0"/>
    <w:rsid w:val="0093784F"/>
    <w:rsid w:val="00937BEC"/>
    <w:rsid w:val="00937D7B"/>
    <w:rsid w:val="00937DE8"/>
    <w:rsid w:val="00940234"/>
    <w:rsid w:val="0094049E"/>
    <w:rsid w:val="0094126B"/>
    <w:rsid w:val="00941DCC"/>
    <w:rsid w:val="0094217F"/>
    <w:rsid w:val="009421C8"/>
    <w:rsid w:val="009423A5"/>
    <w:rsid w:val="009426A7"/>
    <w:rsid w:val="00942938"/>
    <w:rsid w:val="009429CD"/>
    <w:rsid w:val="00942A43"/>
    <w:rsid w:val="00942A9D"/>
    <w:rsid w:val="00942D62"/>
    <w:rsid w:val="009448C5"/>
    <w:rsid w:val="00944EF0"/>
    <w:rsid w:val="009457D7"/>
    <w:rsid w:val="009458A1"/>
    <w:rsid w:val="00946580"/>
    <w:rsid w:val="009467DE"/>
    <w:rsid w:val="00946C33"/>
    <w:rsid w:val="00946C55"/>
    <w:rsid w:val="00947046"/>
    <w:rsid w:val="00947A1F"/>
    <w:rsid w:val="00947AA2"/>
    <w:rsid w:val="00947AFF"/>
    <w:rsid w:val="0095018A"/>
    <w:rsid w:val="00950339"/>
    <w:rsid w:val="00950484"/>
    <w:rsid w:val="0095078B"/>
    <w:rsid w:val="0095087A"/>
    <w:rsid w:val="00950FE5"/>
    <w:rsid w:val="009519AD"/>
    <w:rsid w:val="00951C09"/>
    <w:rsid w:val="00952057"/>
    <w:rsid w:val="00952513"/>
    <w:rsid w:val="00952A75"/>
    <w:rsid w:val="00952C0C"/>
    <w:rsid w:val="009533B0"/>
    <w:rsid w:val="00953A43"/>
    <w:rsid w:val="00953D84"/>
    <w:rsid w:val="00954192"/>
    <w:rsid w:val="00954791"/>
    <w:rsid w:val="0095479C"/>
    <w:rsid w:val="0095492E"/>
    <w:rsid w:val="00954DB5"/>
    <w:rsid w:val="00955205"/>
    <w:rsid w:val="00955914"/>
    <w:rsid w:val="00955A24"/>
    <w:rsid w:val="00955F94"/>
    <w:rsid w:val="009560EC"/>
    <w:rsid w:val="009561FA"/>
    <w:rsid w:val="00956566"/>
    <w:rsid w:val="00956B00"/>
    <w:rsid w:val="0095753F"/>
    <w:rsid w:val="00957939"/>
    <w:rsid w:val="00957D3E"/>
    <w:rsid w:val="00957E15"/>
    <w:rsid w:val="009602DA"/>
    <w:rsid w:val="00960782"/>
    <w:rsid w:val="00960E1D"/>
    <w:rsid w:val="00961245"/>
    <w:rsid w:val="00961417"/>
    <w:rsid w:val="0096156D"/>
    <w:rsid w:val="00961B57"/>
    <w:rsid w:val="00961C56"/>
    <w:rsid w:val="00961EBF"/>
    <w:rsid w:val="00962383"/>
    <w:rsid w:val="009626A2"/>
    <w:rsid w:val="00962CEE"/>
    <w:rsid w:val="00963168"/>
    <w:rsid w:val="0096340F"/>
    <w:rsid w:val="00963583"/>
    <w:rsid w:val="00963B9C"/>
    <w:rsid w:val="00964256"/>
    <w:rsid w:val="009648E0"/>
    <w:rsid w:val="00964917"/>
    <w:rsid w:val="00964F0F"/>
    <w:rsid w:val="00964F7E"/>
    <w:rsid w:val="009653FE"/>
    <w:rsid w:val="00965593"/>
    <w:rsid w:val="00965A11"/>
    <w:rsid w:val="00965F2E"/>
    <w:rsid w:val="009660BB"/>
    <w:rsid w:val="009663E6"/>
    <w:rsid w:val="009664C8"/>
    <w:rsid w:val="00966D1B"/>
    <w:rsid w:val="00966D25"/>
    <w:rsid w:val="009671A1"/>
    <w:rsid w:val="009674B0"/>
    <w:rsid w:val="009677B4"/>
    <w:rsid w:val="00967880"/>
    <w:rsid w:val="00970077"/>
    <w:rsid w:val="00970082"/>
    <w:rsid w:val="009700A3"/>
    <w:rsid w:val="009701B8"/>
    <w:rsid w:val="00970251"/>
    <w:rsid w:val="00970DC3"/>
    <w:rsid w:val="00971163"/>
    <w:rsid w:val="009714C4"/>
    <w:rsid w:val="009716F8"/>
    <w:rsid w:val="00971BC3"/>
    <w:rsid w:val="00971E5A"/>
    <w:rsid w:val="00972276"/>
    <w:rsid w:val="00972503"/>
    <w:rsid w:val="0097281A"/>
    <w:rsid w:val="00972F22"/>
    <w:rsid w:val="00973001"/>
    <w:rsid w:val="0097362F"/>
    <w:rsid w:val="00973C9E"/>
    <w:rsid w:val="0097407F"/>
    <w:rsid w:val="00974159"/>
    <w:rsid w:val="0097450D"/>
    <w:rsid w:val="0097451B"/>
    <w:rsid w:val="00975100"/>
    <w:rsid w:val="009752B6"/>
    <w:rsid w:val="009766AB"/>
    <w:rsid w:val="00976F2B"/>
    <w:rsid w:val="00976F97"/>
    <w:rsid w:val="00977192"/>
    <w:rsid w:val="009776D7"/>
    <w:rsid w:val="0097777F"/>
    <w:rsid w:val="00977916"/>
    <w:rsid w:val="00977C19"/>
    <w:rsid w:val="00977E25"/>
    <w:rsid w:val="00977E2F"/>
    <w:rsid w:val="00977FA9"/>
    <w:rsid w:val="009802CA"/>
    <w:rsid w:val="0098056A"/>
    <w:rsid w:val="00980664"/>
    <w:rsid w:val="0098076A"/>
    <w:rsid w:val="009809DE"/>
    <w:rsid w:val="00980A9A"/>
    <w:rsid w:val="009815B7"/>
    <w:rsid w:val="00981870"/>
    <w:rsid w:val="00982529"/>
    <w:rsid w:val="0098272E"/>
    <w:rsid w:val="00982BD1"/>
    <w:rsid w:val="00982CB8"/>
    <w:rsid w:val="00982FFD"/>
    <w:rsid w:val="00983018"/>
    <w:rsid w:val="009835F8"/>
    <w:rsid w:val="0098377B"/>
    <w:rsid w:val="0098391C"/>
    <w:rsid w:val="00983C1E"/>
    <w:rsid w:val="00984312"/>
    <w:rsid w:val="00984484"/>
    <w:rsid w:val="009847BD"/>
    <w:rsid w:val="0098549A"/>
    <w:rsid w:val="0098585F"/>
    <w:rsid w:val="00985A0C"/>
    <w:rsid w:val="00985A0E"/>
    <w:rsid w:val="00986136"/>
    <w:rsid w:val="0098615A"/>
    <w:rsid w:val="009862E1"/>
    <w:rsid w:val="00986368"/>
    <w:rsid w:val="00986417"/>
    <w:rsid w:val="00986741"/>
    <w:rsid w:val="0098682C"/>
    <w:rsid w:val="0098697B"/>
    <w:rsid w:val="00986BA4"/>
    <w:rsid w:val="00987076"/>
    <w:rsid w:val="00987545"/>
    <w:rsid w:val="0099012B"/>
    <w:rsid w:val="00990A14"/>
    <w:rsid w:val="00990ABA"/>
    <w:rsid w:val="00991702"/>
    <w:rsid w:val="00991EA7"/>
    <w:rsid w:val="0099232C"/>
    <w:rsid w:val="009928D3"/>
    <w:rsid w:val="00992C01"/>
    <w:rsid w:val="009946B9"/>
    <w:rsid w:val="00994888"/>
    <w:rsid w:val="00994C18"/>
    <w:rsid w:val="00994CE2"/>
    <w:rsid w:val="009953FF"/>
    <w:rsid w:val="0099558B"/>
    <w:rsid w:val="0099578D"/>
    <w:rsid w:val="00995CA7"/>
    <w:rsid w:val="00995EE9"/>
    <w:rsid w:val="0099654D"/>
    <w:rsid w:val="00996847"/>
    <w:rsid w:val="00996B26"/>
    <w:rsid w:val="00996B48"/>
    <w:rsid w:val="00996CFC"/>
    <w:rsid w:val="00997710"/>
    <w:rsid w:val="00997E16"/>
    <w:rsid w:val="00997EC4"/>
    <w:rsid w:val="009A0116"/>
    <w:rsid w:val="009A0513"/>
    <w:rsid w:val="009A08B7"/>
    <w:rsid w:val="009A1411"/>
    <w:rsid w:val="009A16E4"/>
    <w:rsid w:val="009A180E"/>
    <w:rsid w:val="009A189A"/>
    <w:rsid w:val="009A1CDC"/>
    <w:rsid w:val="009A23A2"/>
    <w:rsid w:val="009A2836"/>
    <w:rsid w:val="009A2841"/>
    <w:rsid w:val="009A31E0"/>
    <w:rsid w:val="009A31E1"/>
    <w:rsid w:val="009A3E82"/>
    <w:rsid w:val="009A3F63"/>
    <w:rsid w:val="009A4084"/>
    <w:rsid w:val="009A40C5"/>
    <w:rsid w:val="009A4F0D"/>
    <w:rsid w:val="009A5142"/>
    <w:rsid w:val="009A5293"/>
    <w:rsid w:val="009A57E6"/>
    <w:rsid w:val="009A5980"/>
    <w:rsid w:val="009A5B6C"/>
    <w:rsid w:val="009A5D04"/>
    <w:rsid w:val="009A67A8"/>
    <w:rsid w:val="009A6823"/>
    <w:rsid w:val="009A686E"/>
    <w:rsid w:val="009A6CBB"/>
    <w:rsid w:val="009A71BA"/>
    <w:rsid w:val="009A7474"/>
    <w:rsid w:val="009A7F19"/>
    <w:rsid w:val="009A7F95"/>
    <w:rsid w:val="009B0214"/>
    <w:rsid w:val="009B03BB"/>
    <w:rsid w:val="009B04EB"/>
    <w:rsid w:val="009B0BE2"/>
    <w:rsid w:val="009B0C1D"/>
    <w:rsid w:val="009B1D81"/>
    <w:rsid w:val="009B1D8A"/>
    <w:rsid w:val="009B1E31"/>
    <w:rsid w:val="009B20F8"/>
    <w:rsid w:val="009B2427"/>
    <w:rsid w:val="009B2915"/>
    <w:rsid w:val="009B2AC2"/>
    <w:rsid w:val="009B2DBF"/>
    <w:rsid w:val="009B3223"/>
    <w:rsid w:val="009B3599"/>
    <w:rsid w:val="009B3953"/>
    <w:rsid w:val="009B3CEE"/>
    <w:rsid w:val="009B48F6"/>
    <w:rsid w:val="009B4A11"/>
    <w:rsid w:val="009B4A53"/>
    <w:rsid w:val="009B4B80"/>
    <w:rsid w:val="009B5404"/>
    <w:rsid w:val="009B548B"/>
    <w:rsid w:val="009B5599"/>
    <w:rsid w:val="009B5847"/>
    <w:rsid w:val="009B63C0"/>
    <w:rsid w:val="009B66A5"/>
    <w:rsid w:val="009B6ADF"/>
    <w:rsid w:val="009B6D7B"/>
    <w:rsid w:val="009B6DB8"/>
    <w:rsid w:val="009B7176"/>
    <w:rsid w:val="009B7328"/>
    <w:rsid w:val="009B7BFB"/>
    <w:rsid w:val="009B7D4D"/>
    <w:rsid w:val="009B7F20"/>
    <w:rsid w:val="009C03DD"/>
    <w:rsid w:val="009C04FA"/>
    <w:rsid w:val="009C05ED"/>
    <w:rsid w:val="009C0758"/>
    <w:rsid w:val="009C083D"/>
    <w:rsid w:val="009C08BB"/>
    <w:rsid w:val="009C0DF8"/>
    <w:rsid w:val="009C1400"/>
    <w:rsid w:val="009C1585"/>
    <w:rsid w:val="009C1DA6"/>
    <w:rsid w:val="009C1FFB"/>
    <w:rsid w:val="009C243E"/>
    <w:rsid w:val="009C271B"/>
    <w:rsid w:val="009C281A"/>
    <w:rsid w:val="009C2E2B"/>
    <w:rsid w:val="009C2F21"/>
    <w:rsid w:val="009C3059"/>
    <w:rsid w:val="009C3E9D"/>
    <w:rsid w:val="009C4212"/>
    <w:rsid w:val="009C439A"/>
    <w:rsid w:val="009C43AC"/>
    <w:rsid w:val="009C462E"/>
    <w:rsid w:val="009C4F2A"/>
    <w:rsid w:val="009C5222"/>
    <w:rsid w:val="009C59BB"/>
    <w:rsid w:val="009C60D2"/>
    <w:rsid w:val="009C61ED"/>
    <w:rsid w:val="009C69B5"/>
    <w:rsid w:val="009C6E8D"/>
    <w:rsid w:val="009C6FE8"/>
    <w:rsid w:val="009C76FB"/>
    <w:rsid w:val="009C7AC3"/>
    <w:rsid w:val="009C7D87"/>
    <w:rsid w:val="009D00D4"/>
    <w:rsid w:val="009D01C5"/>
    <w:rsid w:val="009D02F5"/>
    <w:rsid w:val="009D082A"/>
    <w:rsid w:val="009D10A7"/>
    <w:rsid w:val="009D10FF"/>
    <w:rsid w:val="009D1232"/>
    <w:rsid w:val="009D123D"/>
    <w:rsid w:val="009D14B4"/>
    <w:rsid w:val="009D16AC"/>
    <w:rsid w:val="009D17CF"/>
    <w:rsid w:val="009D1B69"/>
    <w:rsid w:val="009D1C0C"/>
    <w:rsid w:val="009D1EDA"/>
    <w:rsid w:val="009D245C"/>
    <w:rsid w:val="009D24B8"/>
    <w:rsid w:val="009D2ECA"/>
    <w:rsid w:val="009D2EF9"/>
    <w:rsid w:val="009D2F28"/>
    <w:rsid w:val="009D3404"/>
    <w:rsid w:val="009D3978"/>
    <w:rsid w:val="009D3C93"/>
    <w:rsid w:val="009D517E"/>
    <w:rsid w:val="009D5207"/>
    <w:rsid w:val="009D540A"/>
    <w:rsid w:val="009D57FD"/>
    <w:rsid w:val="009D66AE"/>
    <w:rsid w:val="009D67E2"/>
    <w:rsid w:val="009D6921"/>
    <w:rsid w:val="009D6D0A"/>
    <w:rsid w:val="009D7241"/>
    <w:rsid w:val="009D7364"/>
    <w:rsid w:val="009D79C3"/>
    <w:rsid w:val="009E021E"/>
    <w:rsid w:val="009E05FE"/>
    <w:rsid w:val="009E0681"/>
    <w:rsid w:val="009E0D82"/>
    <w:rsid w:val="009E100E"/>
    <w:rsid w:val="009E1DB6"/>
    <w:rsid w:val="009E2200"/>
    <w:rsid w:val="009E2534"/>
    <w:rsid w:val="009E2550"/>
    <w:rsid w:val="009E2589"/>
    <w:rsid w:val="009E2F11"/>
    <w:rsid w:val="009E3828"/>
    <w:rsid w:val="009E3ACA"/>
    <w:rsid w:val="009E3B06"/>
    <w:rsid w:val="009E48E6"/>
    <w:rsid w:val="009E4B4D"/>
    <w:rsid w:val="009E4DFA"/>
    <w:rsid w:val="009E54CC"/>
    <w:rsid w:val="009E561C"/>
    <w:rsid w:val="009E5764"/>
    <w:rsid w:val="009E5C32"/>
    <w:rsid w:val="009E5CFE"/>
    <w:rsid w:val="009E6105"/>
    <w:rsid w:val="009E661D"/>
    <w:rsid w:val="009E6939"/>
    <w:rsid w:val="009E6BDC"/>
    <w:rsid w:val="009E7040"/>
    <w:rsid w:val="009E7C72"/>
    <w:rsid w:val="009F0169"/>
    <w:rsid w:val="009F0254"/>
    <w:rsid w:val="009F0272"/>
    <w:rsid w:val="009F02B6"/>
    <w:rsid w:val="009F0624"/>
    <w:rsid w:val="009F07B9"/>
    <w:rsid w:val="009F0C38"/>
    <w:rsid w:val="009F1212"/>
    <w:rsid w:val="009F163D"/>
    <w:rsid w:val="009F1A16"/>
    <w:rsid w:val="009F1C1B"/>
    <w:rsid w:val="009F1C83"/>
    <w:rsid w:val="009F1DE5"/>
    <w:rsid w:val="009F287F"/>
    <w:rsid w:val="009F363C"/>
    <w:rsid w:val="009F3E04"/>
    <w:rsid w:val="009F3F7F"/>
    <w:rsid w:val="009F46D7"/>
    <w:rsid w:val="009F4B52"/>
    <w:rsid w:val="009F50CC"/>
    <w:rsid w:val="009F53D2"/>
    <w:rsid w:val="009F5B5F"/>
    <w:rsid w:val="009F5D98"/>
    <w:rsid w:val="009F5F31"/>
    <w:rsid w:val="009F6810"/>
    <w:rsid w:val="009F6B6D"/>
    <w:rsid w:val="009F7403"/>
    <w:rsid w:val="00A00193"/>
    <w:rsid w:val="00A00276"/>
    <w:rsid w:val="00A00590"/>
    <w:rsid w:val="00A00B58"/>
    <w:rsid w:val="00A01287"/>
    <w:rsid w:val="00A01305"/>
    <w:rsid w:val="00A01769"/>
    <w:rsid w:val="00A0190E"/>
    <w:rsid w:val="00A01B99"/>
    <w:rsid w:val="00A0229C"/>
    <w:rsid w:val="00A02325"/>
    <w:rsid w:val="00A026FD"/>
    <w:rsid w:val="00A030A2"/>
    <w:rsid w:val="00A0310C"/>
    <w:rsid w:val="00A034C1"/>
    <w:rsid w:val="00A03614"/>
    <w:rsid w:val="00A03926"/>
    <w:rsid w:val="00A03D65"/>
    <w:rsid w:val="00A03F08"/>
    <w:rsid w:val="00A050A9"/>
    <w:rsid w:val="00A053F9"/>
    <w:rsid w:val="00A05481"/>
    <w:rsid w:val="00A0554E"/>
    <w:rsid w:val="00A05583"/>
    <w:rsid w:val="00A057F2"/>
    <w:rsid w:val="00A05825"/>
    <w:rsid w:val="00A05877"/>
    <w:rsid w:val="00A05A44"/>
    <w:rsid w:val="00A061DD"/>
    <w:rsid w:val="00A06522"/>
    <w:rsid w:val="00A0685E"/>
    <w:rsid w:val="00A073B7"/>
    <w:rsid w:val="00A07452"/>
    <w:rsid w:val="00A07A67"/>
    <w:rsid w:val="00A10059"/>
    <w:rsid w:val="00A10158"/>
    <w:rsid w:val="00A103AC"/>
    <w:rsid w:val="00A10C5B"/>
    <w:rsid w:val="00A110E6"/>
    <w:rsid w:val="00A11955"/>
    <w:rsid w:val="00A122A8"/>
    <w:rsid w:val="00A12389"/>
    <w:rsid w:val="00A12701"/>
    <w:rsid w:val="00A12BC2"/>
    <w:rsid w:val="00A12D53"/>
    <w:rsid w:val="00A12F45"/>
    <w:rsid w:val="00A13105"/>
    <w:rsid w:val="00A132D4"/>
    <w:rsid w:val="00A13327"/>
    <w:rsid w:val="00A13457"/>
    <w:rsid w:val="00A13539"/>
    <w:rsid w:val="00A13552"/>
    <w:rsid w:val="00A13668"/>
    <w:rsid w:val="00A13808"/>
    <w:rsid w:val="00A14155"/>
    <w:rsid w:val="00A145AD"/>
    <w:rsid w:val="00A14B85"/>
    <w:rsid w:val="00A15633"/>
    <w:rsid w:val="00A15812"/>
    <w:rsid w:val="00A15AF1"/>
    <w:rsid w:val="00A164B3"/>
    <w:rsid w:val="00A164FA"/>
    <w:rsid w:val="00A166BC"/>
    <w:rsid w:val="00A16E3B"/>
    <w:rsid w:val="00A170DA"/>
    <w:rsid w:val="00A171E9"/>
    <w:rsid w:val="00A175A4"/>
    <w:rsid w:val="00A177C7"/>
    <w:rsid w:val="00A17D8C"/>
    <w:rsid w:val="00A20158"/>
    <w:rsid w:val="00A20957"/>
    <w:rsid w:val="00A20F27"/>
    <w:rsid w:val="00A21398"/>
    <w:rsid w:val="00A21584"/>
    <w:rsid w:val="00A2167E"/>
    <w:rsid w:val="00A216B6"/>
    <w:rsid w:val="00A22030"/>
    <w:rsid w:val="00A2205A"/>
    <w:rsid w:val="00A2205D"/>
    <w:rsid w:val="00A22598"/>
    <w:rsid w:val="00A225F6"/>
    <w:rsid w:val="00A22C4D"/>
    <w:rsid w:val="00A22E0D"/>
    <w:rsid w:val="00A231F9"/>
    <w:rsid w:val="00A2322F"/>
    <w:rsid w:val="00A2325C"/>
    <w:rsid w:val="00A23ABC"/>
    <w:rsid w:val="00A243FC"/>
    <w:rsid w:val="00A24420"/>
    <w:rsid w:val="00A24439"/>
    <w:rsid w:val="00A24652"/>
    <w:rsid w:val="00A2488F"/>
    <w:rsid w:val="00A2501D"/>
    <w:rsid w:val="00A250B2"/>
    <w:rsid w:val="00A258F9"/>
    <w:rsid w:val="00A25A00"/>
    <w:rsid w:val="00A25CB0"/>
    <w:rsid w:val="00A26361"/>
    <w:rsid w:val="00A26377"/>
    <w:rsid w:val="00A263A4"/>
    <w:rsid w:val="00A27028"/>
    <w:rsid w:val="00A27125"/>
    <w:rsid w:val="00A2770B"/>
    <w:rsid w:val="00A3034D"/>
    <w:rsid w:val="00A31099"/>
    <w:rsid w:val="00A31290"/>
    <w:rsid w:val="00A31A70"/>
    <w:rsid w:val="00A31DBB"/>
    <w:rsid w:val="00A31FE1"/>
    <w:rsid w:val="00A32216"/>
    <w:rsid w:val="00A3227B"/>
    <w:rsid w:val="00A32393"/>
    <w:rsid w:val="00A328FD"/>
    <w:rsid w:val="00A32A37"/>
    <w:rsid w:val="00A339FF"/>
    <w:rsid w:val="00A33D30"/>
    <w:rsid w:val="00A34127"/>
    <w:rsid w:val="00A344D4"/>
    <w:rsid w:val="00A34C51"/>
    <w:rsid w:val="00A34CCD"/>
    <w:rsid w:val="00A3536A"/>
    <w:rsid w:val="00A353CE"/>
    <w:rsid w:val="00A35440"/>
    <w:rsid w:val="00A35748"/>
    <w:rsid w:val="00A35C98"/>
    <w:rsid w:val="00A35E8C"/>
    <w:rsid w:val="00A35F90"/>
    <w:rsid w:val="00A36A9A"/>
    <w:rsid w:val="00A36BD6"/>
    <w:rsid w:val="00A37455"/>
    <w:rsid w:val="00A37ABB"/>
    <w:rsid w:val="00A37C63"/>
    <w:rsid w:val="00A37C8A"/>
    <w:rsid w:val="00A37F21"/>
    <w:rsid w:val="00A40377"/>
    <w:rsid w:val="00A41330"/>
    <w:rsid w:val="00A413BD"/>
    <w:rsid w:val="00A41885"/>
    <w:rsid w:val="00A41C4A"/>
    <w:rsid w:val="00A41CF5"/>
    <w:rsid w:val="00A42224"/>
    <w:rsid w:val="00A4258D"/>
    <w:rsid w:val="00A425FE"/>
    <w:rsid w:val="00A430AD"/>
    <w:rsid w:val="00A43167"/>
    <w:rsid w:val="00A4379C"/>
    <w:rsid w:val="00A441F3"/>
    <w:rsid w:val="00A444D1"/>
    <w:rsid w:val="00A4455E"/>
    <w:rsid w:val="00A445DF"/>
    <w:rsid w:val="00A4468B"/>
    <w:rsid w:val="00A44935"/>
    <w:rsid w:val="00A44B1C"/>
    <w:rsid w:val="00A44D38"/>
    <w:rsid w:val="00A45065"/>
    <w:rsid w:val="00A45206"/>
    <w:rsid w:val="00A45231"/>
    <w:rsid w:val="00A455E1"/>
    <w:rsid w:val="00A45776"/>
    <w:rsid w:val="00A4581D"/>
    <w:rsid w:val="00A45F27"/>
    <w:rsid w:val="00A45FE4"/>
    <w:rsid w:val="00A46D1C"/>
    <w:rsid w:val="00A46F6E"/>
    <w:rsid w:val="00A474BD"/>
    <w:rsid w:val="00A479EC"/>
    <w:rsid w:val="00A47ADD"/>
    <w:rsid w:val="00A47C31"/>
    <w:rsid w:val="00A47EA1"/>
    <w:rsid w:val="00A507AA"/>
    <w:rsid w:val="00A50C2B"/>
    <w:rsid w:val="00A50D7A"/>
    <w:rsid w:val="00A511C9"/>
    <w:rsid w:val="00A515A6"/>
    <w:rsid w:val="00A518BC"/>
    <w:rsid w:val="00A519CE"/>
    <w:rsid w:val="00A51D7F"/>
    <w:rsid w:val="00A520C5"/>
    <w:rsid w:val="00A52188"/>
    <w:rsid w:val="00A52488"/>
    <w:rsid w:val="00A52C97"/>
    <w:rsid w:val="00A535F3"/>
    <w:rsid w:val="00A53DC8"/>
    <w:rsid w:val="00A54347"/>
    <w:rsid w:val="00A545EB"/>
    <w:rsid w:val="00A54916"/>
    <w:rsid w:val="00A549B5"/>
    <w:rsid w:val="00A54AE8"/>
    <w:rsid w:val="00A54E6B"/>
    <w:rsid w:val="00A55566"/>
    <w:rsid w:val="00A5652C"/>
    <w:rsid w:val="00A567E1"/>
    <w:rsid w:val="00A56FAE"/>
    <w:rsid w:val="00A57BE3"/>
    <w:rsid w:val="00A57CC9"/>
    <w:rsid w:val="00A600DD"/>
    <w:rsid w:val="00A6053D"/>
    <w:rsid w:val="00A60C42"/>
    <w:rsid w:val="00A60FC8"/>
    <w:rsid w:val="00A621CD"/>
    <w:rsid w:val="00A62736"/>
    <w:rsid w:val="00A640A4"/>
    <w:rsid w:val="00A64129"/>
    <w:rsid w:val="00A64238"/>
    <w:rsid w:val="00A64252"/>
    <w:rsid w:val="00A647AC"/>
    <w:rsid w:val="00A64DA3"/>
    <w:rsid w:val="00A651D3"/>
    <w:rsid w:val="00A654CF"/>
    <w:rsid w:val="00A6608E"/>
    <w:rsid w:val="00A663E4"/>
    <w:rsid w:val="00A6686C"/>
    <w:rsid w:val="00A669E3"/>
    <w:rsid w:val="00A67AFB"/>
    <w:rsid w:val="00A703D6"/>
    <w:rsid w:val="00A705C3"/>
    <w:rsid w:val="00A70936"/>
    <w:rsid w:val="00A70C4D"/>
    <w:rsid w:val="00A70CAA"/>
    <w:rsid w:val="00A713A1"/>
    <w:rsid w:val="00A71817"/>
    <w:rsid w:val="00A7186E"/>
    <w:rsid w:val="00A7194F"/>
    <w:rsid w:val="00A71D85"/>
    <w:rsid w:val="00A71FC6"/>
    <w:rsid w:val="00A72502"/>
    <w:rsid w:val="00A7260B"/>
    <w:rsid w:val="00A72FF4"/>
    <w:rsid w:val="00A73D44"/>
    <w:rsid w:val="00A73FF1"/>
    <w:rsid w:val="00A74303"/>
    <w:rsid w:val="00A74BB1"/>
    <w:rsid w:val="00A74BD8"/>
    <w:rsid w:val="00A74F8C"/>
    <w:rsid w:val="00A75078"/>
    <w:rsid w:val="00A75797"/>
    <w:rsid w:val="00A75915"/>
    <w:rsid w:val="00A75AA5"/>
    <w:rsid w:val="00A75B3C"/>
    <w:rsid w:val="00A75B8B"/>
    <w:rsid w:val="00A75F88"/>
    <w:rsid w:val="00A75FB9"/>
    <w:rsid w:val="00A7606E"/>
    <w:rsid w:val="00A76AE1"/>
    <w:rsid w:val="00A76D22"/>
    <w:rsid w:val="00A772A1"/>
    <w:rsid w:val="00A77550"/>
    <w:rsid w:val="00A77692"/>
    <w:rsid w:val="00A777CA"/>
    <w:rsid w:val="00A77C67"/>
    <w:rsid w:val="00A803E4"/>
    <w:rsid w:val="00A80EA2"/>
    <w:rsid w:val="00A80F9E"/>
    <w:rsid w:val="00A81276"/>
    <w:rsid w:val="00A818B9"/>
    <w:rsid w:val="00A8194B"/>
    <w:rsid w:val="00A81BD5"/>
    <w:rsid w:val="00A81E56"/>
    <w:rsid w:val="00A82249"/>
    <w:rsid w:val="00A825B3"/>
    <w:rsid w:val="00A827AD"/>
    <w:rsid w:val="00A8282E"/>
    <w:rsid w:val="00A828F2"/>
    <w:rsid w:val="00A83404"/>
    <w:rsid w:val="00A838E0"/>
    <w:rsid w:val="00A838F5"/>
    <w:rsid w:val="00A83A0A"/>
    <w:rsid w:val="00A83A9F"/>
    <w:rsid w:val="00A83AE1"/>
    <w:rsid w:val="00A83CA5"/>
    <w:rsid w:val="00A83D6D"/>
    <w:rsid w:val="00A83D75"/>
    <w:rsid w:val="00A8450A"/>
    <w:rsid w:val="00A84630"/>
    <w:rsid w:val="00A84C18"/>
    <w:rsid w:val="00A84CC5"/>
    <w:rsid w:val="00A85534"/>
    <w:rsid w:val="00A85736"/>
    <w:rsid w:val="00A85814"/>
    <w:rsid w:val="00A85B8F"/>
    <w:rsid w:val="00A85C69"/>
    <w:rsid w:val="00A85E6E"/>
    <w:rsid w:val="00A86303"/>
    <w:rsid w:val="00A863CB"/>
    <w:rsid w:val="00A8647E"/>
    <w:rsid w:val="00A86870"/>
    <w:rsid w:val="00A868DF"/>
    <w:rsid w:val="00A86E4F"/>
    <w:rsid w:val="00A875A9"/>
    <w:rsid w:val="00A877A3"/>
    <w:rsid w:val="00A87836"/>
    <w:rsid w:val="00A879FD"/>
    <w:rsid w:val="00A87E4B"/>
    <w:rsid w:val="00A90384"/>
    <w:rsid w:val="00A90613"/>
    <w:rsid w:val="00A90FB5"/>
    <w:rsid w:val="00A911A2"/>
    <w:rsid w:val="00A91A29"/>
    <w:rsid w:val="00A91B96"/>
    <w:rsid w:val="00A92341"/>
    <w:rsid w:val="00A92801"/>
    <w:rsid w:val="00A92F15"/>
    <w:rsid w:val="00A930FA"/>
    <w:rsid w:val="00A93715"/>
    <w:rsid w:val="00A9389A"/>
    <w:rsid w:val="00A93985"/>
    <w:rsid w:val="00A93A2C"/>
    <w:rsid w:val="00A93A66"/>
    <w:rsid w:val="00A93B79"/>
    <w:rsid w:val="00A940F7"/>
    <w:rsid w:val="00A9466C"/>
    <w:rsid w:val="00A949E0"/>
    <w:rsid w:val="00A94A14"/>
    <w:rsid w:val="00A94A45"/>
    <w:rsid w:val="00A94B39"/>
    <w:rsid w:val="00A94F70"/>
    <w:rsid w:val="00A9581D"/>
    <w:rsid w:val="00A95B66"/>
    <w:rsid w:val="00A96145"/>
    <w:rsid w:val="00A9650F"/>
    <w:rsid w:val="00A96DD7"/>
    <w:rsid w:val="00A97268"/>
    <w:rsid w:val="00A9771E"/>
    <w:rsid w:val="00AA03EE"/>
    <w:rsid w:val="00AA077D"/>
    <w:rsid w:val="00AA0831"/>
    <w:rsid w:val="00AA0943"/>
    <w:rsid w:val="00AA0EA9"/>
    <w:rsid w:val="00AA133F"/>
    <w:rsid w:val="00AA1392"/>
    <w:rsid w:val="00AA15F3"/>
    <w:rsid w:val="00AA15F7"/>
    <w:rsid w:val="00AA1D58"/>
    <w:rsid w:val="00AA1DC7"/>
    <w:rsid w:val="00AA2518"/>
    <w:rsid w:val="00AA25A4"/>
    <w:rsid w:val="00AA27BF"/>
    <w:rsid w:val="00AA34C4"/>
    <w:rsid w:val="00AA3D0C"/>
    <w:rsid w:val="00AA46F0"/>
    <w:rsid w:val="00AA481C"/>
    <w:rsid w:val="00AA4E06"/>
    <w:rsid w:val="00AA61B3"/>
    <w:rsid w:val="00AA6287"/>
    <w:rsid w:val="00AA710A"/>
    <w:rsid w:val="00AB0573"/>
    <w:rsid w:val="00AB09A6"/>
    <w:rsid w:val="00AB0CC7"/>
    <w:rsid w:val="00AB115E"/>
    <w:rsid w:val="00AB1342"/>
    <w:rsid w:val="00AB19F0"/>
    <w:rsid w:val="00AB1ABA"/>
    <w:rsid w:val="00AB1C4F"/>
    <w:rsid w:val="00AB25C5"/>
    <w:rsid w:val="00AB26C8"/>
    <w:rsid w:val="00AB27DE"/>
    <w:rsid w:val="00AB297D"/>
    <w:rsid w:val="00AB325A"/>
    <w:rsid w:val="00AB3D2B"/>
    <w:rsid w:val="00AB452C"/>
    <w:rsid w:val="00AB4649"/>
    <w:rsid w:val="00AB48F7"/>
    <w:rsid w:val="00AB492C"/>
    <w:rsid w:val="00AB4A4F"/>
    <w:rsid w:val="00AB4D2E"/>
    <w:rsid w:val="00AB4EF9"/>
    <w:rsid w:val="00AB5061"/>
    <w:rsid w:val="00AB5D22"/>
    <w:rsid w:val="00AB6117"/>
    <w:rsid w:val="00AB6221"/>
    <w:rsid w:val="00AB6352"/>
    <w:rsid w:val="00AB668E"/>
    <w:rsid w:val="00AB77C5"/>
    <w:rsid w:val="00AB78AD"/>
    <w:rsid w:val="00AB78E3"/>
    <w:rsid w:val="00AB7B83"/>
    <w:rsid w:val="00AB7D21"/>
    <w:rsid w:val="00AB7D43"/>
    <w:rsid w:val="00AC00EC"/>
    <w:rsid w:val="00AC0405"/>
    <w:rsid w:val="00AC0692"/>
    <w:rsid w:val="00AC09BA"/>
    <w:rsid w:val="00AC0B92"/>
    <w:rsid w:val="00AC15C2"/>
    <w:rsid w:val="00AC38A7"/>
    <w:rsid w:val="00AC3C2E"/>
    <w:rsid w:val="00AC43DA"/>
    <w:rsid w:val="00AC4563"/>
    <w:rsid w:val="00AC4B6F"/>
    <w:rsid w:val="00AC5378"/>
    <w:rsid w:val="00AC54DD"/>
    <w:rsid w:val="00AC56AA"/>
    <w:rsid w:val="00AC56E6"/>
    <w:rsid w:val="00AC58D8"/>
    <w:rsid w:val="00AC5E7F"/>
    <w:rsid w:val="00AC5EF7"/>
    <w:rsid w:val="00AC6409"/>
    <w:rsid w:val="00AC6A11"/>
    <w:rsid w:val="00AC6B1E"/>
    <w:rsid w:val="00AC72B6"/>
    <w:rsid w:val="00AC7A0F"/>
    <w:rsid w:val="00AC7E39"/>
    <w:rsid w:val="00AD022E"/>
    <w:rsid w:val="00AD0B41"/>
    <w:rsid w:val="00AD0B97"/>
    <w:rsid w:val="00AD0C58"/>
    <w:rsid w:val="00AD0CCC"/>
    <w:rsid w:val="00AD1098"/>
    <w:rsid w:val="00AD1B10"/>
    <w:rsid w:val="00AD1CA5"/>
    <w:rsid w:val="00AD1FA6"/>
    <w:rsid w:val="00AD2571"/>
    <w:rsid w:val="00AD3099"/>
    <w:rsid w:val="00AD31A7"/>
    <w:rsid w:val="00AD355E"/>
    <w:rsid w:val="00AD3D28"/>
    <w:rsid w:val="00AD3E33"/>
    <w:rsid w:val="00AD48FC"/>
    <w:rsid w:val="00AD492B"/>
    <w:rsid w:val="00AD4B59"/>
    <w:rsid w:val="00AD512D"/>
    <w:rsid w:val="00AD5220"/>
    <w:rsid w:val="00AD5242"/>
    <w:rsid w:val="00AD533F"/>
    <w:rsid w:val="00AD5972"/>
    <w:rsid w:val="00AD59EA"/>
    <w:rsid w:val="00AD68ED"/>
    <w:rsid w:val="00AD6F22"/>
    <w:rsid w:val="00AD7512"/>
    <w:rsid w:val="00AD7756"/>
    <w:rsid w:val="00AD7FE7"/>
    <w:rsid w:val="00AE0101"/>
    <w:rsid w:val="00AE074D"/>
    <w:rsid w:val="00AE176B"/>
    <w:rsid w:val="00AE177C"/>
    <w:rsid w:val="00AE19B5"/>
    <w:rsid w:val="00AE1C7F"/>
    <w:rsid w:val="00AE2329"/>
    <w:rsid w:val="00AE27DC"/>
    <w:rsid w:val="00AE2C2B"/>
    <w:rsid w:val="00AE2FB8"/>
    <w:rsid w:val="00AE33BD"/>
    <w:rsid w:val="00AE33D0"/>
    <w:rsid w:val="00AE3676"/>
    <w:rsid w:val="00AE36BE"/>
    <w:rsid w:val="00AE4110"/>
    <w:rsid w:val="00AE4579"/>
    <w:rsid w:val="00AE45B9"/>
    <w:rsid w:val="00AE45D2"/>
    <w:rsid w:val="00AE47BD"/>
    <w:rsid w:val="00AE4D4C"/>
    <w:rsid w:val="00AE502A"/>
    <w:rsid w:val="00AE50CE"/>
    <w:rsid w:val="00AE5143"/>
    <w:rsid w:val="00AE5638"/>
    <w:rsid w:val="00AE5866"/>
    <w:rsid w:val="00AE6456"/>
    <w:rsid w:val="00AE67EE"/>
    <w:rsid w:val="00AE68A0"/>
    <w:rsid w:val="00AE6B1F"/>
    <w:rsid w:val="00AE7165"/>
    <w:rsid w:val="00AE7326"/>
    <w:rsid w:val="00AE7626"/>
    <w:rsid w:val="00AE7792"/>
    <w:rsid w:val="00AE7793"/>
    <w:rsid w:val="00AE7983"/>
    <w:rsid w:val="00AE7DBB"/>
    <w:rsid w:val="00AF0051"/>
    <w:rsid w:val="00AF0195"/>
    <w:rsid w:val="00AF0373"/>
    <w:rsid w:val="00AF067B"/>
    <w:rsid w:val="00AF0957"/>
    <w:rsid w:val="00AF0BF7"/>
    <w:rsid w:val="00AF0C95"/>
    <w:rsid w:val="00AF0E38"/>
    <w:rsid w:val="00AF0EEB"/>
    <w:rsid w:val="00AF1150"/>
    <w:rsid w:val="00AF13E2"/>
    <w:rsid w:val="00AF15E8"/>
    <w:rsid w:val="00AF17B5"/>
    <w:rsid w:val="00AF1987"/>
    <w:rsid w:val="00AF1C2B"/>
    <w:rsid w:val="00AF1C30"/>
    <w:rsid w:val="00AF1CCE"/>
    <w:rsid w:val="00AF1FBA"/>
    <w:rsid w:val="00AF2494"/>
    <w:rsid w:val="00AF24A1"/>
    <w:rsid w:val="00AF2DA6"/>
    <w:rsid w:val="00AF331A"/>
    <w:rsid w:val="00AF3334"/>
    <w:rsid w:val="00AF36A8"/>
    <w:rsid w:val="00AF3B49"/>
    <w:rsid w:val="00AF3C54"/>
    <w:rsid w:val="00AF3DAB"/>
    <w:rsid w:val="00AF4136"/>
    <w:rsid w:val="00AF439B"/>
    <w:rsid w:val="00AF462A"/>
    <w:rsid w:val="00AF49B8"/>
    <w:rsid w:val="00AF4C93"/>
    <w:rsid w:val="00AF5217"/>
    <w:rsid w:val="00AF6111"/>
    <w:rsid w:val="00AF6487"/>
    <w:rsid w:val="00AF724A"/>
    <w:rsid w:val="00AF7311"/>
    <w:rsid w:val="00AF7992"/>
    <w:rsid w:val="00AF7EA4"/>
    <w:rsid w:val="00B0020C"/>
    <w:rsid w:val="00B0037F"/>
    <w:rsid w:val="00B00521"/>
    <w:rsid w:val="00B00762"/>
    <w:rsid w:val="00B00901"/>
    <w:rsid w:val="00B00A58"/>
    <w:rsid w:val="00B00BCF"/>
    <w:rsid w:val="00B00BD5"/>
    <w:rsid w:val="00B012B5"/>
    <w:rsid w:val="00B01786"/>
    <w:rsid w:val="00B02179"/>
    <w:rsid w:val="00B02B13"/>
    <w:rsid w:val="00B02DEA"/>
    <w:rsid w:val="00B02E46"/>
    <w:rsid w:val="00B033E9"/>
    <w:rsid w:val="00B0385C"/>
    <w:rsid w:val="00B0386E"/>
    <w:rsid w:val="00B04F67"/>
    <w:rsid w:val="00B051CA"/>
    <w:rsid w:val="00B05CA6"/>
    <w:rsid w:val="00B06065"/>
    <w:rsid w:val="00B06475"/>
    <w:rsid w:val="00B06A35"/>
    <w:rsid w:val="00B07079"/>
    <w:rsid w:val="00B0751B"/>
    <w:rsid w:val="00B07639"/>
    <w:rsid w:val="00B07BE1"/>
    <w:rsid w:val="00B10650"/>
    <w:rsid w:val="00B10FCD"/>
    <w:rsid w:val="00B10FEE"/>
    <w:rsid w:val="00B112C5"/>
    <w:rsid w:val="00B113AA"/>
    <w:rsid w:val="00B113C4"/>
    <w:rsid w:val="00B11A9E"/>
    <w:rsid w:val="00B11BA5"/>
    <w:rsid w:val="00B11D19"/>
    <w:rsid w:val="00B11D38"/>
    <w:rsid w:val="00B11F3D"/>
    <w:rsid w:val="00B12937"/>
    <w:rsid w:val="00B12A0F"/>
    <w:rsid w:val="00B12A5F"/>
    <w:rsid w:val="00B137AD"/>
    <w:rsid w:val="00B1398A"/>
    <w:rsid w:val="00B14082"/>
    <w:rsid w:val="00B145FB"/>
    <w:rsid w:val="00B1491B"/>
    <w:rsid w:val="00B1579D"/>
    <w:rsid w:val="00B157DE"/>
    <w:rsid w:val="00B15AC1"/>
    <w:rsid w:val="00B15BD9"/>
    <w:rsid w:val="00B15D6C"/>
    <w:rsid w:val="00B1614F"/>
    <w:rsid w:val="00B1707F"/>
    <w:rsid w:val="00B1713D"/>
    <w:rsid w:val="00B17447"/>
    <w:rsid w:val="00B17722"/>
    <w:rsid w:val="00B179B0"/>
    <w:rsid w:val="00B17B32"/>
    <w:rsid w:val="00B20038"/>
    <w:rsid w:val="00B20765"/>
    <w:rsid w:val="00B20B75"/>
    <w:rsid w:val="00B215D8"/>
    <w:rsid w:val="00B21B56"/>
    <w:rsid w:val="00B22098"/>
    <w:rsid w:val="00B220E5"/>
    <w:rsid w:val="00B22652"/>
    <w:rsid w:val="00B22AA1"/>
    <w:rsid w:val="00B231BE"/>
    <w:rsid w:val="00B238DD"/>
    <w:rsid w:val="00B23D1A"/>
    <w:rsid w:val="00B247B5"/>
    <w:rsid w:val="00B24993"/>
    <w:rsid w:val="00B25030"/>
    <w:rsid w:val="00B2553B"/>
    <w:rsid w:val="00B25652"/>
    <w:rsid w:val="00B25CE8"/>
    <w:rsid w:val="00B26599"/>
    <w:rsid w:val="00B26741"/>
    <w:rsid w:val="00B26B5D"/>
    <w:rsid w:val="00B26E14"/>
    <w:rsid w:val="00B271FB"/>
    <w:rsid w:val="00B27F3C"/>
    <w:rsid w:val="00B304A2"/>
    <w:rsid w:val="00B31092"/>
    <w:rsid w:val="00B31111"/>
    <w:rsid w:val="00B313DE"/>
    <w:rsid w:val="00B3176A"/>
    <w:rsid w:val="00B31E0B"/>
    <w:rsid w:val="00B32294"/>
    <w:rsid w:val="00B323B9"/>
    <w:rsid w:val="00B323FB"/>
    <w:rsid w:val="00B32A58"/>
    <w:rsid w:val="00B33075"/>
    <w:rsid w:val="00B33084"/>
    <w:rsid w:val="00B33285"/>
    <w:rsid w:val="00B335ED"/>
    <w:rsid w:val="00B339F6"/>
    <w:rsid w:val="00B33E62"/>
    <w:rsid w:val="00B340EE"/>
    <w:rsid w:val="00B3425C"/>
    <w:rsid w:val="00B3434E"/>
    <w:rsid w:val="00B34A58"/>
    <w:rsid w:val="00B34E4C"/>
    <w:rsid w:val="00B353C1"/>
    <w:rsid w:val="00B355BB"/>
    <w:rsid w:val="00B35E72"/>
    <w:rsid w:val="00B35F6A"/>
    <w:rsid w:val="00B3604D"/>
    <w:rsid w:val="00B371CA"/>
    <w:rsid w:val="00B37B3E"/>
    <w:rsid w:val="00B37EF6"/>
    <w:rsid w:val="00B40275"/>
    <w:rsid w:val="00B4042B"/>
    <w:rsid w:val="00B404C3"/>
    <w:rsid w:val="00B40548"/>
    <w:rsid w:val="00B40E7D"/>
    <w:rsid w:val="00B412A7"/>
    <w:rsid w:val="00B41695"/>
    <w:rsid w:val="00B41907"/>
    <w:rsid w:val="00B41AE5"/>
    <w:rsid w:val="00B41D69"/>
    <w:rsid w:val="00B42006"/>
    <w:rsid w:val="00B42543"/>
    <w:rsid w:val="00B4276D"/>
    <w:rsid w:val="00B42A82"/>
    <w:rsid w:val="00B42DF0"/>
    <w:rsid w:val="00B4303C"/>
    <w:rsid w:val="00B43310"/>
    <w:rsid w:val="00B4381F"/>
    <w:rsid w:val="00B440B8"/>
    <w:rsid w:val="00B4418B"/>
    <w:rsid w:val="00B445AF"/>
    <w:rsid w:val="00B44772"/>
    <w:rsid w:val="00B44E38"/>
    <w:rsid w:val="00B44ED6"/>
    <w:rsid w:val="00B44F02"/>
    <w:rsid w:val="00B453BF"/>
    <w:rsid w:val="00B45630"/>
    <w:rsid w:val="00B45B58"/>
    <w:rsid w:val="00B45C0F"/>
    <w:rsid w:val="00B45CC0"/>
    <w:rsid w:val="00B45E94"/>
    <w:rsid w:val="00B45FBB"/>
    <w:rsid w:val="00B4692B"/>
    <w:rsid w:val="00B46AAA"/>
    <w:rsid w:val="00B46B7A"/>
    <w:rsid w:val="00B46CDE"/>
    <w:rsid w:val="00B46ECA"/>
    <w:rsid w:val="00B472F8"/>
    <w:rsid w:val="00B47BFD"/>
    <w:rsid w:val="00B47DB0"/>
    <w:rsid w:val="00B50045"/>
    <w:rsid w:val="00B5053A"/>
    <w:rsid w:val="00B50F81"/>
    <w:rsid w:val="00B50FBA"/>
    <w:rsid w:val="00B5111C"/>
    <w:rsid w:val="00B51416"/>
    <w:rsid w:val="00B5150D"/>
    <w:rsid w:val="00B518C1"/>
    <w:rsid w:val="00B51B25"/>
    <w:rsid w:val="00B51D10"/>
    <w:rsid w:val="00B51E68"/>
    <w:rsid w:val="00B52260"/>
    <w:rsid w:val="00B52EDD"/>
    <w:rsid w:val="00B53E0F"/>
    <w:rsid w:val="00B541D9"/>
    <w:rsid w:val="00B547BA"/>
    <w:rsid w:val="00B54AC5"/>
    <w:rsid w:val="00B54B1E"/>
    <w:rsid w:val="00B54F0B"/>
    <w:rsid w:val="00B54FE4"/>
    <w:rsid w:val="00B55560"/>
    <w:rsid w:val="00B55576"/>
    <w:rsid w:val="00B55890"/>
    <w:rsid w:val="00B55F41"/>
    <w:rsid w:val="00B5615A"/>
    <w:rsid w:val="00B56867"/>
    <w:rsid w:val="00B568CD"/>
    <w:rsid w:val="00B56D8F"/>
    <w:rsid w:val="00B5707E"/>
    <w:rsid w:val="00B60CA7"/>
    <w:rsid w:val="00B610C9"/>
    <w:rsid w:val="00B61394"/>
    <w:rsid w:val="00B61672"/>
    <w:rsid w:val="00B61F30"/>
    <w:rsid w:val="00B62005"/>
    <w:rsid w:val="00B623E4"/>
    <w:rsid w:val="00B62A86"/>
    <w:rsid w:val="00B62CE3"/>
    <w:rsid w:val="00B62D0E"/>
    <w:rsid w:val="00B63311"/>
    <w:rsid w:val="00B63DA1"/>
    <w:rsid w:val="00B63ECD"/>
    <w:rsid w:val="00B63F13"/>
    <w:rsid w:val="00B63F82"/>
    <w:rsid w:val="00B64123"/>
    <w:rsid w:val="00B6491A"/>
    <w:rsid w:val="00B6505F"/>
    <w:rsid w:val="00B65127"/>
    <w:rsid w:val="00B6585D"/>
    <w:rsid w:val="00B6587C"/>
    <w:rsid w:val="00B658F2"/>
    <w:rsid w:val="00B65AE1"/>
    <w:rsid w:val="00B65B90"/>
    <w:rsid w:val="00B66E3D"/>
    <w:rsid w:val="00B67276"/>
    <w:rsid w:val="00B70043"/>
    <w:rsid w:val="00B70BC0"/>
    <w:rsid w:val="00B70E39"/>
    <w:rsid w:val="00B70F7F"/>
    <w:rsid w:val="00B7127D"/>
    <w:rsid w:val="00B715F8"/>
    <w:rsid w:val="00B7160C"/>
    <w:rsid w:val="00B716A7"/>
    <w:rsid w:val="00B7234F"/>
    <w:rsid w:val="00B72930"/>
    <w:rsid w:val="00B72A27"/>
    <w:rsid w:val="00B72B47"/>
    <w:rsid w:val="00B72C34"/>
    <w:rsid w:val="00B7373F"/>
    <w:rsid w:val="00B73B88"/>
    <w:rsid w:val="00B73BFF"/>
    <w:rsid w:val="00B73C84"/>
    <w:rsid w:val="00B73E4E"/>
    <w:rsid w:val="00B74610"/>
    <w:rsid w:val="00B74B50"/>
    <w:rsid w:val="00B74D0E"/>
    <w:rsid w:val="00B74E46"/>
    <w:rsid w:val="00B74E63"/>
    <w:rsid w:val="00B75EE3"/>
    <w:rsid w:val="00B75F3E"/>
    <w:rsid w:val="00B761AA"/>
    <w:rsid w:val="00B762B7"/>
    <w:rsid w:val="00B762F8"/>
    <w:rsid w:val="00B76C06"/>
    <w:rsid w:val="00B76DF4"/>
    <w:rsid w:val="00B776FD"/>
    <w:rsid w:val="00B77705"/>
    <w:rsid w:val="00B7787C"/>
    <w:rsid w:val="00B8034F"/>
    <w:rsid w:val="00B80480"/>
    <w:rsid w:val="00B806E5"/>
    <w:rsid w:val="00B808B6"/>
    <w:rsid w:val="00B80B35"/>
    <w:rsid w:val="00B8116E"/>
    <w:rsid w:val="00B812FC"/>
    <w:rsid w:val="00B82122"/>
    <w:rsid w:val="00B8238E"/>
    <w:rsid w:val="00B83344"/>
    <w:rsid w:val="00B83822"/>
    <w:rsid w:val="00B83E5A"/>
    <w:rsid w:val="00B8482C"/>
    <w:rsid w:val="00B848EF"/>
    <w:rsid w:val="00B84D94"/>
    <w:rsid w:val="00B84EA5"/>
    <w:rsid w:val="00B85569"/>
    <w:rsid w:val="00B86135"/>
    <w:rsid w:val="00B86351"/>
    <w:rsid w:val="00B866A8"/>
    <w:rsid w:val="00B86759"/>
    <w:rsid w:val="00B86A2D"/>
    <w:rsid w:val="00B87667"/>
    <w:rsid w:val="00B8781C"/>
    <w:rsid w:val="00B878E1"/>
    <w:rsid w:val="00B9049E"/>
    <w:rsid w:val="00B90B7F"/>
    <w:rsid w:val="00B91124"/>
    <w:rsid w:val="00B918C5"/>
    <w:rsid w:val="00B918E0"/>
    <w:rsid w:val="00B9192C"/>
    <w:rsid w:val="00B91AC3"/>
    <w:rsid w:val="00B91C94"/>
    <w:rsid w:val="00B91E1C"/>
    <w:rsid w:val="00B92329"/>
    <w:rsid w:val="00B92473"/>
    <w:rsid w:val="00B926C4"/>
    <w:rsid w:val="00B9276F"/>
    <w:rsid w:val="00B928AD"/>
    <w:rsid w:val="00B935C5"/>
    <w:rsid w:val="00B952BE"/>
    <w:rsid w:val="00B954D6"/>
    <w:rsid w:val="00B95C45"/>
    <w:rsid w:val="00B969EF"/>
    <w:rsid w:val="00B96AD3"/>
    <w:rsid w:val="00B96E58"/>
    <w:rsid w:val="00B97266"/>
    <w:rsid w:val="00B9735C"/>
    <w:rsid w:val="00B97443"/>
    <w:rsid w:val="00B977DB"/>
    <w:rsid w:val="00B97E8E"/>
    <w:rsid w:val="00BA0558"/>
    <w:rsid w:val="00BA08AC"/>
    <w:rsid w:val="00BA0E4C"/>
    <w:rsid w:val="00BA0FBD"/>
    <w:rsid w:val="00BA14B5"/>
    <w:rsid w:val="00BA1DAD"/>
    <w:rsid w:val="00BA1F01"/>
    <w:rsid w:val="00BA1FBA"/>
    <w:rsid w:val="00BA2B17"/>
    <w:rsid w:val="00BA31B3"/>
    <w:rsid w:val="00BA3800"/>
    <w:rsid w:val="00BA3A29"/>
    <w:rsid w:val="00BA3C7E"/>
    <w:rsid w:val="00BA45CA"/>
    <w:rsid w:val="00BA4C72"/>
    <w:rsid w:val="00BA4CB6"/>
    <w:rsid w:val="00BA4D3C"/>
    <w:rsid w:val="00BA6079"/>
    <w:rsid w:val="00BA6476"/>
    <w:rsid w:val="00BA70A6"/>
    <w:rsid w:val="00BA770F"/>
    <w:rsid w:val="00BA7A79"/>
    <w:rsid w:val="00BB00FA"/>
    <w:rsid w:val="00BB07D0"/>
    <w:rsid w:val="00BB0B87"/>
    <w:rsid w:val="00BB0F71"/>
    <w:rsid w:val="00BB1850"/>
    <w:rsid w:val="00BB1F18"/>
    <w:rsid w:val="00BB1F45"/>
    <w:rsid w:val="00BB2192"/>
    <w:rsid w:val="00BB280F"/>
    <w:rsid w:val="00BB2FA1"/>
    <w:rsid w:val="00BB325B"/>
    <w:rsid w:val="00BB3491"/>
    <w:rsid w:val="00BB35B1"/>
    <w:rsid w:val="00BB35B6"/>
    <w:rsid w:val="00BB3754"/>
    <w:rsid w:val="00BB3EAD"/>
    <w:rsid w:val="00BB418D"/>
    <w:rsid w:val="00BB462F"/>
    <w:rsid w:val="00BB4832"/>
    <w:rsid w:val="00BB49FF"/>
    <w:rsid w:val="00BB50E2"/>
    <w:rsid w:val="00BB523F"/>
    <w:rsid w:val="00BB57D5"/>
    <w:rsid w:val="00BB6016"/>
    <w:rsid w:val="00BB635A"/>
    <w:rsid w:val="00BB68DD"/>
    <w:rsid w:val="00BB6A30"/>
    <w:rsid w:val="00BB738F"/>
    <w:rsid w:val="00BB7453"/>
    <w:rsid w:val="00BC000E"/>
    <w:rsid w:val="00BC0263"/>
    <w:rsid w:val="00BC02F6"/>
    <w:rsid w:val="00BC063B"/>
    <w:rsid w:val="00BC07A2"/>
    <w:rsid w:val="00BC190C"/>
    <w:rsid w:val="00BC1FBD"/>
    <w:rsid w:val="00BC2501"/>
    <w:rsid w:val="00BC258A"/>
    <w:rsid w:val="00BC26FB"/>
    <w:rsid w:val="00BC29FD"/>
    <w:rsid w:val="00BC2C77"/>
    <w:rsid w:val="00BC2DBD"/>
    <w:rsid w:val="00BC2ECC"/>
    <w:rsid w:val="00BC3952"/>
    <w:rsid w:val="00BC3CDA"/>
    <w:rsid w:val="00BC3ECF"/>
    <w:rsid w:val="00BC406D"/>
    <w:rsid w:val="00BC4D16"/>
    <w:rsid w:val="00BC53C8"/>
    <w:rsid w:val="00BC576A"/>
    <w:rsid w:val="00BC5BE4"/>
    <w:rsid w:val="00BC615D"/>
    <w:rsid w:val="00BC6267"/>
    <w:rsid w:val="00BC69B4"/>
    <w:rsid w:val="00BC7342"/>
    <w:rsid w:val="00BC7A6E"/>
    <w:rsid w:val="00BC7E53"/>
    <w:rsid w:val="00BC7E8B"/>
    <w:rsid w:val="00BD0923"/>
    <w:rsid w:val="00BD0961"/>
    <w:rsid w:val="00BD0B2D"/>
    <w:rsid w:val="00BD0F5B"/>
    <w:rsid w:val="00BD1899"/>
    <w:rsid w:val="00BD190C"/>
    <w:rsid w:val="00BD1F66"/>
    <w:rsid w:val="00BD2895"/>
    <w:rsid w:val="00BD315F"/>
    <w:rsid w:val="00BD37EB"/>
    <w:rsid w:val="00BD40B8"/>
    <w:rsid w:val="00BD45C7"/>
    <w:rsid w:val="00BD4677"/>
    <w:rsid w:val="00BD4C13"/>
    <w:rsid w:val="00BD4FA1"/>
    <w:rsid w:val="00BD51AF"/>
    <w:rsid w:val="00BD54C1"/>
    <w:rsid w:val="00BD5875"/>
    <w:rsid w:val="00BD5DE7"/>
    <w:rsid w:val="00BD625A"/>
    <w:rsid w:val="00BD66C7"/>
    <w:rsid w:val="00BD7100"/>
    <w:rsid w:val="00BD716E"/>
    <w:rsid w:val="00BD718A"/>
    <w:rsid w:val="00BD75D5"/>
    <w:rsid w:val="00BD7B57"/>
    <w:rsid w:val="00BD7DB2"/>
    <w:rsid w:val="00BE04FF"/>
    <w:rsid w:val="00BE0B64"/>
    <w:rsid w:val="00BE1458"/>
    <w:rsid w:val="00BE16F0"/>
    <w:rsid w:val="00BE17C6"/>
    <w:rsid w:val="00BE1827"/>
    <w:rsid w:val="00BE1877"/>
    <w:rsid w:val="00BE2147"/>
    <w:rsid w:val="00BE22A2"/>
    <w:rsid w:val="00BE22F6"/>
    <w:rsid w:val="00BE2B46"/>
    <w:rsid w:val="00BE2DEE"/>
    <w:rsid w:val="00BE3087"/>
    <w:rsid w:val="00BE3232"/>
    <w:rsid w:val="00BE3FE4"/>
    <w:rsid w:val="00BE4688"/>
    <w:rsid w:val="00BE4750"/>
    <w:rsid w:val="00BE4C35"/>
    <w:rsid w:val="00BE4ED3"/>
    <w:rsid w:val="00BE4F3B"/>
    <w:rsid w:val="00BE4F3F"/>
    <w:rsid w:val="00BE52C0"/>
    <w:rsid w:val="00BE55B5"/>
    <w:rsid w:val="00BE59CF"/>
    <w:rsid w:val="00BE5A76"/>
    <w:rsid w:val="00BE5FF8"/>
    <w:rsid w:val="00BE65D9"/>
    <w:rsid w:val="00BE698B"/>
    <w:rsid w:val="00BE6ADB"/>
    <w:rsid w:val="00BE6C61"/>
    <w:rsid w:val="00BE6D25"/>
    <w:rsid w:val="00BE7370"/>
    <w:rsid w:val="00BE73F6"/>
    <w:rsid w:val="00BE7632"/>
    <w:rsid w:val="00BE799B"/>
    <w:rsid w:val="00BE7C71"/>
    <w:rsid w:val="00BF0308"/>
    <w:rsid w:val="00BF04BF"/>
    <w:rsid w:val="00BF0942"/>
    <w:rsid w:val="00BF0CF6"/>
    <w:rsid w:val="00BF0DB1"/>
    <w:rsid w:val="00BF11E1"/>
    <w:rsid w:val="00BF12AE"/>
    <w:rsid w:val="00BF1A09"/>
    <w:rsid w:val="00BF1B5A"/>
    <w:rsid w:val="00BF2D0B"/>
    <w:rsid w:val="00BF2F36"/>
    <w:rsid w:val="00BF315A"/>
    <w:rsid w:val="00BF33E8"/>
    <w:rsid w:val="00BF3499"/>
    <w:rsid w:val="00BF3524"/>
    <w:rsid w:val="00BF35E0"/>
    <w:rsid w:val="00BF363D"/>
    <w:rsid w:val="00BF3A18"/>
    <w:rsid w:val="00BF4200"/>
    <w:rsid w:val="00BF426F"/>
    <w:rsid w:val="00BF42BB"/>
    <w:rsid w:val="00BF43A6"/>
    <w:rsid w:val="00BF43A8"/>
    <w:rsid w:val="00BF4656"/>
    <w:rsid w:val="00BF49FF"/>
    <w:rsid w:val="00BF4B89"/>
    <w:rsid w:val="00BF4D81"/>
    <w:rsid w:val="00BF4FBE"/>
    <w:rsid w:val="00BF5356"/>
    <w:rsid w:val="00BF54A8"/>
    <w:rsid w:val="00BF5D7B"/>
    <w:rsid w:val="00BF723A"/>
    <w:rsid w:val="00BF7E27"/>
    <w:rsid w:val="00C00F16"/>
    <w:rsid w:val="00C00FFF"/>
    <w:rsid w:val="00C010CD"/>
    <w:rsid w:val="00C010E7"/>
    <w:rsid w:val="00C012D7"/>
    <w:rsid w:val="00C012F6"/>
    <w:rsid w:val="00C013CC"/>
    <w:rsid w:val="00C02161"/>
    <w:rsid w:val="00C023C8"/>
    <w:rsid w:val="00C025F3"/>
    <w:rsid w:val="00C02B74"/>
    <w:rsid w:val="00C02BC9"/>
    <w:rsid w:val="00C02CF7"/>
    <w:rsid w:val="00C02DE7"/>
    <w:rsid w:val="00C030B6"/>
    <w:rsid w:val="00C032C8"/>
    <w:rsid w:val="00C03578"/>
    <w:rsid w:val="00C03B36"/>
    <w:rsid w:val="00C03E9C"/>
    <w:rsid w:val="00C04031"/>
    <w:rsid w:val="00C042E7"/>
    <w:rsid w:val="00C04566"/>
    <w:rsid w:val="00C046F9"/>
    <w:rsid w:val="00C04959"/>
    <w:rsid w:val="00C04971"/>
    <w:rsid w:val="00C04BA2"/>
    <w:rsid w:val="00C04F4F"/>
    <w:rsid w:val="00C051CA"/>
    <w:rsid w:val="00C054BC"/>
    <w:rsid w:val="00C058D6"/>
    <w:rsid w:val="00C05E74"/>
    <w:rsid w:val="00C0615E"/>
    <w:rsid w:val="00C06204"/>
    <w:rsid w:val="00C0633F"/>
    <w:rsid w:val="00C06484"/>
    <w:rsid w:val="00C0676F"/>
    <w:rsid w:val="00C068C3"/>
    <w:rsid w:val="00C06908"/>
    <w:rsid w:val="00C06E6D"/>
    <w:rsid w:val="00C07273"/>
    <w:rsid w:val="00C075D6"/>
    <w:rsid w:val="00C07823"/>
    <w:rsid w:val="00C07E2F"/>
    <w:rsid w:val="00C101E1"/>
    <w:rsid w:val="00C104EF"/>
    <w:rsid w:val="00C10B61"/>
    <w:rsid w:val="00C118F9"/>
    <w:rsid w:val="00C11B79"/>
    <w:rsid w:val="00C12033"/>
    <w:rsid w:val="00C12185"/>
    <w:rsid w:val="00C1235E"/>
    <w:rsid w:val="00C12625"/>
    <w:rsid w:val="00C126CE"/>
    <w:rsid w:val="00C128E5"/>
    <w:rsid w:val="00C12B1C"/>
    <w:rsid w:val="00C12FAA"/>
    <w:rsid w:val="00C1313B"/>
    <w:rsid w:val="00C13246"/>
    <w:rsid w:val="00C13AC2"/>
    <w:rsid w:val="00C14486"/>
    <w:rsid w:val="00C145F8"/>
    <w:rsid w:val="00C1468F"/>
    <w:rsid w:val="00C15439"/>
    <w:rsid w:val="00C15774"/>
    <w:rsid w:val="00C16091"/>
    <w:rsid w:val="00C16140"/>
    <w:rsid w:val="00C1653A"/>
    <w:rsid w:val="00C16809"/>
    <w:rsid w:val="00C16972"/>
    <w:rsid w:val="00C171A3"/>
    <w:rsid w:val="00C176DB"/>
    <w:rsid w:val="00C1786D"/>
    <w:rsid w:val="00C17CCC"/>
    <w:rsid w:val="00C17D55"/>
    <w:rsid w:val="00C200F0"/>
    <w:rsid w:val="00C20451"/>
    <w:rsid w:val="00C20E42"/>
    <w:rsid w:val="00C21083"/>
    <w:rsid w:val="00C21F05"/>
    <w:rsid w:val="00C2258B"/>
    <w:rsid w:val="00C22858"/>
    <w:rsid w:val="00C22C8B"/>
    <w:rsid w:val="00C23081"/>
    <w:rsid w:val="00C2388A"/>
    <w:rsid w:val="00C238BA"/>
    <w:rsid w:val="00C2400E"/>
    <w:rsid w:val="00C2405D"/>
    <w:rsid w:val="00C24678"/>
    <w:rsid w:val="00C2471A"/>
    <w:rsid w:val="00C24865"/>
    <w:rsid w:val="00C24992"/>
    <w:rsid w:val="00C24ACF"/>
    <w:rsid w:val="00C24B47"/>
    <w:rsid w:val="00C250E8"/>
    <w:rsid w:val="00C25786"/>
    <w:rsid w:val="00C25B44"/>
    <w:rsid w:val="00C25D46"/>
    <w:rsid w:val="00C26BA4"/>
    <w:rsid w:val="00C26DF3"/>
    <w:rsid w:val="00C271DE"/>
    <w:rsid w:val="00C275C2"/>
    <w:rsid w:val="00C27A97"/>
    <w:rsid w:val="00C30357"/>
    <w:rsid w:val="00C30399"/>
    <w:rsid w:val="00C306DE"/>
    <w:rsid w:val="00C3109F"/>
    <w:rsid w:val="00C31936"/>
    <w:rsid w:val="00C31A09"/>
    <w:rsid w:val="00C31BF9"/>
    <w:rsid w:val="00C33131"/>
    <w:rsid w:val="00C337AD"/>
    <w:rsid w:val="00C33A8C"/>
    <w:rsid w:val="00C33AE2"/>
    <w:rsid w:val="00C33C4F"/>
    <w:rsid w:val="00C33D7F"/>
    <w:rsid w:val="00C3404A"/>
    <w:rsid w:val="00C34122"/>
    <w:rsid w:val="00C34255"/>
    <w:rsid w:val="00C3438D"/>
    <w:rsid w:val="00C348D4"/>
    <w:rsid w:val="00C3492C"/>
    <w:rsid w:val="00C34A59"/>
    <w:rsid w:val="00C34A98"/>
    <w:rsid w:val="00C34DEF"/>
    <w:rsid w:val="00C35517"/>
    <w:rsid w:val="00C355F6"/>
    <w:rsid w:val="00C3562D"/>
    <w:rsid w:val="00C35CE7"/>
    <w:rsid w:val="00C35EC3"/>
    <w:rsid w:val="00C3606F"/>
    <w:rsid w:val="00C36797"/>
    <w:rsid w:val="00C368AE"/>
    <w:rsid w:val="00C36953"/>
    <w:rsid w:val="00C369AD"/>
    <w:rsid w:val="00C36C14"/>
    <w:rsid w:val="00C402B8"/>
    <w:rsid w:val="00C40659"/>
    <w:rsid w:val="00C40725"/>
    <w:rsid w:val="00C40C53"/>
    <w:rsid w:val="00C40D53"/>
    <w:rsid w:val="00C41016"/>
    <w:rsid w:val="00C41175"/>
    <w:rsid w:val="00C41B0C"/>
    <w:rsid w:val="00C41C8B"/>
    <w:rsid w:val="00C43098"/>
    <w:rsid w:val="00C43429"/>
    <w:rsid w:val="00C43468"/>
    <w:rsid w:val="00C4353A"/>
    <w:rsid w:val="00C43669"/>
    <w:rsid w:val="00C43755"/>
    <w:rsid w:val="00C438C1"/>
    <w:rsid w:val="00C43D0B"/>
    <w:rsid w:val="00C43E7D"/>
    <w:rsid w:val="00C446AE"/>
    <w:rsid w:val="00C44D7B"/>
    <w:rsid w:val="00C44D98"/>
    <w:rsid w:val="00C44E84"/>
    <w:rsid w:val="00C44F9D"/>
    <w:rsid w:val="00C45E68"/>
    <w:rsid w:val="00C461F0"/>
    <w:rsid w:val="00C46242"/>
    <w:rsid w:val="00C46665"/>
    <w:rsid w:val="00C46DCB"/>
    <w:rsid w:val="00C46F2B"/>
    <w:rsid w:val="00C4721A"/>
    <w:rsid w:val="00C47349"/>
    <w:rsid w:val="00C473D5"/>
    <w:rsid w:val="00C47416"/>
    <w:rsid w:val="00C475CF"/>
    <w:rsid w:val="00C479E2"/>
    <w:rsid w:val="00C47C63"/>
    <w:rsid w:val="00C47E1A"/>
    <w:rsid w:val="00C50940"/>
    <w:rsid w:val="00C51044"/>
    <w:rsid w:val="00C5155E"/>
    <w:rsid w:val="00C51AE7"/>
    <w:rsid w:val="00C529C7"/>
    <w:rsid w:val="00C52A75"/>
    <w:rsid w:val="00C530AC"/>
    <w:rsid w:val="00C532E8"/>
    <w:rsid w:val="00C534F5"/>
    <w:rsid w:val="00C53631"/>
    <w:rsid w:val="00C5367E"/>
    <w:rsid w:val="00C536BA"/>
    <w:rsid w:val="00C539D7"/>
    <w:rsid w:val="00C53C70"/>
    <w:rsid w:val="00C541ED"/>
    <w:rsid w:val="00C54328"/>
    <w:rsid w:val="00C543A2"/>
    <w:rsid w:val="00C54C5B"/>
    <w:rsid w:val="00C55686"/>
    <w:rsid w:val="00C56670"/>
    <w:rsid w:val="00C567A4"/>
    <w:rsid w:val="00C5688A"/>
    <w:rsid w:val="00C576D7"/>
    <w:rsid w:val="00C577E6"/>
    <w:rsid w:val="00C578F0"/>
    <w:rsid w:val="00C57B19"/>
    <w:rsid w:val="00C57F03"/>
    <w:rsid w:val="00C57F48"/>
    <w:rsid w:val="00C6042E"/>
    <w:rsid w:val="00C60A25"/>
    <w:rsid w:val="00C60BF6"/>
    <w:rsid w:val="00C60E21"/>
    <w:rsid w:val="00C61687"/>
    <w:rsid w:val="00C616FA"/>
    <w:rsid w:val="00C62822"/>
    <w:rsid w:val="00C6291B"/>
    <w:rsid w:val="00C62C46"/>
    <w:rsid w:val="00C62F25"/>
    <w:rsid w:val="00C63379"/>
    <w:rsid w:val="00C643F1"/>
    <w:rsid w:val="00C64B3C"/>
    <w:rsid w:val="00C64BAF"/>
    <w:rsid w:val="00C64FE7"/>
    <w:rsid w:val="00C65342"/>
    <w:rsid w:val="00C65944"/>
    <w:rsid w:val="00C659CF"/>
    <w:rsid w:val="00C65B04"/>
    <w:rsid w:val="00C65B71"/>
    <w:rsid w:val="00C65B94"/>
    <w:rsid w:val="00C66331"/>
    <w:rsid w:val="00C66541"/>
    <w:rsid w:val="00C66A82"/>
    <w:rsid w:val="00C66B3B"/>
    <w:rsid w:val="00C67884"/>
    <w:rsid w:val="00C6795C"/>
    <w:rsid w:val="00C67BAC"/>
    <w:rsid w:val="00C67D7F"/>
    <w:rsid w:val="00C700B9"/>
    <w:rsid w:val="00C701BC"/>
    <w:rsid w:val="00C70A21"/>
    <w:rsid w:val="00C70DAD"/>
    <w:rsid w:val="00C71900"/>
    <w:rsid w:val="00C72AED"/>
    <w:rsid w:val="00C72BCB"/>
    <w:rsid w:val="00C72E20"/>
    <w:rsid w:val="00C72F05"/>
    <w:rsid w:val="00C72F12"/>
    <w:rsid w:val="00C7305D"/>
    <w:rsid w:val="00C7371E"/>
    <w:rsid w:val="00C737AD"/>
    <w:rsid w:val="00C73BF5"/>
    <w:rsid w:val="00C74756"/>
    <w:rsid w:val="00C74ACB"/>
    <w:rsid w:val="00C74B75"/>
    <w:rsid w:val="00C74F9D"/>
    <w:rsid w:val="00C74FD5"/>
    <w:rsid w:val="00C75453"/>
    <w:rsid w:val="00C75843"/>
    <w:rsid w:val="00C75F37"/>
    <w:rsid w:val="00C7610C"/>
    <w:rsid w:val="00C765F8"/>
    <w:rsid w:val="00C76643"/>
    <w:rsid w:val="00C7696D"/>
    <w:rsid w:val="00C77097"/>
    <w:rsid w:val="00C8001E"/>
    <w:rsid w:val="00C80475"/>
    <w:rsid w:val="00C80B7F"/>
    <w:rsid w:val="00C8108A"/>
    <w:rsid w:val="00C81465"/>
    <w:rsid w:val="00C8183E"/>
    <w:rsid w:val="00C81C04"/>
    <w:rsid w:val="00C82047"/>
    <w:rsid w:val="00C820A1"/>
    <w:rsid w:val="00C823DD"/>
    <w:rsid w:val="00C82E8C"/>
    <w:rsid w:val="00C832AE"/>
    <w:rsid w:val="00C83421"/>
    <w:rsid w:val="00C834BA"/>
    <w:rsid w:val="00C83D09"/>
    <w:rsid w:val="00C83D9F"/>
    <w:rsid w:val="00C84718"/>
    <w:rsid w:val="00C8481E"/>
    <w:rsid w:val="00C84C08"/>
    <w:rsid w:val="00C8500A"/>
    <w:rsid w:val="00C856B5"/>
    <w:rsid w:val="00C85B1F"/>
    <w:rsid w:val="00C86150"/>
    <w:rsid w:val="00C86673"/>
    <w:rsid w:val="00C86EBF"/>
    <w:rsid w:val="00C87BAE"/>
    <w:rsid w:val="00C87CCE"/>
    <w:rsid w:val="00C902D0"/>
    <w:rsid w:val="00C90968"/>
    <w:rsid w:val="00C910B0"/>
    <w:rsid w:val="00C9116C"/>
    <w:rsid w:val="00C91268"/>
    <w:rsid w:val="00C913F3"/>
    <w:rsid w:val="00C915C3"/>
    <w:rsid w:val="00C91E70"/>
    <w:rsid w:val="00C927FC"/>
    <w:rsid w:val="00C9376B"/>
    <w:rsid w:val="00C93819"/>
    <w:rsid w:val="00C93AE6"/>
    <w:rsid w:val="00C93BCE"/>
    <w:rsid w:val="00C93FBE"/>
    <w:rsid w:val="00C947ED"/>
    <w:rsid w:val="00C9483E"/>
    <w:rsid w:val="00C94C56"/>
    <w:rsid w:val="00C94E82"/>
    <w:rsid w:val="00C9540E"/>
    <w:rsid w:val="00C95879"/>
    <w:rsid w:val="00C958B5"/>
    <w:rsid w:val="00C95EFE"/>
    <w:rsid w:val="00C96015"/>
    <w:rsid w:val="00C962F5"/>
    <w:rsid w:val="00C9636D"/>
    <w:rsid w:val="00C967DF"/>
    <w:rsid w:val="00C96B48"/>
    <w:rsid w:val="00C96CA1"/>
    <w:rsid w:val="00C96F81"/>
    <w:rsid w:val="00C973C0"/>
    <w:rsid w:val="00C97890"/>
    <w:rsid w:val="00C97C27"/>
    <w:rsid w:val="00CA01B2"/>
    <w:rsid w:val="00CA09E5"/>
    <w:rsid w:val="00CA0E95"/>
    <w:rsid w:val="00CA101B"/>
    <w:rsid w:val="00CA18F2"/>
    <w:rsid w:val="00CA21AF"/>
    <w:rsid w:val="00CA2471"/>
    <w:rsid w:val="00CA2ADB"/>
    <w:rsid w:val="00CA2F4A"/>
    <w:rsid w:val="00CA3456"/>
    <w:rsid w:val="00CA348B"/>
    <w:rsid w:val="00CA3ACE"/>
    <w:rsid w:val="00CA3E88"/>
    <w:rsid w:val="00CA4945"/>
    <w:rsid w:val="00CA4947"/>
    <w:rsid w:val="00CA5176"/>
    <w:rsid w:val="00CA55DC"/>
    <w:rsid w:val="00CA5AB2"/>
    <w:rsid w:val="00CA5E38"/>
    <w:rsid w:val="00CA5FBD"/>
    <w:rsid w:val="00CA6329"/>
    <w:rsid w:val="00CA6616"/>
    <w:rsid w:val="00CA666F"/>
    <w:rsid w:val="00CA69BE"/>
    <w:rsid w:val="00CA6EDB"/>
    <w:rsid w:val="00CA7124"/>
    <w:rsid w:val="00CA712A"/>
    <w:rsid w:val="00CA7145"/>
    <w:rsid w:val="00CA7A68"/>
    <w:rsid w:val="00CA7E26"/>
    <w:rsid w:val="00CB0564"/>
    <w:rsid w:val="00CB09F0"/>
    <w:rsid w:val="00CB0A63"/>
    <w:rsid w:val="00CB0B51"/>
    <w:rsid w:val="00CB100A"/>
    <w:rsid w:val="00CB13D2"/>
    <w:rsid w:val="00CB1AA7"/>
    <w:rsid w:val="00CB1AF9"/>
    <w:rsid w:val="00CB2185"/>
    <w:rsid w:val="00CB2229"/>
    <w:rsid w:val="00CB2498"/>
    <w:rsid w:val="00CB2508"/>
    <w:rsid w:val="00CB2836"/>
    <w:rsid w:val="00CB2DD2"/>
    <w:rsid w:val="00CB2FAB"/>
    <w:rsid w:val="00CB3105"/>
    <w:rsid w:val="00CB3270"/>
    <w:rsid w:val="00CB3AB3"/>
    <w:rsid w:val="00CB3CF9"/>
    <w:rsid w:val="00CB3D01"/>
    <w:rsid w:val="00CB42D5"/>
    <w:rsid w:val="00CB48C0"/>
    <w:rsid w:val="00CB4BBD"/>
    <w:rsid w:val="00CB51E7"/>
    <w:rsid w:val="00CB5B66"/>
    <w:rsid w:val="00CB613C"/>
    <w:rsid w:val="00CB666F"/>
    <w:rsid w:val="00CB708B"/>
    <w:rsid w:val="00CB71BD"/>
    <w:rsid w:val="00CB731D"/>
    <w:rsid w:val="00CB7590"/>
    <w:rsid w:val="00CB7845"/>
    <w:rsid w:val="00CB7E67"/>
    <w:rsid w:val="00CC0057"/>
    <w:rsid w:val="00CC04DC"/>
    <w:rsid w:val="00CC0639"/>
    <w:rsid w:val="00CC06CA"/>
    <w:rsid w:val="00CC09DA"/>
    <w:rsid w:val="00CC14CE"/>
    <w:rsid w:val="00CC1774"/>
    <w:rsid w:val="00CC1B84"/>
    <w:rsid w:val="00CC1BDB"/>
    <w:rsid w:val="00CC2510"/>
    <w:rsid w:val="00CC26DD"/>
    <w:rsid w:val="00CC2757"/>
    <w:rsid w:val="00CC2B46"/>
    <w:rsid w:val="00CC2E17"/>
    <w:rsid w:val="00CC3681"/>
    <w:rsid w:val="00CC3787"/>
    <w:rsid w:val="00CC3839"/>
    <w:rsid w:val="00CC38D0"/>
    <w:rsid w:val="00CC3C31"/>
    <w:rsid w:val="00CC4063"/>
    <w:rsid w:val="00CC44F1"/>
    <w:rsid w:val="00CC4700"/>
    <w:rsid w:val="00CC4838"/>
    <w:rsid w:val="00CC4AB7"/>
    <w:rsid w:val="00CC4D7C"/>
    <w:rsid w:val="00CC4DCE"/>
    <w:rsid w:val="00CC4EDA"/>
    <w:rsid w:val="00CC4F0B"/>
    <w:rsid w:val="00CC5688"/>
    <w:rsid w:val="00CC5D34"/>
    <w:rsid w:val="00CC63B6"/>
    <w:rsid w:val="00CC63BD"/>
    <w:rsid w:val="00CC64F3"/>
    <w:rsid w:val="00CC6938"/>
    <w:rsid w:val="00CC6DD1"/>
    <w:rsid w:val="00CC70AF"/>
    <w:rsid w:val="00CC729A"/>
    <w:rsid w:val="00CC74FB"/>
    <w:rsid w:val="00CC78B5"/>
    <w:rsid w:val="00CC7B49"/>
    <w:rsid w:val="00CC7C41"/>
    <w:rsid w:val="00CC7E07"/>
    <w:rsid w:val="00CD009A"/>
    <w:rsid w:val="00CD04C7"/>
    <w:rsid w:val="00CD09A2"/>
    <w:rsid w:val="00CD0B98"/>
    <w:rsid w:val="00CD0E16"/>
    <w:rsid w:val="00CD13E1"/>
    <w:rsid w:val="00CD13E6"/>
    <w:rsid w:val="00CD1A65"/>
    <w:rsid w:val="00CD1D55"/>
    <w:rsid w:val="00CD1D5B"/>
    <w:rsid w:val="00CD1D61"/>
    <w:rsid w:val="00CD1D78"/>
    <w:rsid w:val="00CD1F6D"/>
    <w:rsid w:val="00CD2677"/>
    <w:rsid w:val="00CD2B86"/>
    <w:rsid w:val="00CD3BE7"/>
    <w:rsid w:val="00CD3D58"/>
    <w:rsid w:val="00CD3FAB"/>
    <w:rsid w:val="00CD4E64"/>
    <w:rsid w:val="00CD5766"/>
    <w:rsid w:val="00CD5C4B"/>
    <w:rsid w:val="00CD6095"/>
    <w:rsid w:val="00CD641E"/>
    <w:rsid w:val="00CD6472"/>
    <w:rsid w:val="00CD6A1F"/>
    <w:rsid w:val="00CD6B5C"/>
    <w:rsid w:val="00CD6D0E"/>
    <w:rsid w:val="00CD6D23"/>
    <w:rsid w:val="00CD6F62"/>
    <w:rsid w:val="00CD7573"/>
    <w:rsid w:val="00CD778F"/>
    <w:rsid w:val="00CD7865"/>
    <w:rsid w:val="00CD7968"/>
    <w:rsid w:val="00CD7C18"/>
    <w:rsid w:val="00CD7CCA"/>
    <w:rsid w:val="00CE03F7"/>
    <w:rsid w:val="00CE10B6"/>
    <w:rsid w:val="00CE153F"/>
    <w:rsid w:val="00CE163D"/>
    <w:rsid w:val="00CE184E"/>
    <w:rsid w:val="00CE19A7"/>
    <w:rsid w:val="00CE21CA"/>
    <w:rsid w:val="00CE2E9F"/>
    <w:rsid w:val="00CE3167"/>
    <w:rsid w:val="00CE31AF"/>
    <w:rsid w:val="00CE324E"/>
    <w:rsid w:val="00CE3613"/>
    <w:rsid w:val="00CE3D0F"/>
    <w:rsid w:val="00CE4365"/>
    <w:rsid w:val="00CE471E"/>
    <w:rsid w:val="00CE4AA3"/>
    <w:rsid w:val="00CE508E"/>
    <w:rsid w:val="00CE527C"/>
    <w:rsid w:val="00CE5845"/>
    <w:rsid w:val="00CE5E5F"/>
    <w:rsid w:val="00CE62D6"/>
    <w:rsid w:val="00CE6486"/>
    <w:rsid w:val="00CE65D3"/>
    <w:rsid w:val="00CE6627"/>
    <w:rsid w:val="00CE66DE"/>
    <w:rsid w:val="00CE6A53"/>
    <w:rsid w:val="00CE6BAA"/>
    <w:rsid w:val="00CE6DC9"/>
    <w:rsid w:val="00CE707E"/>
    <w:rsid w:val="00CE7AC3"/>
    <w:rsid w:val="00CE7D69"/>
    <w:rsid w:val="00CE7E21"/>
    <w:rsid w:val="00CF0E8A"/>
    <w:rsid w:val="00CF0FBC"/>
    <w:rsid w:val="00CF190B"/>
    <w:rsid w:val="00CF19D2"/>
    <w:rsid w:val="00CF19F5"/>
    <w:rsid w:val="00CF1A51"/>
    <w:rsid w:val="00CF1B37"/>
    <w:rsid w:val="00CF1B9E"/>
    <w:rsid w:val="00CF1F93"/>
    <w:rsid w:val="00CF2263"/>
    <w:rsid w:val="00CF2808"/>
    <w:rsid w:val="00CF2C5E"/>
    <w:rsid w:val="00CF312D"/>
    <w:rsid w:val="00CF3ABF"/>
    <w:rsid w:val="00CF430B"/>
    <w:rsid w:val="00CF49E9"/>
    <w:rsid w:val="00CF4C6C"/>
    <w:rsid w:val="00CF4E7B"/>
    <w:rsid w:val="00CF4EA6"/>
    <w:rsid w:val="00CF4F15"/>
    <w:rsid w:val="00CF5048"/>
    <w:rsid w:val="00CF53DF"/>
    <w:rsid w:val="00CF6959"/>
    <w:rsid w:val="00CF6C66"/>
    <w:rsid w:val="00CF7984"/>
    <w:rsid w:val="00D00024"/>
    <w:rsid w:val="00D0141F"/>
    <w:rsid w:val="00D016A1"/>
    <w:rsid w:val="00D017BC"/>
    <w:rsid w:val="00D01C60"/>
    <w:rsid w:val="00D01DEF"/>
    <w:rsid w:val="00D01F35"/>
    <w:rsid w:val="00D02B45"/>
    <w:rsid w:val="00D02E6F"/>
    <w:rsid w:val="00D03256"/>
    <w:rsid w:val="00D0350F"/>
    <w:rsid w:val="00D03E09"/>
    <w:rsid w:val="00D03F05"/>
    <w:rsid w:val="00D043CA"/>
    <w:rsid w:val="00D044FC"/>
    <w:rsid w:val="00D046D7"/>
    <w:rsid w:val="00D04B53"/>
    <w:rsid w:val="00D04BCC"/>
    <w:rsid w:val="00D04CC6"/>
    <w:rsid w:val="00D04D1C"/>
    <w:rsid w:val="00D04E6B"/>
    <w:rsid w:val="00D04EA1"/>
    <w:rsid w:val="00D05121"/>
    <w:rsid w:val="00D0514E"/>
    <w:rsid w:val="00D054F6"/>
    <w:rsid w:val="00D055C4"/>
    <w:rsid w:val="00D056BF"/>
    <w:rsid w:val="00D064A2"/>
    <w:rsid w:val="00D06617"/>
    <w:rsid w:val="00D06B2A"/>
    <w:rsid w:val="00D06F88"/>
    <w:rsid w:val="00D0711B"/>
    <w:rsid w:val="00D071CB"/>
    <w:rsid w:val="00D074AA"/>
    <w:rsid w:val="00D074C4"/>
    <w:rsid w:val="00D074E3"/>
    <w:rsid w:val="00D07954"/>
    <w:rsid w:val="00D07FF7"/>
    <w:rsid w:val="00D10805"/>
    <w:rsid w:val="00D10829"/>
    <w:rsid w:val="00D10B0A"/>
    <w:rsid w:val="00D110C3"/>
    <w:rsid w:val="00D11105"/>
    <w:rsid w:val="00D1153B"/>
    <w:rsid w:val="00D115F4"/>
    <w:rsid w:val="00D11604"/>
    <w:rsid w:val="00D11B4A"/>
    <w:rsid w:val="00D11C8B"/>
    <w:rsid w:val="00D11FAA"/>
    <w:rsid w:val="00D1269C"/>
    <w:rsid w:val="00D12ADC"/>
    <w:rsid w:val="00D12C76"/>
    <w:rsid w:val="00D12D7E"/>
    <w:rsid w:val="00D12F30"/>
    <w:rsid w:val="00D13298"/>
    <w:rsid w:val="00D134B3"/>
    <w:rsid w:val="00D13836"/>
    <w:rsid w:val="00D13C7E"/>
    <w:rsid w:val="00D149D4"/>
    <w:rsid w:val="00D15023"/>
    <w:rsid w:val="00D15E26"/>
    <w:rsid w:val="00D16343"/>
    <w:rsid w:val="00D164EF"/>
    <w:rsid w:val="00D16BEA"/>
    <w:rsid w:val="00D16F65"/>
    <w:rsid w:val="00D171FC"/>
    <w:rsid w:val="00D17453"/>
    <w:rsid w:val="00D177E8"/>
    <w:rsid w:val="00D17A1E"/>
    <w:rsid w:val="00D20461"/>
    <w:rsid w:val="00D206A9"/>
    <w:rsid w:val="00D209C1"/>
    <w:rsid w:val="00D20A22"/>
    <w:rsid w:val="00D20F36"/>
    <w:rsid w:val="00D2135F"/>
    <w:rsid w:val="00D217D2"/>
    <w:rsid w:val="00D21B0A"/>
    <w:rsid w:val="00D2201F"/>
    <w:rsid w:val="00D221D3"/>
    <w:rsid w:val="00D2365A"/>
    <w:rsid w:val="00D23CD9"/>
    <w:rsid w:val="00D242F7"/>
    <w:rsid w:val="00D242F9"/>
    <w:rsid w:val="00D2582F"/>
    <w:rsid w:val="00D25EB0"/>
    <w:rsid w:val="00D26249"/>
    <w:rsid w:val="00D26616"/>
    <w:rsid w:val="00D26F92"/>
    <w:rsid w:val="00D27100"/>
    <w:rsid w:val="00D27517"/>
    <w:rsid w:val="00D27709"/>
    <w:rsid w:val="00D27ACB"/>
    <w:rsid w:val="00D27BEA"/>
    <w:rsid w:val="00D27D8A"/>
    <w:rsid w:val="00D27DFF"/>
    <w:rsid w:val="00D27EB4"/>
    <w:rsid w:val="00D3010D"/>
    <w:rsid w:val="00D30CA6"/>
    <w:rsid w:val="00D314B3"/>
    <w:rsid w:val="00D316C9"/>
    <w:rsid w:val="00D317A1"/>
    <w:rsid w:val="00D31C3F"/>
    <w:rsid w:val="00D32320"/>
    <w:rsid w:val="00D32404"/>
    <w:rsid w:val="00D328FA"/>
    <w:rsid w:val="00D32D23"/>
    <w:rsid w:val="00D32EE7"/>
    <w:rsid w:val="00D33326"/>
    <w:rsid w:val="00D33946"/>
    <w:rsid w:val="00D33C58"/>
    <w:rsid w:val="00D34949"/>
    <w:rsid w:val="00D34C40"/>
    <w:rsid w:val="00D350AA"/>
    <w:rsid w:val="00D353BF"/>
    <w:rsid w:val="00D35C79"/>
    <w:rsid w:val="00D36257"/>
    <w:rsid w:val="00D3673D"/>
    <w:rsid w:val="00D36FC2"/>
    <w:rsid w:val="00D37863"/>
    <w:rsid w:val="00D37D0A"/>
    <w:rsid w:val="00D37EAA"/>
    <w:rsid w:val="00D409EB"/>
    <w:rsid w:val="00D40B4D"/>
    <w:rsid w:val="00D410F6"/>
    <w:rsid w:val="00D4154A"/>
    <w:rsid w:val="00D41747"/>
    <w:rsid w:val="00D41B47"/>
    <w:rsid w:val="00D41B5F"/>
    <w:rsid w:val="00D41F2A"/>
    <w:rsid w:val="00D41FD0"/>
    <w:rsid w:val="00D4233A"/>
    <w:rsid w:val="00D42912"/>
    <w:rsid w:val="00D42EF7"/>
    <w:rsid w:val="00D4333B"/>
    <w:rsid w:val="00D43673"/>
    <w:rsid w:val="00D438E4"/>
    <w:rsid w:val="00D43AE7"/>
    <w:rsid w:val="00D4496F"/>
    <w:rsid w:val="00D44BE1"/>
    <w:rsid w:val="00D44F67"/>
    <w:rsid w:val="00D4551B"/>
    <w:rsid w:val="00D458BD"/>
    <w:rsid w:val="00D45A13"/>
    <w:rsid w:val="00D46D02"/>
    <w:rsid w:val="00D46E97"/>
    <w:rsid w:val="00D47248"/>
    <w:rsid w:val="00D4759B"/>
    <w:rsid w:val="00D477C9"/>
    <w:rsid w:val="00D47842"/>
    <w:rsid w:val="00D47DAF"/>
    <w:rsid w:val="00D47F06"/>
    <w:rsid w:val="00D504DC"/>
    <w:rsid w:val="00D505AC"/>
    <w:rsid w:val="00D50642"/>
    <w:rsid w:val="00D50CFA"/>
    <w:rsid w:val="00D50E22"/>
    <w:rsid w:val="00D51421"/>
    <w:rsid w:val="00D51470"/>
    <w:rsid w:val="00D51D6D"/>
    <w:rsid w:val="00D51D8A"/>
    <w:rsid w:val="00D5274E"/>
    <w:rsid w:val="00D52B59"/>
    <w:rsid w:val="00D52F9C"/>
    <w:rsid w:val="00D53164"/>
    <w:rsid w:val="00D5346A"/>
    <w:rsid w:val="00D5350A"/>
    <w:rsid w:val="00D53873"/>
    <w:rsid w:val="00D53981"/>
    <w:rsid w:val="00D54312"/>
    <w:rsid w:val="00D547FC"/>
    <w:rsid w:val="00D54924"/>
    <w:rsid w:val="00D54B33"/>
    <w:rsid w:val="00D54ECD"/>
    <w:rsid w:val="00D561BB"/>
    <w:rsid w:val="00D56274"/>
    <w:rsid w:val="00D565F6"/>
    <w:rsid w:val="00D566C8"/>
    <w:rsid w:val="00D56851"/>
    <w:rsid w:val="00D56909"/>
    <w:rsid w:val="00D56CF5"/>
    <w:rsid w:val="00D570E1"/>
    <w:rsid w:val="00D57149"/>
    <w:rsid w:val="00D571AE"/>
    <w:rsid w:val="00D5723B"/>
    <w:rsid w:val="00D57346"/>
    <w:rsid w:val="00D57CB7"/>
    <w:rsid w:val="00D57F67"/>
    <w:rsid w:val="00D6054F"/>
    <w:rsid w:val="00D60695"/>
    <w:rsid w:val="00D60EBB"/>
    <w:rsid w:val="00D6109C"/>
    <w:rsid w:val="00D611D2"/>
    <w:rsid w:val="00D613DF"/>
    <w:rsid w:val="00D61521"/>
    <w:rsid w:val="00D618F9"/>
    <w:rsid w:val="00D619DC"/>
    <w:rsid w:val="00D61D0A"/>
    <w:rsid w:val="00D61DA2"/>
    <w:rsid w:val="00D62257"/>
    <w:rsid w:val="00D624C3"/>
    <w:rsid w:val="00D62A81"/>
    <w:rsid w:val="00D62C9D"/>
    <w:rsid w:val="00D62FBC"/>
    <w:rsid w:val="00D63146"/>
    <w:rsid w:val="00D63271"/>
    <w:rsid w:val="00D633B3"/>
    <w:rsid w:val="00D63403"/>
    <w:rsid w:val="00D635B9"/>
    <w:rsid w:val="00D63C1B"/>
    <w:rsid w:val="00D64F2E"/>
    <w:rsid w:val="00D653D6"/>
    <w:rsid w:val="00D657CD"/>
    <w:rsid w:val="00D65AFB"/>
    <w:rsid w:val="00D65C81"/>
    <w:rsid w:val="00D65CAB"/>
    <w:rsid w:val="00D65F48"/>
    <w:rsid w:val="00D660D7"/>
    <w:rsid w:val="00D66506"/>
    <w:rsid w:val="00D6661B"/>
    <w:rsid w:val="00D6733E"/>
    <w:rsid w:val="00D677D7"/>
    <w:rsid w:val="00D678D6"/>
    <w:rsid w:val="00D6797D"/>
    <w:rsid w:val="00D7049F"/>
    <w:rsid w:val="00D7058A"/>
    <w:rsid w:val="00D706EA"/>
    <w:rsid w:val="00D70CAA"/>
    <w:rsid w:val="00D71491"/>
    <w:rsid w:val="00D715D0"/>
    <w:rsid w:val="00D71F90"/>
    <w:rsid w:val="00D72053"/>
    <w:rsid w:val="00D72196"/>
    <w:rsid w:val="00D7252B"/>
    <w:rsid w:val="00D731A1"/>
    <w:rsid w:val="00D737C7"/>
    <w:rsid w:val="00D73BCC"/>
    <w:rsid w:val="00D743C3"/>
    <w:rsid w:val="00D74470"/>
    <w:rsid w:val="00D74561"/>
    <w:rsid w:val="00D745D5"/>
    <w:rsid w:val="00D748C2"/>
    <w:rsid w:val="00D75145"/>
    <w:rsid w:val="00D758F5"/>
    <w:rsid w:val="00D766C8"/>
    <w:rsid w:val="00D76951"/>
    <w:rsid w:val="00D769A7"/>
    <w:rsid w:val="00D76EAC"/>
    <w:rsid w:val="00D778AD"/>
    <w:rsid w:val="00D77F68"/>
    <w:rsid w:val="00D77FD1"/>
    <w:rsid w:val="00D80200"/>
    <w:rsid w:val="00D803C6"/>
    <w:rsid w:val="00D808B8"/>
    <w:rsid w:val="00D81234"/>
    <w:rsid w:val="00D8129C"/>
    <w:rsid w:val="00D8163F"/>
    <w:rsid w:val="00D81912"/>
    <w:rsid w:val="00D81D7C"/>
    <w:rsid w:val="00D820C5"/>
    <w:rsid w:val="00D82160"/>
    <w:rsid w:val="00D82743"/>
    <w:rsid w:val="00D827CA"/>
    <w:rsid w:val="00D82A46"/>
    <w:rsid w:val="00D82C18"/>
    <w:rsid w:val="00D82E47"/>
    <w:rsid w:val="00D830C9"/>
    <w:rsid w:val="00D831A6"/>
    <w:rsid w:val="00D83247"/>
    <w:rsid w:val="00D83352"/>
    <w:rsid w:val="00D83F5A"/>
    <w:rsid w:val="00D841D9"/>
    <w:rsid w:val="00D8423F"/>
    <w:rsid w:val="00D842EA"/>
    <w:rsid w:val="00D84CCF"/>
    <w:rsid w:val="00D85107"/>
    <w:rsid w:val="00D85242"/>
    <w:rsid w:val="00D855E7"/>
    <w:rsid w:val="00D858EB"/>
    <w:rsid w:val="00D85A19"/>
    <w:rsid w:val="00D85BA3"/>
    <w:rsid w:val="00D85DB3"/>
    <w:rsid w:val="00D869FD"/>
    <w:rsid w:val="00D86E59"/>
    <w:rsid w:val="00D86EAB"/>
    <w:rsid w:val="00D86EC6"/>
    <w:rsid w:val="00D87369"/>
    <w:rsid w:val="00D90280"/>
    <w:rsid w:val="00D90374"/>
    <w:rsid w:val="00D904A0"/>
    <w:rsid w:val="00D904BB"/>
    <w:rsid w:val="00D90B34"/>
    <w:rsid w:val="00D91404"/>
    <w:rsid w:val="00D91408"/>
    <w:rsid w:val="00D915F7"/>
    <w:rsid w:val="00D91BBD"/>
    <w:rsid w:val="00D9256E"/>
    <w:rsid w:val="00D928E6"/>
    <w:rsid w:val="00D92C89"/>
    <w:rsid w:val="00D92E2D"/>
    <w:rsid w:val="00D931F1"/>
    <w:rsid w:val="00D933CC"/>
    <w:rsid w:val="00D93762"/>
    <w:rsid w:val="00D93E10"/>
    <w:rsid w:val="00D93EA5"/>
    <w:rsid w:val="00D944E7"/>
    <w:rsid w:val="00D944FF"/>
    <w:rsid w:val="00D94627"/>
    <w:rsid w:val="00D946C3"/>
    <w:rsid w:val="00D94A78"/>
    <w:rsid w:val="00D94E9D"/>
    <w:rsid w:val="00D95A22"/>
    <w:rsid w:val="00D95B26"/>
    <w:rsid w:val="00D96592"/>
    <w:rsid w:val="00D96840"/>
    <w:rsid w:val="00D96A90"/>
    <w:rsid w:val="00D971E0"/>
    <w:rsid w:val="00D97249"/>
    <w:rsid w:val="00D975E0"/>
    <w:rsid w:val="00D9771E"/>
    <w:rsid w:val="00D9779D"/>
    <w:rsid w:val="00D97D0F"/>
    <w:rsid w:val="00DA0354"/>
    <w:rsid w:val="00DA0508"/>
    <w:rsid w:val="00DA05CA"/>
    <w:rsid w:val="00DA06E1"/>
    <w:rsid w:val="00DA0D08"/>
    <w:rsid w:val="00DA0DEB"/>
    <w:rsid w:val="00DA0F3B"/>
    <w:rsid w:val="00DA11AD"/>
    <w:rsid w:val="00DA1440"/>
    <w:rsid w:val="00DA1AE2"/>
    <w:rsid w:val="00DA1B7B"/>
    <w:rsid w:val="00DA1E1A"/>
    <w:rsid w:val="00DA1EF1"/>
    <w:rsid w:val="00DA203C"/>
    <w:rsid w:val="00DA27D3"/>
    <w:rsid w:val="00DA2806"/>
    <w:rsid w:val="00DA2973"/>
    <w:rsid w:val="00DA2A10"/>
    <w:rsid w:val="00DA32B3"/>
    <w:rsid w:val="00DA393B"/>
    <w:rsid w:val="00DA3A9D"/>
    <w:rsid w:val="00DA3CED"/>
    <w:rsid w:val="00DA42E4"/>
    <w:rsid w:val="00DA4792"/>
    <w:rsid w:val="00DA4E55"/>
    <w:rsid w:val="00DA54CD"/>
    <w:rsid w:val="00DA5E74"/>
    <w:rsid w:val="00DA5F1D"/>
    <w:rsid w:val="00DA6421"/>
    <w:rsid w:val="00DA64FA"/>
    <w:rsid w:val="00DA669D"/>
    <w:rsid w:val="00DA6736"/>
    <w:rsid w:val="00DA6986"/>
    <w:rsid w:val="00DA74FD"/>
    <w:rsid w:val="00DA75AF"/>
    <w:rsid w:val="00DA76D3"/>
    <w:rsid w:val="00DA7AE7"/>
    <w:rsid w:val="00DA7F0F"/>
    <w:rsid w:val="00DB00A1"/>
    <w:rsid w:val="00DB02E8"/>
    <w:rsid w:val="00DB0648"/>
    <w:rsid w:val="00DB09E2"/>
    <w:rsid w:val="00DB0CB5"/>
    <w:rsid w:val="00DB110B"/>
    <w:rsid w:val="00DB1352"/>
    <w:rsid w:val="00DB18A3"/>
    <w:rsid w:val="00DB19F7"/>
    <w:rsid w:val="00DB1F15"/>
    <w:rsid w:val="00DB1FA2"/>
    <w:rsid w:val="00DB1FBE"/>
    <w:rsid w:val="00DB20CC"/>
    <w:rsid w:val="00DB2B11"/>
    <w:rsid w:val="00DB34F4"/>
    <w:rsid w:val="00DB39FA"/>
    <w:rsid w:val="00DB4498"/>
    <w:rsid w:val="00DB55AA"/>
    <w:rsid w:val="00DB5643"/>
    <w:rsid w:val="00DB56B1"/>
    <w:rsid w:val="00DB5ADF"/>
    <w:rsid w:val="00DB5BCB"/>
    <w:rsid w:val="00DB5F3B"/>
    <w:rsid w:val="00DB6B8B"/>
    <w:rsid w:val="00DB6C8E"/>
    <w:rsid w:val="00DB7115"/>
    <w:rsid w:val="00DB74DA"/>
    <w:rsid w:val="00DB78B2"/>
    <w:rsid w:val="00DB793C"/>
    <w:rsid w:val="00DB7FA9"/>
    <w:rsid w:val="00DC0599"/>
    <w:rsid w:val="00DC06B3"/>
    <w:rsid w:val="00DC06F6"/>
    <w:rsid w:val="00DC0DC9"/>
    <w:rsid w:val="00DC1763"/>
    <w:rsid w:val="00DC1BAD"/>
    <w:rsid w:val="00DC1C3F"/>
    <w:rsid w:val="00DC236D"/>
    <w:rsid w:val="00DC2A65"/>
    <w:rsid w:val="00DC2E5D"/>
    <w:rsid w:val="00DC2F0E"/>
    <w:rsid w:val="00DC35CA"/>
    <w:rsid w:val="00DC3642"/>
    <w:rsid w:val="00DC36E6"/>
    <w:rsid w:val="00DC3857"/>
    <w:rsid w:val="00DC3C85"/>
    <w:rsid w:val="00DC4019"/>
    <w:rsid w:val="00DC47B0"/>
    <w:rsid w:val="00DC47EF"/>
    <w:rsid w:val="00DC4A50"/>
    <w:rsid w:val="00DC4FE0"/>
    <w:rsid w:val="00DC50DF"/>
    <w:rsid w:val="00DC536B"/>
    <w:rsid w:val="00DC5A05"/>
    <w:rsid w:val="00DC5AC4"/>
    <w:rsid w:val="00DC5AF5"/>
    <w:rsid w:val="00DC5E16"/>
    <w:rsid w:val="00DC5FA5"/>
    <w:rsid w:val="00DC6427"/>
    <w:rsid w:val="00DC6665"/>
    <w:rsid w:val="00DC67D5"/>
    <w:rsid w:val="00DC68DC"/>
    <w:rsid w:val="00DC6FA7"/>
    <w:rsid w:val="00DC728C"/>
    <w:rsid w:val="00DC750E"/>
    <w:rsid w:val="00DC7B10"/>
    <w:rsid w:val="00DC7C43"/>
    <w:rsid w:val="00DD039A"/>
    <w:rsid w:val="00DD08C6"/>
    <w:rsid w:val="00DD0B31"/>
    <w:rsid w:val="00DD0E49"/>
    <w:rsid w:val="00DD1236"/>
    <w:rsid w:val="00DD181D"/>
    <w:rsid w:val="00DD186B"/>
    <w:rsid w:val="00DD186F"/>
    <w:rsid w:val="00DD18C5"/>
    <w:rsid w:val="00DD1D66"/>
    <w:rsid w:val="00DD2714"/>
    <w:rsid w:val="00DD28F0"/>
    <w:rsid w:val="00DD3039"/>
    <w:rsid w:val="00DD33EF"/>
    <w:rsid w:val="00DD3481"/>
    <w:rsid w:val="00DD3499"/>
    <w:rsid w:val="00DD37B1"/>
    <w:rsid w:val="00DD38CD"/>
    <w:rsid w:val="00DD39BF"/>
    <w:rsid w:val="00DD3E4F"/>
    <w:rsid w:val="00DD45D4"/>
    <w:rsid w:val="00DD4C0F"/>
    <w:rsid w:val="00DD4D3A"/>
    <w:rsid w:val="00DD4FF8"/>
    <w:rsid w:val="00DD5055"/>
    <w:rsid w:val="00DD54E3"/>
    <w:rsid w:val="00DD57D0"/>
    <w:rsid w:val="00DD620F"/>
    <w:rsid w:val="00DD6F88"/>
    <w:rsid w:val="00DD740F"/>
    <w:rsid w:val="00DD76E2"/>
    <w:rsid w:val="00DD7703"/>
    <w:rsid w:val="00DD797E"/>
    <w:rsid w:val="00DD79F7"/>
    <w:rsid w:val="00DD7BD7"/>
    <w:rsid w:val="00DE01E5"/>
    <w:rsid w:val="00DE027D"/>
    <w:rsid w:val="00DE0549"/>
    <w:rsid w:val="00DE076F"/>
    <w:rsid w:val="00DE09C9"/>
    <w:rsid w:val="00DE0E2B"/>
    <w:rsid w:val="00DE0E71"/>
    <w:rsid w:val="00DE0F77"/>
    <w:rsid w:val="00DE12B4"/>
    <w:rsid w:val="00DE1D66"/>
    <w:rsid w:val="00DE2059"/>
    <w:rsid w:val="00DE20DA"/>
    <w:rsid w:val="00DE2744"/>
    <w:rsid w:val="00DE27BD"/>
    <w:rsid w:val="00DE28DE"/>
    <w:rsid w:val="00DE345A"/>
    <w:rsid w:val="00DE3561"/>
    <w:rsid w:val="00DE3AA2"/>
    <w:rsid w:val="00DE3D20"/>
    <w:rsid w:val="00DE3D69"/>
    <w:rsid w:val="00DE4196"/>
    <w:rsid w:val="00DE42EB"/>
    <w:rsid w:val="00DE45E1"/>
    <w:rsid w:val="00DE4C45"/>
    <w:rsid w:val="00DE4E36"/>
    <w:rsid w:val="00DE4F7A"/>
    <w:rsid w:val="00DE52AD"/>
    <w:rsid w:val="00DE61E7"/>
    <w:rsid w:val="00DE6308"/>
    <w:rsid w:val="00DE6537"/>
    <w:rsid w:val="00DE693A"/>
    <w:rsid w:val="00DE69D6"/>
    <w:rsid w:val="00DE6A0B"/>
    <w:rsid w:val="00DE6B35"/>
    <w:rsid w:val="00DE6DF2"/>
    <w:rsid w:val="00DE7972"/>
    <w:rsid w:val="00DE7B17"/>
    <w:rsid w:val="00DE7B7E"/>
    <w:rsid w:val="00DE7DBD"/>
    <w:rsid w:val="00DF047F"/>
    <w:rsid w:val="00DF065C"/>
    <w:rsid w:val="00DF0775"/>
    <w:rsid w:val="00DF07E5"/>
    <w:rsid w:val="00DF0C84"/>
    <w:rsid w:val="00DF104E"/>
    <w:rsid w:val="00DF15DD"/>
    <w:rsid w:val="00DF17FA"/>
    <w:rsid w:val="00DF1C9E"/>
    <w:rsid w:val="00DF1EBA"/>
    <w:rsid w:val="00DF1EC7"/>
    <w:rsid w:val="00DF2022"/>
    <w:rsid w:val="00DF2479"/>
    <w:rsid w:val="00DF2C54"/>
    <w:rsid w:val="00DF33C3"/>
    <w:rsid w:val="00DF343D"/>
    <w:rsid w:val="00DF35E7"/>
    <w:rsid w:val="00DF37EF"/>
    <w:rsid w:val="00DF3AAE"/>
    <w:rsid w:val="00DF3FAE"/>
    <w:rsid w:val="00DF420A"/>
    <w:rsid w:val="00DF453A"/>
    <w:rsid w:val="00DF4771"/>
    <w:rsid w:val="00DF4C2E"/>
    <w:rsid w:val="00DF5052"/>
    <w:rsid w:val="00DF5447"/>
    <w:rsid w:val="00DF5506"/>
    <w:rsid w:val="00DF5823"/>
    <w:rsid w:val="00DF5D15"/>
    <w:rsid w:val="00DF5F62"/>
    <w:rsid w:val="00DF6859"/>
    <w:rsid w:val="00DF750E"/>
    <w:rsid w:val="00DF7706"/>
    <w:rsid w:val="00DF795B"/>
    <w:rsid w:val="00DF7BBC"/>
    <w:rsid w:val="00DF7E68"/>
    <w:rsid w:val="00E002FE"/>
    <w:rsid w:val="00E0159B"/>
    <w:rsid w:val="00E01EEC"/>
    <w:rsid w:val="00E01FCF"/>
    <w:rsid w:val="00E0237B"/>
    <w:rsid w:val="00E02425"/>
    <w:rsid w:val="00E024F1"/>
    <w:rsid w:val="00E026C7"/>
    <w:rsid w:val="00E03710"/>
    <w:rsid w:val="00E037F3"/>
    <w:rsid w:val="00E038FD"/>
    <w:rsid w:val="00E03D87"/>
    <w:rsid w:val="00E04007"/>
    <w:rsid w:val="00E04521"/>
    <w:rsid w:val="00E0469E"/>
    <w:rsid w:val="00E0487F"/>
    <w:rsid w:val="00E04D23"/>
    <w:rsid w:val="00E04F23"/>
    <w:rsid w:val="00E058E6"/>
    <w:rsid w:val="00E0593F"/>
    <w:rsid w:val="00E05AA4"/>
    <w:rsid w:val="00E05CAB"/>
    <w:rsid w:val="00E05ED8"/>
    <w:rsid w:val="00E060B3"/>
    <w:rsid w:val="00E06559"/>
    <w:rsid w:val="00E06726"/>
    <w:rsid w:val="00E069F1"/>
    <w:rsid w:val="00E06F52"/>
    <w:rsid w:val="00E071C3"/>
    <w:rsid w:val="00E071E0"/>
    <w:rsid w:val="00E07354"/>
    <w:rsid w:val="00E07609"/>
    <w:rsid w:val="00E10065"/>
    <w:rsid w:val="00E10F77"/>
    <w:rsid w:val="00E1116F"/>
    <w:rsid w:val="00E11397"/>
    <w:rsid w:val="00E114DB"/>
    <w:rsid w:val="00E116FC"/>
    <w:rsid w:val="00E1170C"/>
    <w:rsid w:val="00E11E67"/>
    <w:rsid w:val="00E11FCC"/>
    <w:rsid w:val="00E12426"/>
    <w:rsid w:val="00E131C8"/>
    <w:rsid w:val="00E132FB"/>
    <w:rsid w:val="00E13637"/>
    <w:rsid w:val="00E13B1A"/>
    <w:rsid w:val="00E13BF0"/>
    <w:rsid w:val="00E13EDC"/>
    <w:rsid w:val="00E143B0"/>
    <w:rsid w:val="00E144BA"/>
    <w:rsid w:val="00E145BF"/>
    <w:rsid w:val="00E147B0"/>
    <w:rsid w:val="00E148A1"/>
    <w:rsid w:val="00E14A8B"/>
    <w:rsid w:val="00E14E2C"/>
    <w:rsid w:val="00E14F59"/>
    <w:rsid w:val="00E15514"/>
    <w:rsid w:val="00E1552B"/>
    <w:rsid w:val="00E156E2"/>
    <w:rsid w:val="00E157CC"/>
    <w:rsid w:val="00E157D2"/>
    <w:rsid w:val="00E1584B"/>
    <w:rsid w:val="00E15DB4"/>
    <w:rsid w:val="00E161B9"/>
    <w:rsid w:val="00E16757"/>
    <w:rsid w:val="00E16F52"/>
    <w:rsid w:val="00E176E6"/>
    <w:rsid w:val="00E17E7B"/>
    <w:rsid w:val="00E17EA1"/>
    <w:rsid w:val="00E20603"/>
    <w:rsid w:val="00E20BC7"/>
    <w:rsid w:val="00E21468"/>
    <w:rsid w:val="00E21568"/>
    <w:rsid w:val="00E21643"/>
    <w:rsid w:val="00E2173D"/>
    <w:rsid w:val="00E219A5"/>
    <w:rsid w:val="00E220D3"/>
    <w:rsid w:val="00E221A9"/>
    <w:rsid w:val="00E226A5"/>
    <w:rsid w:val="00E227FB"/>
    <w:rsid w:val="00E22928"/>
    <w:rsid w:val="00E22B6A"/>
    <w:rsid w:val="00E22B8B"/>
    <w:rsid w:val="00E2345F"/>
    <w:rsid w:val="00E234F8"/>
    <w:rsid w:val="00E23565"/>
    <w:rsid w:val="00E23DDF"/>
    <w:rsid w:val="00E2414C"/>
    <w:rsid w:val="00E24479"/>
    <w:rsid w:val="00E25171"/>
    <w:rsid w:val="00E25E14"/>
    <w:rsid w:val="00E26631"/>
    <w:rsid w:val="00E2697F"/>
    <w:rsid w:val="00E27317"/>
    <w:rsid w:val="00E273B4"/>
    <w:rsid w:val="00E27506"/>
    <w:rsid w:val="00E275A8"/>
    <w:rsid w:val="00E27713"/>
    <w:rsid w:val="00E2782F"/>
    <w:rsid w:val="00E278BD"/>
    <w:rsid w:val="00E30788"/>
    <w:rsid w:val="00E30789"/>
    <w:rsid w:val="00E30D4A"/>
    <w:rsid w:val="00E31785"/>
    <w:rsid w:val="00E31CB1"/>
    <w:rsid w:val="00E31FA3"/>
    <w:rsid w:val="00E32190"/>
    <w:rsid w:val="00E32502"/>
    <w:rsid w:val="00E32C59"/>
    <w:rsid w:val="00E32CBC"/>
    <w:rsid w:val="00E3320C"/>
    <w:rsid w:val="00E33F5C"/>
    <w:rsid w:val="00E340F0"/>
    <w:rsid w:val="00E34181"/>
    <w:rsid w:val="00E3491E"/>
    <w:rsid w:val="00E3506E"/>
    <w:rsid w:val="00E35D4B"/>
    <w:rsid w:val="00E35EB8"/>
    <w:rsid w:val="00E36065"/>
    <w:rsid w:val="00E36568"/>
    <w:rsid w:val="00E36C76"/>
    <w:rsid w:val="00E36D39"/>
    <w:rsid w:val="00E36EF9"/>
    <w:rsid w:val="00E37226"/>
    <w:rsid w:val="00E37782"/>
    <w:rsid w:val="00E377A1"/>
    <w:rsid w:val="00E378D8"/>
    <w:rsid w:val="00E401F3"/>
    <w:rsid w:val="00E406DC"/>
    <w:rsid w:val="00E4080D"/>
    <w:rsid w:val="00E40868"/>
    <w:rsid w:val="00E40C1C"/>
    <w:rsid w:val="00E40FC9"/>
    <w:rsid w:val="00E41168"/>
    <w:rsid w:val="00E413F3"/>
    <w:rsid w:val="00E41D65"/>
    <w:rsid w:val="00E41E8E"/>
    <w:rsid w:val="00E41F6B"/>
    <w:rsid w:val="00E421CF"/>
    <w:rsid w:val="00E42259"/>
    <w:rsid w:val="00E42324"/>
    <w:rsid w:val="00E42B5A"/>
    <w:rsid w:val="00E42BFE"/>
    <w:rsid w:val="00E42DAC"/>
    <w:rsid w:val="00E43E08"/>
    <w:rsid w:val="00E4404B"/>
    <w:rsid w:val="00E4427A"/>
    <w:rsid w:val="00E44AFC"/>
    <w:rsid w:val="00E44B9E"/>
    <w:rsid w:val="00E44DEC"/>
    <w:rsid w:val="00E45140"/>
    <w:rsid w:val="00E458F6"/>
    <w:rsid w:val="00E46137"/>
    <w:rsid w:val="00E4619F"/>
    <w:rsid w:val="00E46287"/>
    <w:rsid w:val="00E46D63"/>
    <w:rsid w:val="00E470F2"/>
    <w:rsid w:val="00E473D8"/>
    <w:rsid w:val="00E47666"/>
    <w:rsid w:val="00E47757"/>
    <w:rsid w:val="00E47B7A"/>
    <w:rsid w:val="00E47C8C"/>
    <w:rsid w:val="00E502A7"/>
    <w:rsid w:val="00E507C8"/>
    <w:rsid w:val="00E50C63"/>
    <w:rsid w:val="00E50CC0"/>
    <w:rsid w:val="00E51380"/>
    <w:rsid w:val="00E5169F"/>
    <w:rsid w:val="00E519CE"/>
    <w:rsid w:val="00E519DC"/>
    <w:rsid w:val="00E51C89"/>
    <w:rsid w:val="00E51E88"/>
    <w:rsid w:val="00E524F0"/>
    <w:rsid w:val="00E52928"/>
    <w:rsid w:val="00E52D5D"/>
    <w:rsid w:val="00E531FB"/>
    <w:rsid w:val="00E5330E"/>
    <w:rsid w:val="00E53584"/>
    <w:rsid w:val="00E53883"/>
    <w:rsid w:val="00E53D71"/>
    <w:rsid w:val="00E54298"/>
    <w:rsid w:val="00E547AE"/>
    <w:rsid w:val="00E5487B"/>
    <w:rsid w:val="00E548E8"/>
    <w:rsid w:val="00E54A07"/>
    <w:rsid w:val="00E54DAC"/>
    <w:rsid w:val="00E5501B"/>
    <w:rsid w:val="00E553B2"/>
    <w:rsid w:val="00E55764"/>
    <w:rsid w:val="00E55E55"/>
    <w:rsid w:val="00E56091"/>
    <w:rsid w:val="00E56393"/>
    <w:rsid w:val="00E564BF"/>
    <w:rsid w:val="00E56986"/>
    <w:rsid w:val="00E56AB7"/>
    <w:rsid w:val="00E5716B"/>
    <w:rsid w:val="00E5750D"/>
    <w:rsid w:val="00E57533"/>
    <w:rsid w:val="00E5782E"/>
    <w:rsid w:val="00E57E91"/>
    <w:rsid w:val="00E6019E"/>
    <w:rsid w:val="00E6081E"/>
    <w:rsid w:val="00E60856"/>
    <w:rsid w:val="00E60AE7"/>
    <w:rsid w:val="00E60EF3"/>
    <w:rsid w:val="00E612CC"/>
    <w:rsid w:val="00E6154E"/>
    <w:rsid w:val="00E62499"/>
    <w:rsid w:val="00E627C2"/>
    <w:rsid w:val="00E62C13"/>
    <w:rsid w:val="00E62DA3"/>
    <w:rsid w:val="00E631BA"/>
    <w:rsid w:val="00E63385"/>
    <w:rsid w:val="00E63642"/>
    <w:rsid w:val="00E6370F"/>
    <w:rsid w:val="00E63BCC"/>
    <w:rsid w:val="00E6445A"/>
    <w:rsid w:val="00E64AE8"/>
    <w:rsid w:val="00E64E76"/>
    <w:rsid w:val="00E6604E"/>
    <w:rsid w:val="00E66BE5"/>
    <w:rsid w:val="00E66E60"/>
    <w:rsid w:val="00E67095"/>
    <w:rsid w:val="00E670E7"/>
    <w:rsid w:val="00E679B0"/>
    <w:rsid w:val="00E7048E"/>
    <w:rsid w:val="00E70651"/>
    <w:rsid w:val="00E707F3"/>
    <w:rsid w:val="00E70A84"/>
    <w:rsid w:val="00E7111F"/>
    <w:rsid w:val="00E71179"/>
    <w:rsid w:val="00E711E3"/>
    <w:rsid w:val="00E71437"/>
    <w:rsid w:val="00E7199C"/>
    <w:rsid w:val="00E719FC"/>
    <w:rsid w:val="00E71D8B"/>
    <w:rsid w:val="00E72234"/>
    <w:rsid w:val="00E72387"/>
    <w:rsid w:val="00E7253C"/>
    <w:rsid w:val="00E72737"/>
    <w:rsid w:val="00E72743"/>
    <w:rsid w:val="00E72D10"/>
    <w:rsid w:val="00E72DDF"/>
    <w:rsid w:val="00E73590"/>
    <w:rsid w:val="00E736B6"/>
    <w:rsid w:val="00E73C2D"/>
    <w:rsid w:val="00E7458C"/>
    <w:rsid w:val="00E7499E"/>
    <w:rsid w:val="00E74CBB"/>
    <w:rsid w:val="00E74F43"/>
    <w:rsid w:val="00E7534C"/>
    <w:rsid w:val="00E7577D"/>
    <w:rsid w:val="00E758AC"/>
    <w:rsid w:val="00E763C6"/>
    <w:rsid w:val="00E7660E"/>
    <w:rsid w:val="00E76C02"/>
    <w:rsid w:val="00E76CF7"/>
    <w:rsid w:val="00E76D5F"/>
    <w:rsid w:val="00E7706D"/>
    <w:rsid w:val="00E811F6"/>
    <w:rsid w:val="00E81456"/>
    <w:rsid w:val="00E81556"/>
    <w:rsid w:val="00E81AB4"/>
    <w:rsid w:val="00E81F52"/>
    <w:rsid w:val="00E81FF7"/>
    <w:rsid w:val="00E822CF"/>
    <w:rsid w:val="00E825FB"/>
    <w:rsid w:val="00E82B8C"/>
    <w:rsid w:val="00E82D5C"/>
    <w:rsid w:val="00E83344"/>
    <w:rsid w:val="00E83B28"/>
    <w:rsid w:val="00E8431C"/>
    <w:rsid w:val="00E84CF5"/>
    <w:rsid w:val="00E85306"/>
    <w:rsid w:val="00E859A1"/>
    <w:rsid w:val="00E863AC"/>
    <w:rsid w:val="00E86E7D"/>
    <w:rsid w:val="00E870BF"/>
    <w:rsid w:val="00E874D0"/>
    <w:rsid w:val="00E8791F"/>
    <w:rsid w:val="00E87C55"/>
    <w:rsid w:val="00E87DE4"/>
    <w:rsid w:val="00E87DFE"/>
    <w:rsid w:val="00E901D6"/>
    <w:rsid w:val="00E903C6"/>
    <w:rsid w:val="00E904E2"/>
    <w:rsid w:val="00E905B6"/>
    <w:rsid w:val="00E906DD"/>
    <w:rsid w:val="00E910A0"/>
    <w:rsid w:val="00E912AA"/>
    <w:rsid w:val="00E917E6"/>
    <w:rsid w:val="00E91D14"/>
    <w:rsid w:val="00E91DF9"/>
    <w:rsid w:val="00E91F67"/>
    <w:rsid w:val="00E92114"/>
    <w:rsid w:val="00E9273C"/>
    <w:rsid w:val="00E928F7"/>
    <w:rsid w:val="00E9293A"/>
    <w:rsid w:val="00E92B4C"/>
    <w:rsid w:val="00E92C07"/>
    <w:rsid w:val="00E933AC"/>
    <w:rsid w:val="00E9395E"/>
    <w:rsid w:val="00E939DD"/>
    <w:rsid w:val="00E93D2C"/>
    <w:rsid w:val="00E93ED8"/>
    <w:rsid w:val="00E93F76"/>
    <w:rsid w:val="00E9428A"/>
    <w:rsid w:val="00E94837"/>
    <w:rsid w:val="00E95257"/>
    <w:rsid w:val="00E9565C"/>
    <w:rsid w:val="00E95A74"/>
    <w:rsid w:val="00E95B00"/>
    <w:rsid w:val="00E95DFC"/>
    <w:rsid w:val="00E95ED4"/>
    <w:rsid w:val="00E960EA"/>
    <w:rsid w:val="00E964AA"/>
    <w:rsid w:val="00E964B0"/>
    <w:rsid w:val="00E96536"/>
    <w:rsid w:val="00E968BB"/>
    <w:rsid w:val="00E968DC"/>
    <w:rsid w:val="00E96C20"/>
    <w:rsid w:val="00E96E52"/>
    <w:rsid w:val="00E971F0"/>
    <w:rsid w:val="00E97486"/>
    <w:rsid w:val="00E97576"/>
    <w:rsid w:val="00E975E3"/>
    <w:rsid w:val="00E975FF"/>
    <w:rsid w:val="00E978D8"/>
    <w:rsid w:val="00E97907"/>
    <w:rsid w:val="00E97944"/>
    <w:rsid w:val="00E97C23"/>
    <w:rsid w:val="00E97C9D"/>
    <w:rsid w:val="00E97E29"/>
    <w:rsid w:val="00E97E43"/>
    <w:rsid w:val="00E97FBF"/>
    <w:rsid w:val="00EA00B3"/>
    <w:rsid w:val="00EA025C"/>
    <w:rsid w:val="00EA02A1"/>
    <w:rsid w:val="00EA057A"/>
    <w:rsid w:val="00EA05F2"/>
    <w:rsid w:val="00EA0901"/>
    <w:rsid w:val="00EA0C87"/>
    <w:rsid w:val="00EA0FDE"/>
    <w:rsid w:val="00EA14D8"/>
    <w:rsid w:val="00EA15DE"/>
    <w:rsid w:val="00EA202F"/>
    <w:rsid w:val="00EA2365"/>
    <w:rsid w:val="00EA24F0"/>
    <w:rsid w:val="00EA283F"/>
    <w:rsid w:val="00EA29C7"/>
    <w:rsid w:val="00EA2BF0"/>
    <w:rsid w:val="00EA2E6F"/>
    <w:rsid w:val="00EA3039"/>
    <w:rsid w:val="00EA3BCD"/>
    <w:rsid w:val="00EA4F8D"/>
    <w:rsid w:val="00EA5C74"/>
    <w:rsid w:val="00EA5CEB"/>
    <w:rsid w:val="00EA6CEA"/>
    <w:rsid w:val="00EA7344"/>
    <w:rsid w:val="00EA7402"/>
    <w:rsid w:val="00EA795F"/>
    <w:rsid w:val="00EA7C76"/>
    <w:rsid w:val="00EA7CC8"/>
    <w:rsid w:val="00EB02CC"/>
    <w:rsid w:val="00EB0341"/>
    <w:rsid w:val="00EB07E2"/>
    <w:rsid w:val="00EB15FE"/>
    <w:rsid w:val="00EB18DD"/>
    <w:rsid w:val="00EB198C"/>
    <w:rsid w:val="00EB1C40"/>
    <w:rsid w:val="00EB1E1E"/>
    <w:rsid w:val="00EB3107"/>
    <w:rsid w:val="00EB3216"/>
    <w:rsid w:val="00EB32DD"/>
    <w:rsid w:val="00EB3300"/>
    <w:rsid w:val="00EB37B6"/>
    <w:rsid w:val="00EB37E7"/>
    <w:rsid w:val="00EB3862"/>
    <w:rsid w:val="00EB3A11"/>
    <w:rsid w:val="00EB3A89"/>
    <w:rsid w:val="00EB3CC2"/>
    <w:rsid w:val="00EB3E35"/>
    <w:rsid w:val="00EB3F2E"/>
    <w:rsid w:val="00EB421C"/>
    <w:rsid w:val="00EB45D3"/>
    <w:rsid w:val="00EB5F5C"/>
    <w:rsid w:val="00EB7D25"/>
    <w:rsid w:val="00EB7FC1"/>
    <w:rsid w:val="00EC002D"/>
    <w:rsid w:val="00EC00ED"/>
    <w:rsid w:val="00EC0FD7"/>
    <w:rsid w:val="00EC19CF"/>
    <w:rsid w:val="00EC19DF"/>
    <w:rsid w:val="00EC1B3C"/>
    <w:rsid w:val="00EC1E62"/>
    <w:rsid w:val="00EC212D"/>
    <w:rsid w:val="00EC2733"/>
    <w:rsid w:val="00EC2868"/>
    <w:rsid w:val="00EC2895"/>
    <w:rsid w:val="00EC2AFB"/>
    <w:rsid w:val="00EC2E69"/>
    <w:rsid w:val="00EC2ED3"/>
    <w:rsid w:val="00EC310D"/>
    <w:rsid w:val="00EC3437"/>
    <w:rsid w:val="00EC385A"/>
    <w:rsid w:val="00EC39EF"/>
    <w:rsid w:val="00EC3A89"/>
    <w:rsid w:val="00EC4951"/>
    <w:rsid w:val="00EC4B35"/>
    <w:rsid w:val="00EC4D70"/>
    <w:rsid w:val="00EC4F8E"/>
    <w:rsid w:val="00EC513A"/>
    <w:rsid w:val="00EC55F2"/>
    <w:rsid w:val="00EC5DD5"/>
    <w:rsid w:val="00EC6488"/>
    <w:rsid w:val="00EC64B9"/>
    <w:rsid w:val="00EC64C1"/>
    <w:rsid w:val="00EC67B0"/>
    <w:rsid w:val="00EC68E9"/>
    <w:rsid w:val="00EC6EFA"/>
    <w:rsid w:val="00EC7059"/>
    <w:rsid w:val="00EC7A0C"/>
    <w:rsid w:val="00EC7B73"/>
    <w:rsid w:val="00ED048E"/>
    <w:rsid w:val="00ED0B13"/>
    <w:rsid w:val="00ED0F5A"/>
    <w:rsid w:val="00ED1195"/>
    <w:rsid w:val="00ED14B0"/>
    <w:rsid w:val="00ED1874"/>
    <w:rsid w:val="00ED1D2C"/>
    <w:rsid w:val="00ED1DC4"/>
    <w:rsid w:val="00ED2299"/>
    <w:rsid w:val="00ED2481"/>
    <w:rsid w:val="00ED2B2A"/>
    <w:rsid w:val="00ED2CD5"/>
    <w:rsid w:val="00ED2E92"/>
    <w:rsid w:val="00ED356E"/>
    <w:rsid w:val="00ED39F3"/>
    <w:rsid w:val="00ED3E6D"/>
    <w:rsid w:val="00ED4CF3"/>
    <w:rsid w:val="00ED4EAC"/>
    <w:rsid w:val="00ED5227"/>
    <w:rsid w:val="00ED55E0"/>
    <w:rsid w:val="00ED570F"/>
    <w:rsid w:val="00ED59CE"/>
    <w:rsid w:val="00ED5A20"/>
    <w:rsid w:val="00ED5A37"/>
    <w:rsid w:val="00ED5BC0"/>
    <w:rsid w:val="00ED5D8D"/>
    <w:rsid w:val="00ED6001"/>
    <w:rsid w:val="00ED677A"/>
    <w:rsid w:val="00ED7027"/>
    <w:rsid w:val="00ED7371"/>
    <w:rsid w:val="00ED77A2"/>
    <w:rsid w:val="00ED7B15"/>
    <w:rsid w:val="00ED7D5A"/>
    <w:rsid w:val="00ED7DF2"/>
    <w:rsid w:val="00EE01C6"/>
    <w:rsid w:val="00EE032E"/>
    <w:rsid w:val="00EE0331"/>
    <w:rsid w:val="00EE04A2"/>
    <w:rsid w:val="00EE136F"/>
    <w:rsid w:val="00EE14BC"/>
    <w:rsid w:val="00EE15C5"/>
    <w:rsid w:val="00EE16CC"/>
    <w:rsid w:val="00EE1BC7"/>
    <w:rsid w:val="00EE246E"/>
    <w:rsid w:val="00EE29A2"/>
    <w:rsid w:val="00EE2AFE"/>
    <w:rsid w:val="00EE2F2C"/>
    <w:rsid w:val="00EE326D"/>
    <w:rsid w:val="00EE3544"/>
    <w:rsid w:val="00EE388C"/>
    <w:rsid w:val="00EE38E4"/>
    <w:rsid w:val="00EE3B0A"/>
    <w:rsid w:val="00EE3C53"/>
    <w:rsid w:val="00EE3D9C"/>
    <w:rsid w:val="00EE434E"/>
    <w:rsid w:val="00EE451B"/>
    <w:rsid w:val="00EE519F"/>
    <w:rsid w:val="00EE5F8B"/>
    <w:rsid w:val="00EE6172"/>
    <w:rsid w:val="00EE6516"/>
    <w:rsid w:val="00EE6520"/>
    <w:rsid w:val="00EE65DB"/>
    <w:rsid w:val="00EE6ACD"/>
    <w:rsid w:val="00EE6CBF"/>
    <w:rsid w:val="00EE7231"/>
    <w:rsid w:val="00EE7293"/>
    <w:rsid w:val="00EE72D8"/>
    <w:rsid w:val="00EE7316"/>
    <w:rsid w:val="00EE74F5"/>
    <w:rsid w:val="00EE75FD"/>
    <w:rsid w:val="00EE7BF1"/>
    <w:rsid w:val="00EE7EF4"/>
    <w:rsid w:val="00EF00C9"/>
    <w:rsid w:val="00EF022E"/>
    <w:rsid w:val="00EF06DF"/>
    <w:rsid w:val="00EF06F8"/>
    <w:rsid w:val="00EF0702"/>
    <w:rsid w:val="00EF0CAC"/>
    <w:rsid w:val="00EF1301"/>
    <w:rsid w:val="00EF1AEF"/>
    <w:rsid w:val="00EF1D33"/>
    <w:rsid w:val="00EF211E"/>
    <w:rsid w:val="00EF2375"/>
    <w:rsid w:val="00EF270B"/>
    <w:rsid w:val="00EF287A"/>
    <w:rsid w:val="00EF2CD0"/>
    <w:rsid w:val="00EF2EBF"/>
    <w:rsid w:val="00EF31DF"/>
    <w:rsid w:val="00EF334B"/>
    <w:rsid w:val="00EF34FD"/>
    <w:rsid w:val="00EF395A"/>
    <w:rsid w:val="00EF41CE"/>
    <w:rsid w:val="00EF4789"/>
    <w:rsid w:val="00EF499A"/>
    <w:rsid w:val="00EF4AA7"/>
    <w:rsid w:val="00EF4DF7"/>
    <w:rsid w:val="00EF5051"/>
    <w:rsid w:val="00EF544C"/>
    <w:rsid w:val="00EF558E"/>
    <w:rsid w:val="00EF5897"/>
    <w:rsid w:val="00EF66AD"/>
    <w:rsid w:val="00EF67B2"/>
    <w:rsid w:val="00EF6F16"/>
    <w:rsid w:val="00EF6FDD"/>
    <w:rsid w:val="00EF722C"/>
    <w:rsid w:val="00EF7359"/>
    <w:rsid w:val="00EF73FB"/>
    <w:rsid w:val="00EF7A87"/>
    <w:rsid w:val="00F00441"/>
    <w:rsid w:val="00F00628"/>
    <w:rsid w:val="00F0096F"/>
    <w:rsid w:val="00F00A49"/>
    <w:rsid w:val="00F00B98"/>
    <w:rsid w:val="00F00E46"/>
    <w:rsid w:val="00F00EA5"/>
    <w:rsid w:val="00F01138"/>
    <w:rsid w:val="00F0132D"/>
    <w:rsid w:val="00F01374"/>
    <w:rsid w:val="00F0172B"/>
    <w:rsid w:val="00F0199B"/>
    <w:rsid w:val="00F01F16"/>
    <w:rsid w:val="00F02033"/>
    <w:rsid w:val="00F0209C"/>
    <w:rsid w:val="00F027E7"/>
    <w:rsid w:val="00F02E6C"/>
    <w:rsid w:val="00F02F15"/>
    <w:rsid w:val="00F03429"/>
    <w:rsid w:val="00F03620"/>
    <w:rsid w:val="00F037A9"/>
    <w:rsid w:val="00F039A3"/>
    <w:rsid w:val="00F03B11"/>
    <w:rsid w:val="00F040BF"/>
    <w:rsid w:val="00F04BD6"/>
    <w:rsid w:val="00F05065"/>
    <w:rsid w:val="00F052F8"/>
    <w:rsid w:val="00F0552B"/>
    <w:rsid w:val="00F05595"/>
    <w:rsid w:val="00F05625"/>
    <w:rsid w:val="00F05849"/>
    <w:rsid w:val="00F05DB9"/>
    <w:rsid w:val="00F0621F"/>
    <w:rsid w:val="00F06750"/>
    <w:rsid w:val="00F06980"/>
    <w:rsid w:val="00F069B8"/>
    <w:rsid w:val="00F06E72"/>
    <w:rsid w:val="00F06FD3"/>
    <w:rsid w:val="00F073F8"/>
    <w:rsid w:val="00F1019C"/>
    <w:rsid w:val="00F1058C"/>
    <w:rsid w:val="00F107C9"/>
    <w:rsid w:val="00F10B84"/>
    <w:rsid w:val="00F111F2"/>
    <w:rsid w:val="00F11980"/>
    <w:rsid w:val="00F11B73"/>
    <w:rsid w:val="00F11FB9"/>
    <w:rsid w:val="00F12257"/>
    <w:rsid w:val="00F122AB"/>
    <w:rsid w:val="00F1241B"/>
    <w:rsid w:val="00F127E6"/>
    <w:rsid w:val="00F12DFA"/>
    <w:rsid w:val="00F12FBA"/>
    <w:rsid w:val="00F135E0"/>
    <w:rsid w:val="00F13C54"/>
    <w:rsid w:val="00F14065"/>
    <w:rsid w:val="00F1427E"/>
    <w:rsid w:val="00F14363"/>
    <w:rsid w:val="00F143BE"/>
    <w:rsid w:val="00F147A7"/>
    <w:rsid w:val="00F14858"/>
    <w:rsid w:val="00F14C32"/>
    <w:rsid w:val="00F15DB1"/>
    <w:rsid w:val="00F15DB6"/>
    <w:rsid w:val="00F15FDB"/>
    <w:rsid w:val="00F16228"/>
    <w:rsid w:val="00F1641E"/>
    <w:rsid w:val="00F1669E"/>
    <w:rsid w:val="00F1689E"/>
    <w:rsid w:val="00F16F3D"/>
    <w:rsid w:val="00F1743A"/>
    <w:rsid w:val="00F1748D"/>
    <w:rsid w:val="00F1757F"/>
    <w:rsid w:val="00F17A45"/>
    <w:rsid w:val="00F2012F"/>
    <w:rsid w:val="00F20299"/>
    <w:rsid w:val="00F20718"/>
    <w:rsid w:val="00F2091A"/>
    <w:rsid w:val="00F20C73"/>
    <w:rsid w:val="00F20D06"/>
    <w:rsid w:val="00F21290"/>
    <w:rsid w:val="00F212D4"/>
    <w:rsid w:val="00F2269D"/>
    <w:rsid w:val="00F228A8"/>
    <w:rsid w:val="00F229A3"/>
    <w:rsid w:val="00F22AE2"/>
    <w:rsid w:val="00F22C94"/>
    <w:rsid w:val="00F22DB3"/>
    <w:rsid w:val="00F231C1"/>
    <w:rsid w:val="00F232D7"/>
    <w:rsid w:val="00F23516"/>
    <w:rsid w:val="00F235B0"/>
    <w:rsid w:val="00F235C9"/>
    <w:rsid w:val="00F237C9"/>
    <w:rsid w:val="00F24D99"/>
    <w:rsid w:val="00F24E27"/>
    <w:rsid w:val="00F2539F"/>
    <w:rsid w:val="00F25476"/>
    <w:rsid w:val="00F2581E"/>
    <w:rsid w:val="00F25A93"/>
    <w:rsid w:val="00F26182"/>
    <w:rsid w:val="00F26226"/>
    <w:rsid w:val="00F26230"/>
    <w:rsid w:val="00F26879"/>
    <w:rsid w:val="00F26A8A"/>
    <w:rsid w:val="00F26CCF"/>
    <w:rsid w:val="00F26E5D"/>
    <w:rsid w:val="00F270E7"/>
    <w:rsid w:val="00F276CF"/>
    <w:rsid w:val="00F27737"/>
    <w:rsid w:val="00F278BF"/>
    <w:rsid w:val="00F27E07"/>
    <w:rsid w:val="00F300BE"/>
    <w:rsid w:val="00F30815"/>
    <w:rsid w:val="00F30AE4"/>
    <w:rsid w:val="00F30D67"/>
    <w:rsid w:val="00F3131F"/>
    <w:rsid w:val="00F3141B"/>
    <w:rsid w:val="00F31A3E"/>
    <w:rsid w:val="00F31D86"/>
    <w:rsid w:val="00F31DF3"/>
    <w:rsid w:val="00F31EA8"/>
    <w:rsid w:val="00F31FF9"/>
    <w:rsid w:val="00F3207E"/>
    <w:rsid w:val="00F3211F"/>
    <w:rsid w:val="00F32AE1"/>
    <w:rsid w:val="00F32C4C"/>
    <w:rsid w:val="00F32E66"/>
    <w:rsid w:val="00F3300E"/>
    <w:rsid w:val="00F3316D"/>
    <w:rsid w:val="00F33523"/>
    <w:rsid w:val="00F336C5"/>
    <w:rsid w:val="00F33A3B"/>
    <w:rsid w:val="00F35940"/>
    <w:rsid w:val="00F36011"/>
    <w:rsid w:val="00F3637F"/>
    <w:rsid w:val="00F36755"/>
    <w:rsid w:val="00F37314"/>
    <w:rsid w:val="00F375C9"/>
    <w:rsid w:val="00F37619"/>
    <w:rsid w:val="00F4016B"/>
    <w:rsid w:val="00F406DC"/>
    <w:rsid w:val="00F409DE"/>
    <w:rsid w:val="00F40A19"/>
    <w:rsid w:val="00F40B8F"/>
    <w:rsid w:val="00F40E26"/>
    <w:rsid w:val="00F4113D"/>
    <w:rsid w:val="00F413D9"/>
    <w:rsid w:val="00F4199A"/>
    <w:rsid w:val="00F41A50"/>
    <w:rsid w:val="00F42005"/>
    <w:rsid w:val="00F4206A"/>
    <w:rsid w:val="00F421F3"/>
    <w:rsid w:val="00F42B2C"/>
    <w:rsid w:val="00F42CC0"/>
    <w:rsid w:val="00F42DFE"/>
    <w:rsid w:val="00F42FD3"/>
    <w:rsid w:val="00F431DA"/>
    <w:rsid w:val="00F432D1"/>
    <w:rsid w:val="00F434CE"/>
    <w:rsid w:val="00F43BB9"/>
    <w:rsid w:val="00F4434C"/>
    <w:rsid w:val="00F44F45"/>
    <w:rsid w:val="00F45347"/>
    <w:rsid w:val="00F46162"/>
    <w:rsid w:val="00F46297"/>
    <w:rsid w:val="00F4643D"/>
    <w:rsid w:val="00F4645A"/>
    <w:rsid w:val="00F468D3"/>
    <w:rsid w:val="00F46B6F"/>
    <w:rsid w:val="00F46B7B"/>
    <w:rsid w:val="00F46C22"/>
    <w:rsid w:val="00F46C84"/>
    <w:rsid w:val="00F46F66"/>
    <w:rsid w:val="00F46F6E"/>
    <w:rsid w:val="00F47099"/>
    <w:rsid w:val="00F4752A"/>
    <w:rsid w:val="00F47B98"/>
    <w:rsid w:val="00F502BB"/>
    <w:rsid w:val="00F506F6"/>
    <w:rsid w:val="00F509DF"/>
    <w:rsid w:val="00F50C3C"/>
    <w:rsid w:val="00F50FDC"/>
    <w:rsid w:val="00F5128E"/>
    <w:rsid w:val="00F5148C"/>
    <w:rsid w:val="00F515D6"/>
    <w:rsid w:val="00F51726"/>
    <w:rsid w:val="00F5197E"/>
    <w:rsid w:val="00F51D63"/>
    <w:rsid w:val="00F51E34"/>
    <w:rsid w:val="00F51FD7"/>
    <w:rsid w:val="00F520DB"/>
    <w:rsid w:val="00F523E3"/>
    <w:rsid w:val="00F524C2"/>
    <w:rsid w:val="00F5269E"/>
    <w:rsid w:val="00F52E44"/>
    <w:rsid w:val="00F52E67"/>
    <w:rsid w:val="00F53364"/>
    <w:rsid w:val="00F53532"/>
    <w:rsid w:val="00F53E1B"/>
    <w:rsid w:val="00F53E8F"/>
    <w:rsid w:val="00F53EE9"/>
    <w:rsid w:val="00F54498"/>
    <w:rsid w:val="00F546B0"/>
    <w:rsid w:val="00F546F0"/>
    <w:rsid w:val="00F549D7"/>
    <w:rsid w:val="00F54E29"/>
    <w:rsid w:val="00F54FAE"/>
    <w:rsid w:val="00F54FFA"/>
    <w:rsid w:val="00F55177"/>
    <w:rsid w:val="00F551F3"/>
    <w:rsid w:val="00F552BB"/>
    <w:rsid w:val="00F55338"/>
    <w:rsid w:val="00F55675"/>
    <w:rsid w:val="00F55C7E"/>
    <w:rsid w:val="00F55D93"/>
    <w:rsid w:val="00F5609F"/>
    <w:rsid w:val="00F561B4"/>
    <w:rsid w:val="00F56368"/>
    <w:rsid w:val="00F565C4"/>
    <w:rsid w:val="00F568FA"/>
    <w:rsid w:val="00F5696B"/>
    <w:rsid w:val="00F57456"/>
    <w:rsid w:val="00F57C81"/>
    <w:rsid w:val="00F57E77"/>
    <w:rsid w:val="00F602A8"/>
    <w:rsid w:val="00F60346"/>
    <w:rsid w:val="00F60B6D"/>
    <w:rsid w:val="00F60BD3"/>
    <w:rsid w:val="00F60E9E"/>
    <w:rsid w:val="00F611CB"/>
    <w:rsid w:val="00F6191F"/>
    <w:rsid w:val="00F61A5F"/>
    <w:rsid w:val="00F6208B"/>
    <w:rsid w:val="00F62B20"/>
    <w:rsid w:val="00F62C8B"/>
    <w:rsid w:val="00F635BC"/>
    <w:rsid w:val="00F6419D"/>
    <w:rsid w:val="00F6450A"/>
    <w:rsid w:val="00F64A68"/>
    <w:rsid w:val="00F64B01"/>
    <w:rsid w:val="00F6524E"/>
    <w:rsid w:val="00F652F0"/>
    <w:rsid w:val="00F658EA"/>
    <w:rsid w:val="00F65A07"/>
    <w:rsid w:val="00F65A86"/>
    <w:rsid w:val="00F66081"/>
    <w:rsid w:val="00F6657D"/>
    <w:rsid w:val="00F66867"/>
    <w:rsid w:val="00F66D85"/>
    <w:rsid w:val="00F70145"/>
    <w:rsid w:val="00F7027A"/>
    <w:rsid w:val="00F70A56"/>
    <w:rsid w:val="00F70D84"/>
    <w:rsid w:val="00F70F8B"/>
    <w:rsid w:val="00F7101D"/>
    <w:rsid w:val="00F71166"/>
    <w:rsid w:val="00F7157B"/>
    <w:rsid w:val="00F72401"/>
    <w:rsid w:val="00F725D5"/>
    <w:rsid w:val="00F725DD"/>
    <w:rsid w:val="00F72A1A"/>
    <w:rsid w:val="00F72D85"/>
    <w:rsid w:val="00F73007"/>
    <w:rsid w:val="00F736FB"/>
    <w:rsid w:val="00F73702"/>
    <w:rsid w:val="00F73782"/>
    <w:rsid w:val="00F73CF6"/>
    <w:rsid w:val="00F7469F"/>
    <w:rsid w:val="00F756E8"/>
    <w:rsid w:val="00F75ABF"/>
    <w:rsid w:val="00F75DE8"/>
    <w:rsid w:val="00F75EF6"/>
    <w:rsid w:val="00F762C8"/>
    <w:rsid w:val="00F76AA4"/>
    <w:rsid w:val="00F76C08"/>
    <w:rsid w:val="00F77441"/>
    <w:rsid w:val="00F77677"/>
    <w:rsid w:val="00F77919"/>
    <w:rsid w:val="00F77B29"/>
    <w:rsid w:val="00F80104"/>
    <w:rsid w:val="00F80119"/>
    <w:rsid w:val="00F803AB"/>
    <w:rsid w:val="00F80AF6"/>
    <w:rsid w:val="00F810F3"/>
    <w:rsid w:val="00F819E0"/>
    <w:rsid w:val="00F819E3"/>
    <w:rsid w:val="00F825CB"/>
    <w:rsid w:val="00F82850"/>
    <w:rsid w:val="00F8287E"/>
    <w:rsid w:val="00F82973"/>
    <w:rsid w:val="00F82A63"/>
    <w:rsid w:val="00F82CB1"/>
    <w:rsid w:val="00F82E3A"/>
    <w:rsid w:val="00F8356E"/>
    <w:rsid w:val="00F8361D"/>
    <w:rsid w:val="00F84795"/>
    <w:rsid w:val="00F8492D"/>
    <w:rsid w:val="00F84B3E"/>
    <w:rsid w:val="00F84B6E"/>
    <w:rsid w:val="00F84E52"/>
    <w:rsid w:val="00F85512"/>
    <w:rsid w:val="00F85598"/>
    <w:rsid w:val="00F856DD"/>
    <w:rsid w:val="00F8580B"/>
    <w:rsid w:val="00F867CF"/>
    <w:rsid w:val="00F86FBB"/>
    <w:rsid w:val="00F872E1"/>
    <w:rsid w:val="00F87D2A"/>
    <w:rsid w:val="00F90043"/>
    <w:rsid w:val="00F90B81"/>
    <w:rsid w:val="00F90D2E"/>
    <w:rsid w:val="00F90DC1"/>
    <w:rsid w:val="00F91400"/>
    <w:rsid w:val="00F916B9"/>
    <w:rsid w:val="00F91DA8"/>
    <w:rsid w:val="00F922FA"/>
    <w:rsid w:val="00F92B32"/>
    <w:rsid w:val="00F92E9A"/>
    <w:rsid w:val="00F93238"/>
    <w:rsid w:val="00F932AB"/>
    <w:rsid w:val="00F93430"/>
    <w:rsid w:val="00F9347A"/>
    <w:rsid w:val="00F93F3C"/>
    <w:rsid w:val="00F93F55"/>
    <w:rsid w:val="00F93FF9"/>
    <w:rsid w:val="00F945D3"/>
    <w:rsid w:val="00F9466C"/>
    <w:rsid w:val="00F94A21"/>
    <w:rsid w:val="00F94E14"/>
    <w:rsid w:val="00F955D0"/>
    <w:rsid w:val="00F95E53"/>
    <w:rsid w:val="00F9603B"/>
    <w:rsid w:val="00F964E4"/>
    <w:rsid w:val="00F96D80"/>
    <w:rsid w:val="00FA0588"/>
    <w:rsid w:val="00FA07C6"/>
    <w:rsid w:val="00FA1158"/>
    <w:rsid w:val="00FA15BC"/>
    <w:rsid w:val="00FA1605"/>
    <w:rsid w:val="00FA1D85"/>
    <w:rsid w:val="00FA1E73"/>
    <w:rsid w:val="00FA2499"/>
    <w:rsid w:val="00FA34EB"/>
    <w:rsid w:val="00FA44F3"/>
    <w:rsid w:val="00FA46E1"/>
    <w:rsid w:val="00FA5C31"/>
    <w:rsid w:val="00FA5C57"/>
    <w:rsid w:val="00FA6DFB"/>
    <w:rsid w:val="00FA72D8"/>
    <w:rsid w:val="00FB0138"/>
    <w:rsid w:val="00FB04CE"/>
    <w:rsid w:val="00FB0552"/>
    <w:rsid w:val="00FB0628"/>
    <w:rsid w:val="00FB1219"/>
    <w:rsid w:val="00FB188A"/>
    <w:rsid w:val="00FB18C8"/>
    <w:rsid w:val="00FB1CC2"/>
    <w:rsid w:val="00FB1E17"/>
    <w:rsid w:val="00FB207C"/>
    <w:rsid w:val="00FB209C"/>
    <w:rsid w:val="00FB22D8"/>
    <w:rsid w:val="00FB2425"/>
    <w:rsid w:val="00FB24AE"/>
    <w:rsid w:val="00FB278D"/>
    <w:rsid w:val="00FB289E"/>
    <w:rsid w:val="00FB2C4B"/>
    <w:rsid w:val="00FB2FF8"/>
    <w:rsid w:val="00FB32B8"/>
    <w:rsid w:val="00FB36AB"/>
    <w:rsid w:val="00FB386A"/>
    <w:rsid w:val="00FB3A3A"/>
    <w:rsid w:val="00FB4F73"/>
    <w:rsid w:val="00FB5322"/>
    <w:rsid w:val="00FB5348"/>
    <w:rsid w:val="00FB5561"/>
    <w:rsid w:val="00FB59F4"/>
    <w:rsid w:val="00FB65E9"/>
    <w:rsid w:val="00FB66B1"/>
    <w:rsid w:val="00FB6785"/>
    <w:rsid w:val="00FB6CFF"/>
    <w:rsid w:val="00FB717A"/>
    <w:rsid w:val="00FB7640"/>
    <w:rsid w:val="00FB7B39"/>
    <w:rsid w:val="00FB7CEE"/>
    <w:rsid w:val="00FB7F1C"/>
    <w:rsid w:val="00FC0338"/>
    <w:rsid w:val="00FC0464"/>
    <w:rsid w:val="00FC04FB"/>
    <w:rsid w:val="00FC099B"/>
    <w:rsid w:val="00FC0A16"/>
    <w:rsid w:val="00FC0A4C"/>
    <w:rsid w:val="00FC1118"/>
    <w:rsid w:val="00FC14B4"/>
    <w:rsid w:val="00FC17FD"/>
    <w:rsid w:val="00FC1A7B"/>
    <w:rsid w:val="00FC1C25"/>
    <w:rsid w:val="00FC259F"/>
    <w:rsid w:val="00FC2A20"/>
    <w:rsid w:val="00FC2A5F"/>
    <w:rsid w:val="00FC2FBC"/>
    <w:rsid w:val="00FC359F"/>
    <w:rsid w:val="00FC35E9"/>
    <w:rsid w:val="00FC35EC"/>
    <w:rsid w:val="00FC39C3"/>
    <w:rsid w:val="00FC3AD7"/>
    <w:rsid w:val="00FC3B25"/>
    <w:rsid w:val="00FC3E9F"/>
    <w:rsid w:val="00FC48C5"/>
    <w:rsid w:val="00FC4AB5"/>
    <w:rsid w:val="00FC4F79"/>
    <w:rsid w:val="00FC6793"/>
    <w:rsid w:val="00FC6AD4"/>
    <w:rsid w:val="00FC6B18"/>
    <w:rsid w:val="00FC6C4D"/>
    <w:rsid w:val="00FC6CF0"/>
    <w:rsid w:val="00FC6E3E"/>
    <w:rsid w:val="00FC7061"/>
    <w:rsid w:val="00FC719D"/>
    <w:rsid w:val="00FC72D2"/>
    <w:rsid w:val="00FC791E"/>
    <w:rsid w:val="00FD0216"/>
    <w:rsid w:val="00FD05E8"/>
    <w:rsid w:val="00FD0925"/>
    <w:rsid w:val="00FD0A60"/>
    <w:rsid w:val="00FD0B3A"/>
    <w:rsid w:val="00FD10A3"/>
    <w:rsid w:val="00FD1747"/>
    <w:rsid w:val="00FD17C0"/>
    <w:rsid w:val="00FD1B72"/>
    <w:rsid w:val="00FD1BA1"/>
    <w:rsid w:val="00FD1FC2"/>
    <w:rsid w:val="00FD26D0"/>
    <w:rsid w:val="00FD2876"/>
    <w:rsid w:val="00FD297D"/>
    <w:rsid w:val="00FD2AB5"/>
    <w:rsid w:val="00FD2D0C"/>
    <w:rsid w:val="00FD2D84"/>
    <w:rsid w:val="00FD3112"/>
    <w:rsid w:val="00FD378F"/>
    <w:rsid w:val="00FD3872"/>
    <w:rsid w:val="00FD39DD"/>
    <w:rsid w:val="00FD4026"/>
    <w:rsid w:val="00FD4A6A"/>
    <w:rsid w:val="00FD4C2C"/>
    <w:rsid w:val="00FD4FC4"/>
    <w:rsid w:val="00FD52DC"/>
    <w:rsid w:val="00FD5DE7"/>
    <w:rsid w:val="00FD6653"/>
    <w:rsid w:val="00FD669F"/>
    <w:rsid w:val="00FD7860"/>
    <w:rsid w:val="00FD79AE"/>
    <w:rsid w:val="00FD7B84"/>
    <w:rsid w:val="00FD7CE4"/>
    <w:rsid w:val="00FE00C5"/>
    <w:rsid w:val="00FE03AD"/>
    <w:rsid w:val="00FE06CC"/>
    <w:rsid w:val="00FE0768"/>
    <w:rsid w:val="00FE0A09"/>
    <w:rsid w:val="00FE0C95"/>
    <w:rsid w:val="00FE0CC6"/>
    <w:rsid w:val="00FE0FE3"/>
    <w:rsid w:val="00FE10B5"/>
    <w:rsid w:val="00FE1562"/>
    <w:rsid w:val="00FE20F1"/>
    <w:rsid w:val="00FE20F9"/>
    <w:rsid w:val="00FE223E"/>
    <w:rsid w:val="00FE30CB"/>
    <w:rsid w:val="00FE3644"/>
    <w:rsid w:val="00FE3878"/>
    <w:rsid w:val="00FE39EE"/>
    <w:rsid w:val="00FE3BCA"/>
    <w:rsid w:val="00FE49EB"/>
    <w:rsid w:val="00FE4CB8"/>
    <w:rsid w:val="00FE4F94"/>
    <w:rsid w:val="00FE559C"/>
    <w:rsid w:val="00FE59B3"/>
    <w:rsid w:val="00FE5FC9"/>
    <w:rsid w:val="00FE61C9"/>
    <w:rsid w:val="00FE6460"/>
    <w:rsid w:val="00FE6C5A"/>
    <w:rsid w:val="00FE712F"/>
    <w:rsid w:val="00FE7562"/>
    <w:rsid w:val="00FE77AB"/>
    <w:rsid w:val="00FF0295"/>
    <w:rsid w:val="00FF07E0"/>
    <w:rsid w:val="00FF0A3E"/>
    <w:rsid w:val="00FF10E3"/>
    <w:rsid w:val="00FF1D0C"/>
    <w:rsid w:val="00FF2221"/>
    <w:rsid w:val="00FF3142"/>
    <w:rsid w:val="00FF33FC"/>
    <w:rsid w:val="00FF3452"/>
    <w:rsid w:val="00FF4A19"/>
    <w:rsid w:val="00FF4C34"/>
    <w:rsid w:val="00FF5087"/>
    <w:rsid w:val="00FF518C"/>
    <w:rsid w:val="00FF595C"/>
    <w:rsid w:val="00FF5AA6"/>
    <w:rsid w:val="00FF5CA6"/>
    <w:rsid w:val="00FF5E43"/>
    <w:rsid w:val="00FF62CC"/>
    <w:rsid w:val="00FF654E"/>
    <w:rsid w:val="00FF6E1B"/>
    <w:rsid w:val="00FF7044"/>
    <w:rsid w:val="00FF70E4"/>
    <w:rsid w:val="00FF765B"/>
    <w:rsid w:val="00FF78C9"/>
    <w:rsid w:val="00FF7E34"/>
    <w:rsid w:val="037B54CB"/>
    <w:rsid w:val="073A744C"/>
    <w:rsid w:val="076D5A73"/>
    <w:rsid w:val="07DE24CD"/>
    <w:rsid w:val="07F92E63"/>
    <w:rsid w:val="088B27F2"/>
    <w:rsid w:val="0B495944"/>
    <w:rsid w:val="0F4B669A"/>
    <w:rsid w:val="11B00A36"/>
    <w:rsid w:val="124F64A1"/>
    <w:rsid w:val="126B0E01"/>
    <w:rsid w:val="13270013"/>
    <w:rsid w:val="14787805"/>
    <w:rsid w:val="158C5316"/>
    <w:rsid w:val="17654071"/>
    <w:rsid w:val="177B7D38"/>
    <w:rsid w:val="17936E30"/>
    <w:rsid w:val="180F6A73"/>
    <w:rsid w:val="186E164B"/>
    <w:rsid w:val="18AB1F57"/>
    <w:rsid w:val="18E63C50"/>
    <w:rsid w:val="19306900"/>
    <w:rsid w:val="198F7ACB"/>
    <w:rsid w:val="1AE35FDC"/>
    <w:rsid w:val="1D63476B"/>
    <w:rsid w:val="1EDE3955"/>
    <w:rsid w:val="1F3D3B25"/>
    <w:rsid w:val="20AA002E"/>
    <w:rsid w:val="20B878E3"/>
    <w:rsid w:val="25337E9B"/>
    <w:rsid w:val="25CE54D7"/>
    <w:rsid w:val="283C798F"/>
    <w:rsid w:val="287A36F4"/>
    <w:rsid w:val="2B400C25"/>
    <w:rsid w:val="2B7F4745"/>
    <w:rsid w:val="2DB41A9C"/>
    <w:rsid w:val="2F920F3E"/>
    <w:rsid w:val="34E16FD5"/>
    <w:rsid w:val="363713B7"/>
    <w:rsid w:val="37160A8C"/>
    <w:rsid w:val="39EE5833"/>
    <w:rsid w:val="3A2B3802"/>
    <w:rsid w:val="3A9643BE"/>
    <w:rsid w:val="3EA92283"/>
    <w:rsid w:val="40D6479F"/>
    <w:rsid w:val="414A175C"/>
    <w:rsid w:val="415A7E88"/>
    <w:rsid w:val="432823ED"/>
    <w:rsid w:val="4698326B"/>
    <w:rsid w:val="46A95DD5"/>
    <w:rsid w:val="48651873"/>
    <w:rsid w:val="48B77F2F"/>
    <w:rsid w:val="4A484FA8"/>
    <w:rsid w:val="4AB024C8"/>
    <w:rsid w:val="4C2C2DD4"/>
    <w:rsid w:val="4CD82C09"/>
    <w:rsid w:val="4DEF40B9"/>
    <w:rsid w:val="50035120"/>
    <w:rsid w:val="53226CDE"/>
    <w:rsid w:val="5343685C"/>
    <w:rsid w:val="55EB785C"/>
    <w:rsid w:val="562704A5"/>
    <w:rsid w:val="581B5AAA"/>
    <w:rsid w:val="58900396"/>
    <w:rsid w:val="591935E3"/>
    <w:rsid w:val="59C04B5B"/>
    <w:rsid w:val="5C125416"/>
    <w:rsid w:val="5DD706C5"/>
    <w:rsid w:val="5DE11544"/>
    <w:rsid w:val="5EF84D97"/>
    <w:rsid w:val="5F446A4A"/>
    <w:rsid w:val="606E444F"/>
    <w:rsid w:val="60932FCA"/>
    <w:rsid w:val="6106379C"/>
    <w:rsid w:val="62333ACA"/>
    <w:rsid w:val="63286E1A"/>
    <w:rsid w:val="66D93700"/>
    <w:rsid w:val="674E6A5F"/>
    <w:rsid w:val="67692F7A"/>
    <w:rsid w:val="68FD6917"/>
    <w:rsid w:val="736A5E0C"/>
    <w:rsid w:val="74D8387C"/>
    <w:rsid w:val="75380910"/>
    <w:rsid w:val="776672C9"/>
    <w:rsid w:val="77E837A3"/>
    <w:rsid w:val="789B3B63"/>
    <w:rsid w:val="7B2F3497"/>
    <w:rsid w:val="7BA23A14"/>
    <w:rsid w:val="7CC06208"/>
    <w:rsid w:val="7DE841A0"/>
    <w:rsid w:val="7E2412AD"/>
    <w:rsid w:val="7E9C0E4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qFormat="1"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6"/>
    <w:qFormat/>
    <w:uiPriority w:val="9"/>
    <w:pPr>
      <w:keepNext/>
      <w:keepLines/>
      <w:spacing w:after="50" w:afterLines="50" w:line="360" w:lineRule="auto"/>
      <w:outlineLvl w:val="0"/>
    </w:pPr>
    <w:rPr>
      <w:rFonts w:ascii="Times New Roman" w:hAnsi="Times New Roman" w:eastAsia="Times New Roman"/>
      <w:b/>
      <w:bCs/>
      <w:kern w:val="44"/>
      <w:sz w:val="28"/>
      <w:szCs w:val="44"/>
    </w:rPr>
  </w:style>
  <w:style w:type="paragraph" w:styleId="3">
    <w:name w:val="heading 2"/>
    <w:basedOn w:val="1"/>
    <w:next w:val="1"/>
    <w:link w:val="27"/>
    <w:unhideWhenUsed/>
    <w:qFormat/>
    <w:uiPriority w:val="9"/>
    <w:pPr>
      <w:keepNext/>
      <w:keepLines/>
      <w:spacing w:line="360" w:lineRule="auto"/>
      <w:outlineLvl w:val="1"/>
    </w:pPr>
    <w:rPr>
      <w:rFonts w:ascii="Times New Roman" w:hAnsi="Times New Roman" w:eastAsia="宋体" w:cstheme="majorBidi"/>
      <w:b/>
      <w:bCs/>
      <w:sz w:val="24"/>
      <w:szCs w:val="32"/>
    </w:rPr>
  </w:style>
  <w:style w:type="paragraph" w:styleId="4">
    <w:name w:val="heading 3"/>
    <w:basedOn w:val="1"/>
    <w:next w:val="1"/>
    <w:link w:val="29"/>
    <w:semiHidden/>
    <w:unhideWhenUsed/>
    <w:qFormat/>
    <w:uiPriority w:val="9"/>
    <w:pPr>
      <w:keepNext/>
      <w:keepLines/>
      <w:spacing w:before="260" w:after="260" w:line="416" w:lineRule="auto"/>
      <w:outlineLvl w:val="2"/>
    </w:pPr>
    <w:rPr>
      <w:b/>
      <w:bCs/>
      <w:sz w:val="32"/>
      <w:szCs w:val="32"/>
    </w:rPr>
  </w:style>
  <w:style w:type="character" w:default="1" w:styleId="14">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link w:val="47"/>
    <w:unhideWhenUsed/>
    <w:qFormat/>
    <w:uiPriority w:val="99"/>
    <w:pPr>
      <w:jc w:val="left"/>
    </w:pPr>
  </w:style>
  <w:style w:type="paragraph" w:styleId="6">
    <w:name w:val="footer"/>
    <w:basedOn w:val="1"/>
    <w:link w:val="25"/>
    <w:unhideWhenUsed/>
    <w:qFormat/>
    <w:uiPriority w:val="99"/>
    <w:pPr>
      <w:tabs>
        <w:tab w:val="center" w:pos="4153"/>
        <w:tab w:val="right" w:pos="8306"/>
      </w:tabs>
      <w:snapToGrid w:val="0"/>
      <w:jc w:val="left"/>
    </w:pPr>
    <w:rPr>
      <w:sz w:val="18"/>
      <w:szCs w:val="18"/>
    </w:rPr>
  </w:style>
  <w:style w:type="paragraph" w:styleId="7">
    <w:name w:val="header"/>
    <w:basedOn w:val="1"/>
    <w:link w:val="24"/>
    <w:unhideWhenUsed/>
    <w:qFormat/>
    <w:uiPriority w:val="99"/>
    <w:pPr>
      <w:pBdr>
        <w:bottom w:val="single" w:color="auto" w:sz="6" w:space="1"/>
      </w:pBdr>
      <w:tabs>
        <w:tab w:val="center" w:pos="4153"/>
        <w:tab w:val="right" w:pos="8306"/>
      </w:tabs>
      <w:snapToGrid w:val="0"/>
      <w:jc w:val="center"/>
    </w:pPr>
    <w:rPr>
      <w:sz w:val="18"/>
      <w:szCs w:val="18"/>
    </w:rPr>
  </w:style>
  <w:style w:type="paragraph" w:styleId="8">
    <w:name w:val="toc 1"/>
    <w:basedOn w:val="1"/>
    <w:next w:val="1"/>
    <w:autoRedefine/>
    <w:unhideWhenUsed/>
    <w:qFormat/>
    <w:uiPriority w:val="39"/>
    <w:pPr>
      <w:adjustRightInd w:val="0"/>
      <w:spacing w:line="360" w:lineRule="auto"/>
      <w:jc w:val="left"/>
    </w:pPr>
    <w:rPr>
      <w:rFonts w:ascii="Times New Roman" w:hAnsi="Times New Roman" w:eastAsia="Times New Roman" w:cs="Times New Roman"/>
      <w:b/>
      <w:bCs/>
      <w:sz w:val="20"/>
      <w:szCs w:val="30"/>
      <w:lang w:val="en-GB"/>
    </w:rPr>
  </w:style>
  <w:style w:type="paragraph" w:styleId="9">
    <w:name w:val="toc 2"/>
    <w:basedOn w:val="1"/>
    <w:next w:val="1"/>
    <w:autoRedefine/>
    <w:unhideWhenUsed/>
    <w:qFormat/>
    <w:uiPriority w:val="39"/>
    <w:pPr>
      <w:jc w:val="left"/>
    </w:pPr>
    <w:rPr>
      <w:rFonts w:ascii="Times New Roman" w:hAnsi="Times New Roman" w:eastAsia="Times New Roman"/>
      <w:sz w:val="18"/>
    </w:rPr>
  </w:style>
  <w:style w:type="paragraph" w:styleId="10">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1">
    <w:name w:val="annotation subject"/>
    <w:basedOn w:val="5"/>
    <w:next w:val="5"/>
    <w:link w:val="58"/>
    <w:semiHidden/>
    <w:unhideWhenUsed/>
    <w:qFormat/>
    <w:uiPriority w:val="99"/>
    <w:rPr>
      <w:b/>
      <w:bCs/>
    </w:rPr>
  </w:style>
  <w:style w:type="table" w:styleId="13">
    <w:name w:val="Table Grid"/>
    <w:basedOn w:val="1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FollowedHyperlink"/>
    <w:basedOn w:val="14"/>
    <w:semiHidden/>
    <w:unhideWhenUsed/>
    <w:qFormat/>
    <w:uiPriority w:val="99"/>
    <w:rPr>
      <w:color w:val="954F72"/>
      <w:u w:val="single"/>
    </w:rPr>
  </w:style>
  <w:style w:type="character" w:styleId="16">
    <w:name w:val="line number"/>
    <w:basedOn w:val="14"/>
    <w:semiHidden/>
    <w:unhideWhenUsed/>
    <w:qFormat/>
    <w:uiPriority w:val="99"/>
  </w:style>
  <w:style w:type="character" w:styleId="17">
    <w:name w:val="Hyperlink"/>
    <w:basedOn w:val="14"/>
    <w:unhideWhenUsed/>
    <w:qFormat/>
    <w:uiPriority w:val="99"/>
    <w:rPr>
      <w:color w:val="0563C1" w:themeColor="hyperlink"/>
      <w:u w:val="single"/>
      <w14:textFill>
        <w14:solidFill>
          <w14:schemeClr w14:val="hlink"/>
        </w14:solidFill>
      </w14:textFill>
    </w:rPr>
  </w:style>
  <w:style w:type="character" w:styleId="18">
    <w:name w:val="annotation reference"/>
    <w:basedOn w:val="14"/>
    <w:unhideWhenUsed/>
    <w:qFormat/>
    <w:uiPriority w:val="99"/>
    <w:rPr>
      <w:sz w:val="21"/>
      <w:szCs w:val="21"/>
    </w:rPr>
  </w:style>
  <w:style w:type="paragraph" w:customStyle="1" w:styleId="19">
    <w:name w:val="FA_Corresponding_Author_Footnote"/>
    <w:basedOn w:val="1"/>
    <w:next w:val="1"/>
    <w:qFormat/>
    <w:uiPriority w:val="0"/>
    <w:pPr>
      <w:widowControl/>
      <w:spacing w:after="200" w:line="480" w:lineRule="auto"/>
    </w:pPr>
    <w:rPr>
      <w:rFonts w:ascii="Times" w:hAnsi="Times" w:cs="Times New Roman"/>
      <w:kern w:val="0"/>
      <w:sz w:val="24"/>
      <w:szCs w:val="20"/>
      <w:lang w:eastAsia="en-US"/>
    </w:rPr>
  </w:style>
  <w:style w:type="paragraph" w:customStyle="1" w:styleId="20">
    <w:name w:val="EndNote Bibliography Title"/>
    <w:basedOn w:val="1"/>
    <w:link w:val="21"/>
    <w:qFormat/>
    <w:uiPriority w:val="0"/>
    <w:pPr>
      <w:jc w:val="center"/>
    </w:pPr>
    <w:rPr>
      <w:rFonts w:ascii="等线" w:hAnsi="等线" w:eastAsia="等线"/>
      <w:sz w:val="20"/>
    </w:rPr>
  </w:style>
  <w:style w:type="character" w:customStyle="1" w:styleId="21">
    <w:name w:val="EndNote Bibliography Title 字符"/>
    <w:basedOn w:val="14"/>
    <w:link w:val="20"/>
    <w:qFormat/>
    <w:uiPriority w:val="0"/>
    <w:rPr>
      <w:rFonts w:ascii="等线" w:hAnsi="等线" w:eastAsia="等线"/>
      <w:sz w:val="20"/>
    </w:rPr>
  </w:style>
  <w:style w:type="paragraph" w:customStyle="1" w:styleId="22">
    <w:name w:val="EndNote Bibliography"/>
    <w:basedOn w:val="1"/>
    <w:link w:val="23"/>
    <w:qFormat/>
    <w:uiPriority w:val="0"/>
    <w:rPr>
      <w:rFonts w:ascii="等线" w:hAnsi="等线" w:eastAsia="等线"/>
      <w:sz w:val="20"/>
    </w:rPr>
  </w:style>
  <w:style w:type="character" w:customStyle="1" w:styleId="23">
    <w:name w:val="EndNote Bibliography 字符"/>
    <w:basedOn w:val="14"/>
    <w:link w:val="22"/>
    <w:qFormat/>
    <w:uiPriority w:val="0"/>
    <w:rPr>
      <w:rFonts w:ascii="等线" w:hAnsi="等线" w:eastAsia="等线"/>
      <w:sz w:val="20"/>
    </w:rPr>
  </w:style>
  <w:style w:type="character" w:customStyle="1" w:styleId="24">
    <w:name w:val="页眉 字符"/>
    <w:basedOn w:val="14"/>
    <w:link w:val="7"/>
    <w:qFormat/>
    <w:uiPriority w:val="99"/>
    <w:rPr>
      <w:sz w:val="18"/>
      <w:szCs w:val="18"/>
    </w:rPr>
  </w:style>
  <w:style w:type="character" w:customStyle="1" w:styleId="25">
    <w:name w:val="页脚 字符"/>
    <w:basedOn w:val="14"/>
    <w:link w:val="6"/>
    <w:qFormat/>
    <w:uiPriority w:val="99"/>
    <w:rPr>
      <w:sz w:val="18"/>
      <w:szCs w:val="18"/>
    </w:rPr>
  </w:style>
  <w:style w:type="character" w:customStyle="1" w:styleId="26">
    <w:name w:val="标题 1 字符"/>
    <w:basedOn w:val="14"/>
    <w:link w:val="2"/>
    <w:qFormat/>
    <w:uiPriority w:val="9"/>
    <w:rPr>
      <w:rFonts w:ascii="Times New Roman" w:hAnsi="Times New Roman" w:eastAsia="Times New Roman"/>
      <w:b/>
      <w:bCs/>
      <w:kern w:val="44"/>
      <w:sz w:val="28"/>
      <w:szCs w:val="44"/>
    </w:rPr>
  </w:style>
  <w:style w:type="character" w:customStyle="1" w:styleId="27">
    <w:name w:val="标题 2 字符"/>
    <w:basedOn w:val="14"/>
    <w:link w:val="3"/>
    <w:qFormat/>
    <w:uiPriority w:val="9"/>
    <w:rPr>
      <w:rFonts w:ascii="Times New Roman" w:hAnsi="Times New Roman" w:eastAsia="宋体" w:cstheme="majorBidi"/>
      <w:b/>
      <w:bCs/>
      <w:sz w:val="24"/>
      <w:szCs w:val="32"/>
    </w:rPr>
  </w:style>
  <w:style w:type="paragraph" w:customStyle="1" w:styleId="28">
    <w:name w:val="TOC 标题1"/>
    <w:basedOn w:val="2"/>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29">
    <w:name w:val="标题 3 字符"/>
    <w:basedOn w:val="14"/>
    <w:link w:val="4"/>
    <w:semiHidden/>
    <w:qFormat/>
    <w:uiPriority w:val="9"/>
    <w:rPr>
      <w:b/>
      <w:bCs/>
      <w:sz w:val="32"/>
      <w:szCs w:val="32"/>
    </w:rPr>
  </w:style>
  <w:style w:type="paragraph" w:customStyle="1" w:styleId="30">
    <w:name w:val="BA_Title"/>
    <w:basedOn w:val="1"/>
    <w:next w:val="1"/>
    <w:qFormat/>
    <w:uiPriority w:val="0"/>
    <w:pPr>
      <w:widowControl/>
      <w:spacing w:before="720" w:after="360" w:line="480" w:lineRule="auto"/>
      <w:jc w:val="center"/>
    </w:pPr>
    <w:rPr>
      <w:rFonts w:ascii="Times New Roman" w:hAnsi="Times New Roman" w:cs="Times New Roman"/>
      <w:kern w:val="0"/>
      <w:sz w:val="44"/>
      <w:szCs w:val="20"/>
      <w:lang w:eastAsia="en-US"/>
    </w:rPr>
  </w:style>
  <w:style w:type="paragraph" w:customStyle="1" w:styleId="31">
    <w:name w:val="BB_Author_Name"/>
    <w:basedOn w:val="1"/>
    <w:next w:val="32"/>
    <w:qFormat/>
    <w:uiPriority w:val="0"/>
    <w:pPr>
      <w:widowControl/>
      <w:spacing w:after="240" w:line="480" w:lineRule="auto"/>
      <w:jc w:val="center"/>
    </w:pPr>
    <w:rPr>
      <w:rFonts w:ascii="Times" w:hAnsi="Times" w:cs="Times New Roman"/>
      <w:i/>
      <w:kern w:val="0"/>
      <w:sz w:val="24"/>
      <w:szCs w:val="20"/>
      <w:lang w:eastAsia="en-US"/>
    </w:rPr>
  </w:style>
  <w:style w:type="paragraph" w:customStyle="1" w:styleId="32">
    <w:name w:val="BC_Author_Address"/>
    <w:basedOn w:val="1"/>
    <w:next w:val="1"/>
    <w:qFormat/>
    <w:uiPriority w:val="0"/>
    <w:pPr>
      <w:widowControl/>
      <w:spacing w:after="240" w:line="480" w:lineRule="auto"/>
      <w:jc w:val="center"/>
    </w:pPr>
    <w:rPr>
      <w:rFonts w:ascii="Times" w:hAnsi="Times" w:cs="Times New Roman"/>
      <w:kern w:val="0"/>
      <w:sz w:val="24"/>
      <w:szCs w:val="20"/>
      <w:lang w:eastAsia="en-US"/>
    </w:rPr>
  </w:style>
  <w:style w:type="paragraph" w:customStyle="1" w:styleId="33">
    <w:name w:val="TableBody"/>
    <w:basedOn w:val="1"/>
    <w:qFormat/>
    <w:uiPriority w:val="0"/>
    <w:pPr>
      <w:widowControl/>
      <w:pBdr>
        <w:top w:val="single" w:color="FFFFFF" w:sz="4" w:space="4"/>
        <w:left w:val="single" w:color="FFFFFF" w:sz="4" w:space="4"/>
        <w:bottom w:val="single" w:color="FFFFFF" w:sz="4" w:space="4"/>
        <w:right w:val="single" w:color="FFFFFF" w:sz="4" w:space="4"/>
      </w:pBdr>
      <w:spacing w:line="180" w:lineRule="exact"/>
    </w:pPr>
    <w:rPr>
      <w:rFonts w:ascii="Arial" w:hAnsi="Arial" w:eastAsia="MS Mincho" w:cs="Times New Roman"/>
      <w:kern w:val="0"/>
      <w:sz w:val="14"/>
      <w:szCs w:val="14"/>
      <w:lang w:val="en-GB" w:eastAsia="ja-JP"/>
    </w:rPr>
  </w:style>
  <w:style w:type="paragraph" w:customStyle="1" w:styleId="34">
    <w:name w:val="H1"/>
    <w:basedOn w:val="2"/>
    <w:link w:val="37"/>
    <w:qFormat/>
    <w:uiPriority w:val="0"/>
    <w:pPr>
      <w:keepNext w:val="0"/>
      <w:keepLines w:val="0"/>
      <w:widowControl/>
      <w:spacing w:before="460" w:after="230" w:line="230" w:lineRule="atLeast"/>
      <w:jc w:val="left"/>
    </w:pPr>
    <w:rPr>
      <w:rFonts w:ascii="Arial" w:hAnsi="Arial" w:eastAsia="MS Mincho" w:cs="Times New Roman"/>
      <w:bCs w:val="0"/>
      <w:kern w:val="0"/>
      <w:sz w:val="22"/>
      <w:szCs w:val="20"/>
      <w:lang w:eastAsia="ja-JP"/>
    </w:rPr>
  </w:style>
  <w:style w:type="paragraph" w:customStyle="1" w:styleId="35">
    <w:name w:val="H2"/>
    <w:basedOn w:val="34"/>
    <w:link w:val="38"/>
    <w:qFormat/>
    <w:uiPriority w:val="0"/>
    <w:rPr>
      <w:bCs/>
      <w:sz w:val="18"/>
    </w:rPr>
  </w:style>
  <w:style w:type="paragraph" w:customStyle="1" w:styleId="36">
    <w:name w:val="P1_with_Indendation"/>
    <w:basedOn w:val="1"/>
    <w:qFormat/>
    <w:uiPriority w:val="0"/>
    <w:pPr>
      <w:widowControl/>
      <w:spacing w:after="120" w:line="225" w:lineRule="exact"/>
      <w:ind w:firstLine="284"/>
    </w:pPr>
    <w:rPr>
      <w:rFonts w:ascii="Arial" w:hAnsi="Arial" w:eastAsia="MS Mincho" w:cs="Times New Roman"/>
      <w:kern w:val="0"/>
      <w:sz w:val="17"/>
      <w:szCs w:val="14"/>
      <w:lang w:val="en-GB" w:eastAsia="ja-JP"/>
    </w:rPr>
  </w:style>
  <w:style w:type="character" w:customStyle="1" w:styleId="37">
    <w:name w:val="H1 字符"/>
    <w:link w:val="34"/>
    <w:qFormat/>
    <w:uiPriority w:val="0"/>
    <w:rPr>
      <w:rFonts w:ascii="Arial" w:hAnsi="Arial" w:eastAsia="MS Mincho" w:cs="Times New Roman"/>
      <w:b/>
      <w:kern w:val="0"/>
      <w:sz w:val="22"/>
      <w:szCs w:val="20"/>
      <w:lang w:eastAsia="ja-JP"/>
    </w:rPr>
  </w:style>
  <w:style w:type="character" w:customStyle="1" w:styleId="38">
    <w:name w:val="H2 字符"/>
    <w:link w:val="35"/>
    <w:qFormat/>
    <w:uiPriority w:val="0"/>
    <w:rPr>
      <w:rFonts w:ascii="Arial" w:hAnsi="Arial" w:eastAsia="MS Mincho" w:cs="Times New Roman"/>
      <w:b/>
      <w:bCs/>
      <w:kern w:val="0"/>
      <w:sz w:val="18"/>
      <w:szCs w:val="20"/>
      <w:lang w:eastAsia="ja-JP"/>
    </w:rPr>
  </w:style>
  <w:style w:type="paragraph" w:customStyle="1" w:styleId="39">
    <w:name w:val="TA_Main_Text"/>
    <w:basedOn w:val="1"/>
    <w:link w:val="40"/>
    <w:qFormat/>
    <w:uiPriority w:val="0"/>
    <w:pPr>
      <w:widowControl/>
      <w:spacing w:line="480" w:lineRule="auto"/>
      <w:ind w:firstLine="202"/>
    </w:pPr>
    <w:rPr>
      <w:rFonts w:ascii="Times" w:hAnsi="Times" w:cs="Times New Roman"/>
      <w:kern w:val="0"/>
      <w:sz w:val="24"/>
      <w:szCs w:val="20"/>
      <w:lang w:eastAsia="en-US"/>
    </w:rPr>
  </w:style>
  <w:style w:type="character" w:customStyle="1" w:styleId="40">
    <w:name w:val="TA_Main_Text 字符"/>
    <w:basedOn w:val="14"/>
    <w:link w:val="39"/>
    <w:qFormat/>
    <w:uiPriority w:val="0"/>
    <w:rPr>
      <w:rFonts w:ascii="Times" w:hAnsi="Times" w:cs="Times New Roman"/>
      <w:kern w:val="0"/>
      <w:sz w:val="24"/>
      <w:szCs w:val="20"/>
      <w:lang w:eastAsia="en-US"/>
    </w:rPr>
  </w:style>
  <w:style w:type="paragraph" w:customStyle="1" w:styleId="41">
    <w:name w:val="修订1"/>
    <w:hidden/>
    <w:semiHidden/>
    <w:qFormat/>
    <w:uiPriority w:val="99"/>
    <w:rPr>
      <w:rFonts w:asciiTheme="minorHAnsi" w:hAnsiTheme="minorHAnsi" w:eastAsiaTheme="minorEastAsia" w:cstheme="minorBidi"/>
      <w:kern w:val="2"/>
      <w:sz w:val="21"/>
      <w:szCs w:val="22"/>
      <w:lang w:val="en-US" w:eastAsia="zh-CN" w:bidi="ar-SA"/>
    </w:rPr>
  </w:style>
  <w:style w:type="paragraph" w:styleId="42">
    <w:name w:val="List Paragraph"/>
    <w:basedOn w:val="1"/>
    <w:qFormat/>
    <w:uiPriority w:val="34"/>
    <w:pPr>
      <w:ind w:firstLine="420" w:firstLineChars="200"/>
    </w:pPr>
  </w:style>
  <w:style w:type="paragraph" w:customStyle="1" w:styleId="43">
    <w:name w:val="TableCaption"/>
    <w:basedOn w:val="1"/>
    <w:qFormat/>
    <w:uiPriority w:val="0"/>
    <w:pPr>
      <w:widowControl/>
      <w:spacing w:after="120" w:line="180" w:lineRule="exact"/>
    </w:pPr>
    <w:rPr>
      <w:rFonts w:ascii="Arial" w:hAnsi="Arial" w:eastAsia="MS Mincho" w:cs="Times New Roman"/>
      <w:kern w:val="0"/>
      <w:sz w:val="14"/>
      <w:szCs w:val="14"/>
      <w:lang w:val="en-GB" w:eastAsia="ja-JP"/>
    </w:rPr>
  </w:style>
  <w:style w:type="paragraph" w:customStyle="1" w:styleId="44">
    <w:name w:val="TableHead"/>
    <w:basedOn w:val="43"/>
    <w:qFormat/>
    <w:uiPriority w:val="0"/>
    <w:pPr>
      <w:pBdr>
        <w:top w:val="single" w:color="FFFFFF" w:sz="4" w:space="4"/>
        <w:left w:val="single" w:color="FFFFFF" w:sz="4" w:space="4"/>
        <w:bottom w:val="single" w:color="FFFFFF" w:sz="4" w:space="4"/>
        <w:right w:val="single" w:color="FFFFFF" w:sz="4" w:space="4"/>
      </w:pBdr>
      <w:spacing w:after="0"/>
    </w:pPr>
  </w:style>
  <w:style w:type="paragraph" w:customStyle="1" w:styleId="45">
    <w:name w:val="BD_Abstract"/>
    <w:basedOn w:val="1"/>
    <w:next w:val="1"/>
    <w:qFormat/>
    <w:uiPriority w:val="0"/>
    <w:pPr>
      <w:widowControl/>
      <w:spacing w:before="360" w:after="360" w:line="480" w:lineRule="auto"/>
    </w:pPr>
    <w:rPr>
      <w:rFonts w:ascii="Times" w:hAnsi="Times" w:cs="Times New Roman"/>
      <w:kern w:val="0"/>
      <w:sz w:val="24"/>
      <w:szCs w:val="20"/>
      <w:lang w:eastAsia="en-US"/>
    </w:rPr>
  </w:style>
  <w:style w:type="paragraph" w:customStyle="1" w:styleId="46">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47">
    <w:name w:val="批注文字 字符"/>
    <w:basedOn w:val="14"/>
    <w:link w:val="5"/>
    <w:qFormat/>
    <w:uiPriority w:val="99"/>
  </w:style>
  <w:style w:type="character" w:customStyle="1" w:styleId="48">
    <w:name w:val="未处理的提及1"/>
    <w:basedOn w:val="14"/>
    <w:semiHidden/>
    <w:unhideWhenUsed/>
    <w:qFormat/>
    <w:uiPriority w:val="99"/>
    <w:rPr>
      <w:color w:val="605E5C"/>
      <w:shd w:val="clear" w:color="auto" w:fill="E1DFDD"/>
    </w:rPr>
  </w:style>
  <w:style w:type="paragraph" w:customStyle="1" w:styleId="49">
    <w:name w:val="Title1"/>
    <w:basedOn w:val="1"/>
    <w:next w:val="1"/>
    <w:qFormat/>
    <w:uiPriority w:val="0"/>
    <w:pPr>
      <w:widowControl/>
      <w:spacing w:before="120" w:line="480" w:lineRule="exact"/>
      <w:jc w:val="left"/>
    </w:pPr>
    <w:rPr>
      <w:rFonts w:ascii="Arial" w:hAnsi="Arial" w:eastAsia="MS Mincho" w:cs="Times New Roman"/>
      <w:b/>
      <w:kern w:val="0"/>
      <w:sz w:val="32"/>
      <w:szCs w:val="28"/>
      <w:lang w:val="de-DE" w:eastAsia="ja-JP"/>
    </w:rPr>
  </w:style>
  <w:style w:type="paragraph" w:customStyle="1" w:styleId="50">
    <w:name w:val="Authors"/>
    <w:basedOn w:val="1"/>
    <w:qFormat/>
    <w:uiPriority w:val="0"/>
    <w:pPr>
      <w:widowControl/>
      <w:spacing w:before="120" w:after="120" w:line="320" w:lineRule="exact"/>
      <w:jc w:val="left"/>
    </w:pPr>
    <w:rPr>
      <w:rFonts w:ascii="Arial" w:hAnsi="Arial" w:eastAsia="MS Mincho" w:cs="Times New Roman"/>
      <w:kern w:val="0"/>
      <w:sz w:val="22"/>
      <w:szCs w:val="24"/>
      <w:lang w:val="en-GB" w:eastAsia="ja-JP"/>
    </w:rPr>
  </w:style>
  <w:style w:type="paragraph" w:customStyle="1" w:styleId="51">
    <w:name w:val="Adress"/>
    <w:basedOn w:val="1"/>
    <w:qFormat/>
    <w:uiPriority w:val="0"/>
    <w:pPr>
      <w:widowControl/>
      <w:spacing w:line="180" w:lineRule="exact"/>
      <w:ind w:left="425" w:hanging="425"/>
      <w:jc w:val="left"/>
    </w:pPr>
    <w:rPr>
      <w:rFonts w:ascii="Arial" w:hAnsi="Arial" w:eastAsia="MS Mincho" w:cs="Times New Roman"/>
      <w:kern w:val="0"/>
      <w:sz w:val="14"/>
      <w:szCs w:val="20"/>
      <w:lang w:val="de-DE" w:eastAsia="ja-JP"/>
    </w:rPr>
  </w:style>
  <w:style w:type="paragraph" w:customStyle="1" w:styleId="52">
    <w:name w:val="BI_Email_Address"/>
    <w:basedOn w:val="1"/>
    <w:next w:val="1"/>
    <w:qFormat/>
    <w:uiPriority w:val="0"/>
    <w:pPr>
      <w:widowControl/>
      <w:spacing w:after="200" w:line="480" w:lineRule="auto"/>
    </w:pPr>
    <w:rPr>
      <w:rFonts w:ascii="Times" w:hAnsi="Times" w:cs="Times New Roman"/>
      <w:kern w:val="0"/>
      <w:sz w:val="24"/>
      <w:szCs w:val="20"/>
      <w:lang w:eastAsia="en-US"/>
    </w:rPr>
  </w:style>
  <w:style w:type="table" w:customStyle="1" w:styleId="53">
    <w:name w:val="网格表 1 浅色1"/>
    <w:basedOn w:val="12"/>
    <w:qFormat/>
    <w:uiPriority w:val="46"/>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table" w:customStyle="1" w:styleId="54">
    <w:name w:val="无格式表格 11"/>
    <w:basedOn w:val="12"/>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55">
    <w:name w:val="网格型浅色1"/>
    <w:basedOn w:val="12"/>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56">
    <w:name w:val="无格式表格 21"/>
    <w:basedOn w:val="12"/>
    <w:qFormat/>
    <w:uiPriority w:val="42"/>
    <w:tblPr>
      <w:tblBorders>
        <w:top w:val="single" w:color="7E7E7E" w:themeColor="text1" w:themeTint="80" w:sz="4" w:space="0"/>
        <w:bottom w:val="single" w:color="7E7E7E" w:themeColor="text1" w:themeTint="80" w:sz="4" w:space="0"/>
      </w:tblBorders>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paragraph" w:customStyle="1" w:styleId="57">
    <w:name w:val="书目1"/>
    <w:basedOn w:val="1"/>
    <w:next w:val="1"/>
    <w:unhideWhenUsed/>
    <w:qFormat/>
    <w:uiPriority w:val="37"/>
    <w:pPr>
      <w:tabs>
        <w:tab w:val="left" w:pos="384"/>
      </w:tabs>
      <w:ind w:left="384" w:hanging="384"/>
    </w:pPr>
  </w:style>
  <w:style w:type="character" w:customStyle="1" w:styleId="58">
    <w:name w:val="批注主题 字符"/>
    <w:basedOn w:val="47"/>
    <w:link w:val="11"/>
    <w:semiHidden/>
    <w:qFormat/>
    <w:uiPriority w:val="99"/>
    <w:rPr>
      <w:b/>
      <w:bCs/>
    </w:rPr>
  </w:style>
  <w:style w:type="paragraph" w:customStyle="1" w:styleId="59">
    <w:name w:val="修订2"/>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60">
    <w:name w:val="Revision"/>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61">
    <w:name w:val="Bibliography"/>
    <w:basedOn w:val="1"/>
    <w:next w:val="1"/>
    <w:unhideWhenUsed/>
    <w:qFormat/>
    <w:uiPriority w:val="37"/>
    <w:pPr>
      <w:tabs>
        <w:tab w:val="left" w:pos="384"/>
      </w:tabs>
      <w:spacing w:line="480" w:lineRule="auto"/>
      <w:ind w:left="384" w:hanging="384"/>
    </w:pPr>
  </w:style>
</w:styles>
</file>

<file path=word/_rels/document.xml.rels><?xml version="1.0" encoding="UTF-8" standalone="yes"?>
<Relationships xmlns="http://schemas.openxmlformats.org/package/2006/relationships"><Relationship Id="rId99" Type="http://schemas.openxmlformats.org/officeDocument/2006/relationships/image" Target="media/image68.wmf"/><Relationship Id="rId98" Type="http://schemas.openxmlformats.org/officeDocument/2006/relationships/oleObject" Target="embeddings/oleObject26.bin"/><Relationship Id="rId97" Type="http://schemas.openxmlformats.org/officeDocument/2006/relationships/image" Target="media/image67.png"/><Relationship Id="rId96" Type="http://schemas.openxmlformats.org/officeDocument/2006/relationships/image" Target="media/image66.wmf"/><Relationship Id="rId95" Type="http://schemas.openxmlformats.org/officeDocument/2006/relationships/oleObject" Target="embeddings/oleObject25.bin"/><Relationship Id="rId94" Type="http://schemas.openxmlformats.org/officeDocument/2006/relationships/image" Target="media/image65.png"/><Relationship Id="rId93" Type="http://schemas.openxmlformats.org/officeDocument/2006/relationships/image" Target="media/image64.png"/><Relationship Id="rId92" Type="http://schemas.openxmlformats.org/officeDocument/2006/relationships/image" Target="media/image63.png"/><Relationship Id="rId91" Type="http://schemas.openxmlformats.org/officeDocument/2006/relationships/image" Target="media/image62.png"/><Relationship Id="rId90" Type="http://schemas.openxmlformats.org/officeDocument/2006/relationships/image" Target="media/image61.png"/><Relationship Id="rId9" Type="http://schemas.openxmlformats.org/officeDocument/2006/relationships/image" Target="media/image2.wmf"/><Relationship Id="rId89" Type="http://schemas.openxmlformats.org/officeDocument/2006/relationships/image" Target="media/image60.png"/><Relationship Id="rId88" Type="http://schemas.openxmlformats.org/officeDocument/2006/relationships/image" Target="media/image59.png"/><Relationship Id="rId87" Type="http://schemas.openxmlformats.org/officeDocument/2006/relationships/image" Target="media/image58.png"/><Relationship Id="rId86" Type="http://schemas.openxmlformats.org/officeDocument/2006/relationships/image" Target="media/image57.png"/><Relationship Id="rId85" Type="http://schemas.openxmlformats.org/officeDocument/2006/relationships/image" Target="media/image56.png"/><Relationship Id="rId84" Type="http://schemas.openxmlformats.org/officeDocument/2006/relationships/image" Target="media/image55.png"/><Relationship Id="rId83" Type="http://schemas.openxmlformats.org/officeDocument/2006/relationships/image" Target="media/image54.png"/><Relationship Id="rId82" Type="http://schemas.openxmlformats.org/officeDocument/2006/relationships/image" Target="media/image53.png"/><Relationship Id="rId81" Type="http://schemas.openxmlformats.org/officeDocument/2006/relationships/image" Target="media/image52.png"/><Relationship Id="rId80" Type="http://schemas.openxmlformats.org/officeDocument/2006/relationships/image" Target="media/image51.png"/><Relationship Id="rId8" Type="http://schemas.openxmlformats.org/officeDocument/2006/relationships/oleObject" Target="embeddings/oleObject2.bin"/><Relationship Id="rId79" Type="http://schemas.openxmlformats.org/officeDocument/2006/relationships/image" Target="media/image50.png"/><Relationship Id="rId78" Type="http://schemas.openxmlformats.org/officeDocument/2006/relationships/image" Target="media/image49.png"/><Relationship Id="rId77" Type="http://schemas.openxmlformats.org/officeDocument/2006/relationships/image" Target="media/image48.png"/><Relationship Id="rId76" Type="http://schemas.openxmlformats.org/officeDocument/2006/relationships/image" Target="media/image47.png"/><Relationship Id="rId75" Type="http://schemas.openxmlformats.org/officeDocument/2006/relationships/image" Target="media/image46.png"/><Relationship Id="rId74" Type="http://schemas.openxmlformats.org/officeDocument/2006/relationships/image" Target="media/image45.png"/><Relationship Id="rId73" Type="http://schemas.openxmlformats.org/officeDocument/2006/relationships/image" Target="media/image44.png"/><Relationship Id="rId72" Type="http://schemas.openxmlformats.org/officeDocument/2006/relationships/image" Target="media/image43.png"/><Relationship Id="rId71" Type="http://schemas.openxmlformats.org/officeDocument/2006/relationships/image" Target="media/image42.png"/><Relationship Id="rId70" Type="http://schemas.openxmlformats.org/officeDocument/2006/relationships/image" Target="media/image41.png"/><Relationship Id="rId7" Type="http://schemas.openxmlformats.org/officeDocument/2006/relationships/image" Target="media/image1.wmf"/><Relationship Id="rId69" Type="http://schemas.openxmlformats.org/officeDocument/2006/relationships/image" Target="media/image40.png"/><Relationship Id="rId68" Type="http://schemas.openxmlformats.org/officeDocument/2006/relationships/image" Target="media/image39.png"/><Relationship Id="rId67" Type="http://schemas.openxmlformats.org/officeDocument/2006/relationships/image" Target="media/image38.png"/><Relationship Id="rId66" Type="http://schemas.openxmlformats.org/officeDocument/2006/relationships/image" Target="media/image37.png"/><Relationship Id="rId65" Type="http://schemas.openxmlformats.org/officeDocument/2006/relationships/image" Target="media/image36.png"/><Relationship Id="rId64" Type="http://schemas.openxmlformats.org/officeDocument/2006/relationships/image" Target="media/image35.png"/><Relationship Id="rId63" Type="http://schemas.openxmlformats.org/officeDocument/2006/relationships/image" Target="media/image34.png"/><Relationship Id="rId62" Type="http://schemas.openxmlformats.org/officeDocument/2006/relationships/image" Target="media/image33.png"/><Relationship Id="rId61" Type="http://schemas.openxmlformats.org/officeDocument/2006/relationships/image" Target="media/image32.png"/><Relationship Id="rId60" Type="http://schemas.openxmlformats.org/officeDocument/2006/relationships/image" Target="media/image31.png"/><Relationship Id="rId6" Type="http://schemas.openxmlformats.org/officeDocument/2006/relationships/oleObject" Target="embeddings/oleObject1.bin"/><Relationship Id="rId59" Type="http://schemas.openxmlformats.org/officeDocument/2006/relationships/image" Target="media/image30.png"/><Relationship Id="rId58" Type="http://schemas.openxmlformats.org/officeDocument/2006/relationships/image" Target="media/image29.png"/><Relationship Id="rId57" Type="http://schemas.openxmlformats.org/officeDocument/2006/relationships/image" Target="media/image28.png"/><Relationship Id="rId56" Type="http://schemas.openxmlformats.org/officeDocument/2006/relationships/image" Target="media/image27.png"/><Relationship Id="rId55" Type="http://schemas.openxmlformats.org/officeDocument/2006/relationships/image" Target="media/image26.png"/><Relationship Id="rId54" Type="http://schemas.openxmlformats.org/officeDocument/2006/relationships/image" Target="media/image25.png"/><Relationship Id="rId53" Type="http://schemas.openxmlformats.org/officeDocument/2006/relationships/image" Target="media/image24.wmf"/><Relationship Id="rId52" Type="http://schemas.openxmlformats.org/officeDocument/2006/relationships/oleObject" Target="embeddings/oleObject24.bin"/><Relationship Id="rId51" Type="http://schemas.openxmlformats.org/officeDocument/2006/relationships/image" Target="media/image23.wmf"/><Relationship Id="rId50" Type="http://schemas.openxmlformats.org/officeDocument/2006/relationships/oleObject" Target="embeddings/oleObject23.bin"/><Relationship Id="rId5" Type="http://schemas.openxmlformats.org/officeDocument/2006/relationships/theme" Target="theme/theme1.xml"/><Relationship Id="rId49" Type="http://schemas.openxmlformats.org/officeDocument/2006/relationships/image" Target="media/image22.wmf"/><Relationship Id="rId48" Type="http://schemas.openxmlformats.org/officeDocument/2006/relationships/oleObject" Target="embeddings/oleObject22.bin"/><Relationship Id="rId47" Type="http://schemas.openxmlformats.org/officeDocument/2006/relationships/image" Target="media/image21.wmf"/><Relationship Id="rId46" Type="http://schemas.openxmlformats.org/officeDocument/2006/relationships/oleObject" Target="embeddings/oleObject21.bin"/><Relationship Id="rId45" Type="http://schemas.openxmlformats.org/officeDocument/2006/relationships/image" Target="media/image20.wmf"/><Relationship Id="rId44" Type="http://schemas.openxmlformats.org/officeDocument/2006/relationships/oleObject" Target="embeddings/oleObject20.bin"/><Relationship Id="rId43" Type="http://schemas.openxmlformats.org/officeDocument/2006/relationships/image" Target="media/image19.wmf"/><Relationship Id="rId42" Type="http://schemas.openxmlformats.org/officeDocument/2006/relationships/oleObject" Target="embeddings/oleObject19.bin"/><Relationship Id="rId41" Type="http://schemas.openxmlformats.org/officeDocument/2006/relationships/image" Target="media/image18.wmf"/><Relationship Id="rId40" Type="http://schemas.openxmlformats.org/officeDocument/2006/relationships/oleObject" Target="embeddings/oleObject18.bin"/><Relationship Id="rId4" Type="http://schemas.openxmlformats.org/officeDocument/2006/relationships/footer" Target="footer2.xml"/><Relationship Id="rId39" Type="http://schemas.openxmlformats.org/officeDocument/2006/relationships/image" Target="media/image17.wmf"/><Relationship Id="rId38" Type="http://schemas.openxmlformats.org/officeDocument/2006/relationships/oleObject" Target="embeddings/oleObject17.bin"/><Relationship Id="rId37" Type="http://schemas.openxmlformats.org/officeDocument/2006/relationships/image" Target="media/image16.wmf"/><Relationship Id="rId36" Type="http://schemas.openxmlformats.org/officeDocument/2006/relationships/oleObject" Target="embeddings/oleObject16.bin"/><Relationship Id="rId35" Type="http://schemas.openxmlformats.org/officeDocument/2006/relationships/image" Target="media/image15.wmf"/><Relationship Id="rId34" Type="http://schemas.openxmlformats.org/officeDocument/2006/relationships/oleObject" Target="embeddings/oleObject15.bin"/><Relationship Id="rId33" Type="http://schemas.openxmlformats.org/officeDocument/2006/relationships/image" Target="media/image14.wmf"/><Relationship Id="rId32" Type="http://schemas.openxmlformats.org/officeDocument/2006/relationships/oleObject" Target="embeddings/oleObject14.bin"/><Relationship Id="rId31" Type="http://schemas.openxmlformats.org/officeDocument/2006/relationships/image" Target="media/image13.wmf"/><Relationship Id="rId30" Type="http://schemas.openxmlformats.org/officeDocument/2006/relationships/oleObject" Target="embeddings/oleObject13.bin"/><Relationship Id="rId3" Type="http://schemas.openxmlformats.org/officeDocument/2006/relationships/footer" Target="footer1.xml"/><Relationship Id="rId29" Type="http://schemas.openxmlformats.org/officeDocument/2006/relationships/image" Target="media/image12.wmf"/><Relationship Id="rId28" Type="http://schemas.openxmlformats.org/officeDocument/2006/relationships/oleObject" Target="embeddings/oleObject12.bin"/><Relationship Id="rId27" Type="http://schemas.openxmlformats.org/officeDocument/2006/relationships/image" Target="media/image11.wmf"/><Relationship Id="rId26" Type="http://schemas.openxmlformats.org/officeDocument/2006/relationships/oleObject" Target="embeddings/oleObject11.bin"/><Relationship Id="rId25" Type="http://schemas.openxmlformats.org/officeDocument/2006/relationships/image" Target="media/image10.wmf"/><Relationship Id="rId24" Type="http://schemas.openxmlformats.org/officeDocument/2006/relationships/oleObject" Target="embeddings/oleObject10.bin"/><Relationship Id="rId23" Type="http://schemas.openxmlformats.org/officeDocument/2006/relationships/image" Target="media/image9.wmf"/><Relationship Id="rId22" Type="http://schemas.openxmlformats.org/officeDocument/2006/relationships/oleObject" Target="embeddings/oleObject9.bin"/><Relationship Id="rId21" Type="http://schemas.openxmlformats.org/officeDocument/2006/relationships/image" Target="media/image8.wmf"/><Relationship Id="rId20" Type="http://schemas.openxmlformats.org/officeDocument/2006/relationships/oleObject" Target="embeddings/oleObject8.bin"/><Relationship Id="rId2" Type="http://schemas.openxmlformats.org/officeDocument/2006/relationships/settings" Target="settings.xml"/><Relationship Id="rId19" Type="http://schemas.openxmlformats.org/officeDocument/2006/relationships/image" Target="media/image7.wmf"/><Relationship Id="rId18" Type="http://schemas.openxmlformats.org/officeDocument/2006/relationships/oleObject" Target="embeddings/oleObject7.bin"/><Relationship Id="rId17" Type="http://schemas.openxmlformats.org/officeDocument/2006/relationships/image" Target="media/image6.wmf"/><Relationship Id="rId16" Type="http://schemas.openxmlformats.org/officeDocument/2006/relationships/oleObject" Target="embeddings/oleObject6.bin"/><Relationship Id="rId15" Type="http://schemas.openxmlformats.org/officeDocument/2006/relationships/image" Target="media/image5.wmf"/><Relationship Id="rId14" Type="http://schemas.openxmlformats.org/officeDocument/2006/relationships/oleObject" Target="embeddings/oleObject5.bin"/><Relationship Id="rId13" Type="http://schemas.openxmlformats.org/officeDocument/2006/relationships/image" Target="media/image4.wmf"/><Relationship Id="rId12" Type="http://schemas.openxmlformats.org/officeDocument/2006/relationships/oleObject" Target="embeddings/oleObject4.bin"/><Relationship Id="rId11" Type="http://schemas.openxmlformats.org/officeDocument/2006/relationships/image" Target="media/image3.wmf"/><Relationship Id="rId102" Type="http://schemas.openxmlformats.org/officeDocument/2006/relationships/fontTable" Target="fontTable.xml"/><Relationship Id="rId101" Type="http://schemas.openxmlformats.org/officeDocument/2006/relationships/customXml" Target="../customXml/item1.xml"/><Relationship Id="rId100" Type="http://schemas.openxmlformats.org/officeDocument/2006/relationships/image" Target="media/image69.png"/><Relationship Id="rId10" Type="http://schemas.openxmlformats.org/officeDocument/2006/relationships/oleObject" Target="embeddings/oleObject3.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E14EB8-B343-453C-88EE-1F0CCBDE51D3}">
  <ds:schemaRefs/>
</ds:datastoreItem>
</file>

<file path=docProps/app.xml><?xml version="1.0" encoding="utf-8"?>
<Properties xmlns="http://schemas.openxmlformats.org/officeDocument/2006/extended-properties" xmlns:vt="http://schemas.openxmlformats.org/officeDocument/2006/docPropsVTypes">
  <Template>Normal.dotm</Template>
  <Pages>73</Pages>
  <Words>2196</Words>
  <Characters>12963</Characters>
  <Lines>20737</Lines>
  <Paragraphs>13617</Paragraphs>
  <TotalTime>500</TotalTime>
  <ScaleCrop>false</ScaleCrop>
  <LinksUpToDate>false</LinksUpToDate>
  <CharactersWithSpaces>15464</CharactersWithSpaces>
  <Application>WPS Office_12.1.0.25222_F1E327BC-269C-435d-A152-05C5408002CA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2026-01-28T03:16:00Z</dcterms:created>
  <dc:creator>Chenlu Wang</dc:creator>
  <cp:lastModifiedBy>吴其胜</cp:lastModifiedBy>
  <dcterms:modified xsi:type="dcterms:W3CDTF">2026-02-04T15:38:45Z</dcterms:modified>
  <cp:revision>551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4626510d0c7a53828605bb77476753dfeb858fe2ff347bb1f980726f8de6fccd</vt:lpwstr>
  </property>
  <property fmtid="{D5CDD505-2E9C-101B-9397-08002B2CF9AE}" pid="3" name="ZOTERO_PREF_1">
    <vt:lpwstr>&lt;data data-version="3" zotero-version="8.0.1"&gt;&lt;session id="PifkXSeL"/&gt;&lt;style id="http://www.zotero.org/styles/nature" hasBibliography="1" bibliographyStyleHasBeenSet="1"/&gt;&lt;prefs&gt;&lt;pref name="fieldType" value="Field"/&gt;&lt;/prefs&gt;&lt;/data&gt;</vt:lpwstr>
  </property>
  <property fmtid="{D5CDD505-2E9C-101B-9397-08002B2CF9AE}" pid="4" name="KSOProductBuildVer">
    <vt:lpwstr>2052-12.1.0.25222</vt:lpwstr>
  </property>
  <property fmtid="{D5CDD505-2E9C-101B-9397-08002B2CF9AE}" pid="5" name="ICV">
    <vt:lpwstr>F445BB65664146CA8083420B14219336_13</vt:lpwstr>
  </property>
  <property fmtid="{D5CDD505-2E9C-101B-9397-08002B2CF9AE}" pid="6" name="KSOTemplateDocerSaveRecord">
    <vt:lpwstr>eyJoZGlkIjoiYThjNWQyMjcxYTRmN2EyNGRmNmY5YWQ5OGRjNWZmZWIiLCJ1c2VySWQiOiIxNjM5MTgwNzk1In0=</vt:lpwstr>
  </property>
</Properties>
</file>