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EDB7C" w14:textId="77777777" w:rsidR="008463BB" w:rsidRDefault="008463BB" w:rsidP="00D3223B">
      <w:pPr>
        <w:pStyle w:val="Heading1"/>
      </w:pPr>
      <w: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7574"/>
      </w:tblGrid>
      <w:tr w:rsidR="008463BB" w14:paraId="1C7D0F56" w14:textId="77777777" w:rsidTr="00223F0A">
        <w:tc>
          <w:tcPr>
            <w:tcW w:w="1668" w:type="dxa"/>
            <w:shd w:val="clear" w:color="auto" w:fill="DAE9F7" w:themeFill="text2" w:themeFillTint="1A"/>
          </w:tcPr>
          <w:p w14:paraId="10BCBFBF" w14:textId="2B6FE055" w:rsidR="008463BB" w:rsidRDefault="008463BB" w:rsidP="008463BB">
            <w:r w:rsidRPr="00530FEC">
              <w:t xml:space="preserve">Review Title </w:t>
            </w:r>
          </w:p>
        </w:tc>
        <w:tc>
          <w:tcPr>
            <w:tcW w:w="7574" w:type="dxa"/>
          </w:tcPr>
          <w:p w14:paraId="3414C958" w14:textId="61550F86" w:rsidR="008463BB" w:rsidRDefault="00A11AAA" w:rsidP="008463BB">
            <w:r w:rsidRPr="00A11AAA">
              <w:t>Systematic review and meta-analysis of the long-term cardiovascular safety and efficacy of glucagon-like peptide-1 (GLP-1) receptor agonists in high-risk cardiovascular populations</w:t>
            </w:r>
          </w:p>
        </w:tc>
      </w:tr>
      <w:tr w:rsidR="008463BB" w14:paraId="17E36F11" w14:textId="77777777" w:rsidTr="00223F0A">
        <w:tc>
          <w:tcPr>
            <w:tcW w:w="1668" w:type="dxa"/>
            <w:shd w:val="clear" w:color="auto" w:fill="DAE9F7" w:themeFill="text2" w:themeFillTint="1A"/>
          </w:tcPr>
          <w:p w14:paraId="04C20BF8" w14:textId="7DFDD72B" w:rsidR="008463BB" w:rsidRDefault="008463BB" w:rsidP="008463BB">
            <w:r w:rsidRPr="00530FEC">
              <w:t>Project Lead</w:t>
            </w:r>
          </w:p>
        </w:tc>
        <w:tc>
          <w:tcPr>
            <w:tcW w:w="7574" w:type="dxa"/>
          </w:tcPr>
          <w:p w14:paraId="2351E5A3" w14:textId="3910E07D" w:rsidR="008463BB" w:rsidRDefault="00A11AAA" w:rsidP="008463BB">
            <w:r>
              <w:t>Dr Simon Cork</w:t>
            </w:r>
          </w:p>
        </w:tc>
      </w:tr>
      <w:tr w:rsidR="008463BB" w14:paraId="132DEB8B" w14:textId="77777777" w:rsidTr="00223F0A">
        <w:tc>
          <w:tcPr>
            <w:tcW w:w="1668" w:type="dxa"/>
            <w:shd w:val="clear" w:color="auto" w:fill="DAE9F7" w:themeFill="text2" w:themeFillTint="1A"/>
          </w:tcPr>
          <w:p w14:paraId="0B289248" w14:textId="0E3498F7" w:rsidR="008463BB" w:rsidRDefault="008463BB" w:rsidP="008463BB">
            <w:r w:rsidRPr="00530FEC">
              <w:t>Team Members</w:t>
            </w:r>
          </w:p>
        </w:tc>
        <w:tc>
          <w:tcPr>
            <w:tcW w:w="7574" w:type="dxa"/>
          </w:tcPr>
          <w:p w14:paraId="2E8082FD" w14:textId="6731D886" w:rsidR="008463BB" w:rsidRDefault="00496D86" w:rsidP="008463BB">
            <w:r>
              <w:t>Kezia Peter, Ocin Roka, Emma Sepp, Maya Warburton</w:t>
            </w:r>
            <w:r w:rsidR="006D0717">
              <w:t>,</w:t>
            </w:r>
            <w:r w:rsidR="00B415A7">
              <w:t xml:space="preserve"> Dr</w:t>
            </w:r>
            <w:r w:rsidR="006D0717">
              <w:t xml:space="preserve"> </w:t>
            </w:r>
            <w:proofErr w:type="spellStart"/>
            <w:r w:rsidR="006D0717">
              <w:t>Jufen</w:t>
            </w:r>
            <w:proofErr w:type="spellEnd"/>
            <w:r w:rsidR="006D0717">
              <w:t xml:space="preserve"> Zhang</w:t>
            </w:r>
          </w:p>
        </w:tc>
      </w:tr>
      <w:tr w:rsidR="008463BB" w14:paraId="28210F14" w14:textId="77777777" w:rsidTr="00223F0A">
        <w:tc>
          <w:tcPr>
            <w:tcW w:w="1668" w:type="dxa"/>
            <w:shd w:val="clear" w:color="auto" w:fill="DAE9F7" w:themeFill="text2" w:themeFillTint="1A"/>
          </w:tcPr>
          <w:p w14:paraId="63B1FFD9" w14:textId="12DCF774" w:rsidR="008463BB" w:rsidRDefault="008463BB" w:rsidP="008463BB">
            <w:r w:rsidRPr="00530FEC">
              <w:t>Date</w:t>
            </w:r>
          </w:p>
        </w:tc>
        <w:tc>
          <w:tcPr>
            <w:tcW w:w="7574" w:type="dxa"/>
          </w:tcPr>
          <w:p w14:paraId="3EB10531" w14:textId="072B5640" w:rsidR="008463BB" w:rsidRDefault="00146848" w:rsidP="008463BB">
            <w:r>
              <w:t>1</w:t>
            </w:r>
            <w:r w:rsidR="006C4098">
              <w:t>2/05/2025</w:t>
            </w:r>
          </w:p>
        </w:tc>
      </w:tr>
      <w:tr w:rsidR="008463BB" w14:paraId="698A6A76" w14:textId="77777777" w:rsidTr="00223F0A">
        <w:tc>
          <w:tcPr>
            <w:tcW w:w="1668" w:type="dxa"/>
            <w:shd w:val="clear" w:color="auto" w:fill="DAE9F7" w:themeFill="text2" w:themeFillTint="1A"/>
          </w:tcPr>
          <w:p w14:paraId="174C49C9" w14:textId="420DC7B3" w:rsidR="008463BB" w:rsidRDefault="008463BB" w:rsidP="008463BB">
            <w:r w:rsidRPr="00530FEC">
              <w:t>Institution(s)</w:t>
            </w:r>
          </w:p>
        </w:tc>
        <w:tc>
          <w:tcPr>
            <w:tcW w:w="7574" w:type="dxa"/>
          </w:tcPr>
          <w:p w14:paraId="64B75D7D" w14:textId="5A6F2B27" w:rsidR="008463BB" w:rsidRDefault="006C4098" w:rsidP="008463BB">
            <w:r>
              <w:t>Anglia Ruskin University, School of Medicine</w:t>
            </w:r>
          </w:p>
        </w:tc>
      </w:tr>
    </w:tbl>
    <w:p w14:paraId="00F2E518" w14:textId="77777777" w:rsidR="008463BB" w:rsidRDefault="008463BB" w:rsidP="008463BB"/>
    <w:p w14:paraId="259F4D83" w14:textId="33488A6A" w:rsidR="008463BB" w:rsidRDefault="008463BB" w:rsidP="00D3223B">
      <w:pPr>
        <w:pStyle w:val="Heading1"/>
      </w:pPr>
      <w:r>
        <w:t>Background</w:t>
      </w:r>
    </w:p>
    <w:p w14:paraId="6B6D4FDD" w14:textId="77777777" w:rsidR="008463BB" w:rsidRDefault="008463BB" w:rsidP="008463BB">
      <w:r>
        <w:t xml:space="preserve">Describe the population and problem or phenomenon of interest and contextualize it.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8463BB" w14:paraId="5A2C41DD" w14:textId="77777777" w:rsidTr="23D8D9CD">
        <w:trPr>
          <w:trHeight w:val="1870"/>
        </w:trPr>
        <w:tc>
          <w:tcPr>
            <w:tcW w:w="9242" w:type="dxa"/>
          </w:tcPr>
          <w:p w14:paraId="746B6CBC" w14:textId="172BB115" w:rsidR="008463BB" w:rsidRDefault="7C7561CE" w:rsidP="008463BB">
            <w:r>
              <w:t>Cardiovascular disease (CVD) is the leading cause of morbidity and mortality worldwide and the risk especially heightens for th</w:t>
            </w:r>
            <w:r w:rsidR="3713EE51">
              <w:t xml:space="preserve">ose with a background of Type 2 Diabetes and other metabolic disorders. This population at higher risk of CVD are </w:t>
            </w:r>
            <w:r>
              <w:t>disproportionately</w:t>
            </w:r>
            <w:r w:rsidR="30F46BE5">
              <w:t xml:space="preserve"> impacted by</w:t>
            </w:r>
            <w:r>
              <w:t xml:space="preserve"> atherogenic risk factors such as dyslipid</w:t>
            </w:r>
            <w:r w:rsidR="03BE6F31">
              <w:t>a</w:t>
            </w:r>
            <w:r>
              <w:t>emia, hypertension, chronic inflammation, and endothelial dysfunction</w:t>
            </w:r>
            <w:r w:rsidR="3365078A">
              <w:t>.</w:t>
            </w:r>
            <w:r>
              <w:t xml:space="preserve"> </w:t>
            </w:r>
            <w:r w:rsidR="210B602C">
              <w:t>To i</w:t>
            </w:r>
            <w:r>
              <w:t xml:space="preserve">mprove long-term outcomes in </w:t>
            </w:r>
            <w:r w:rsidR="37ECEC2B">
              <w:t xml:space="preserve">high-risk groups, there is </w:t>
            </w:r>
            <w:r w:rsidR="00F612CD">
              <w:t xml:space="preserve">an </w:t>
            </w:r>
            <w:r w:rsidR="37ECEC2B">
              <w:t>urgent requirement for effective therapeutic interventions for CVD.</w:t>
            </w:r>
          </w:p>
          <w:p w14:paraId="63CB8E3F" w14:textId="2DEB49FF" w:rsidR="008463BB" w:rsidRDefault="008463BB" w:rsidP="008463BB"/>
          <w:p w14:paraId="227D6280" w14:textId="77777777" w:rsidR="0024397E" w:rsidRDefault="005C98F6" w:rsidP="0024397E">
            <w:r>
              <w:t>Over the past few years</w:t>
            </w:r>
            <w:r w:rsidR="7C7561CE">
              <w:t>, glucagon-like peptide-1 receptor agonist</w:t>
            </w:r>
            <w:r w:rsidR="150E58F9">
              <w:t xml:space="preserve">s </w:t>
            </w:r>
            <w:r w:rsidR="7C7561CE">
              <w:t xml:space="preserve">(GLP-1 RAs) </w:t>
            </w:r>
            <w:r w:rsidR="14FFB52E">
              <w:t>ha</w:t>
            </w:r>
            <w:r w:rsidR="37C2E5D5">
              <w:t>ve</w:t>
            </w:r>
            <w:r w:rsidR="14FFB52E">
              <w:t xml:space="preserve"> surfaced as poten</w:t>
            </w:r>
            <w:r w:rsidR="25423228">
              <w:t xml:space="preserve">t </w:t>
            </w:r>
            <w:r w:rsidR="7C7561CE">
              <w:t>glucose-lowering agent</w:t>
            </w:r>
            <w:r w:rsidR="717B2D4C">
              <w:t>s. Simply beyond optimising glycaemic control, this drug class may have</w:t>
            </w:r>
            <w:r w:rsidR="3E6F7BE0">
              <w:t xml:space="preserve"> capacity to reduce cardiovascular risk too. The underlying mechanism of GLP-1 RAs is</w:t>
            </w:r>
            <w:r w:rsidR="7C7561CE">
              <w:t xml:space="preserve"> to enhance insulin secretion</w:t>
            </w:r>
            <w:r w:rsidR="38C849CD">
              <w:t xml:space="preserve"> </w:t>
            </w:r>
            <w:r w:rsidR="177F8D43">
              <w:t xml:space="preserve">by mimicking incretin to enhance glucose-dependent insulin secretion, </w:t>
            </w:r>
            <w:r w:rsidR="7C0B9C7B">
              <w:t xml:space="preserve">suppress glucagon release, delay gastric emptying and reduce appetite. Recently, </w:t>
            </w:r>
            <w:r w:rsidR="7C7561CE">
              <w:t xml:space="preserve">GLP-1 RAs have demonstrated </w:t>
            </w:r>
            <w:r w:rsidR="681DB837">
              <w:t xml:space="preserve">various </w:t>
            </w:r>
            <w:r w:rsidR="7C7561CE">
              <w:t>pleiotropic effects including weight loss, blood pressure reduction</w:t>
            </w:r>
            <w:r w:rsidR="66704040">
              <w:t xml:space="preserve"> and </w:t>
            </w:r>
            <w:r w:rsidR="7C7561CE">
              <w:t>improved lipid profiles</w:t>
            </w:r>
            <w:r w:rsidR="64285F96">
              <w:t>.</w:t>
            </w:r>
            <w:r w:rsidR="7C7561CE">
              <w:t xml:space="preserve"> </w:t>
            </w:r>
          </w:p>
          <w:p w14:paraId="78F56994" w14:textId="77777777" w:rsidR="0024397E" w:rsidRDefault="0024397E" w:rsidP="0024397E"/>
          <w:p w14:paraId="05098B28" w14:textId="3F389693" w:rsidR="008463BB" w:rsidRDefault="1CC754AC" w:rsidP="23D8D9CD">
            <w:r>
              <w:t>There</w:t>
            </w:r>
            <w:r w:rsidR="6B7DA107">
              <w:t xml:space="preserve"> have</w:t>
            </w:r>
            <w:r>
              <w:t xml:space="preserve"> been numerous l</w:t>
            </w:r>
            <w:r w:rsidR="7C7561CE">
              <w:t xml:space="preserve">arge-scale cardiovascular outcome trials (CVOTs) </w:t>
            </w:r>
            <w:r w:rsidR="6E77FD82">
              <w:t xml:space="preserve">evaluating </w:t>
            </w:r>
            <w:r w:rsidR="7C7561CE">
              <w:t xml:space="preserve">the safety and efficacy of GLP-1 RAs in </w:t>
            </w:r>
            <w:r w:rsidR="684FEEBD">
              <w:t>patient</w:t>
            </w:r>
            <w:r w:rsidR="7C7561CE">
              <w:t xml:space="preserve">s at high cardiovascular risk, with </w:t>
            </w:r>
            <w:r w:rsidR="6286D092">
              <w:t xml:space="preserve">hopeful indications </w:t>
            </w:r>
            <w:r w:rsidR="7C7561CE">
              <w:t xml:space="preserve">that </w:t>
            </w:r>
            <w:r w:rsidR="5F09E515">
              <w:t xml:space="preserve">demonstrate </w:t>
            </w:r>
            <w:r w:rsidR="7C7561CE">
              <w:t>reductions in major adverse cardiovascular events (MACE).</w:t>
            </w:r>
            <w:r w:rsidR="009202FE">
              <w:t xml:space="preserve"> </w:t>
            </w:r>
            <w:r w:rsidR="787E3864">
              <w:t xml:space="preserve">Regardless of </w:t>
            </w:r>
            <w:r w:rsidR="7C7561CE">
              <w:t xml:space="preserve">these encouraging results, the long-term impact of GLP-1 RAs </w:t>
            </w:r>
            <w:r w:rsidR="787E3864">
              <w:t xml:space="preserve">in </w:t>
            </w:r>
            <w:r w:rsidR="4DAB3661">
              <w:t>cardiovascular</w:t>
            </w:r>
            <w:r w:rsidR="787E3864">
              <w:t xml:space="preserve"> health is unclear</w:t>
            </w:r>
            <w:r w:rsidR="38E84D82">
              <w:t xml:space="preserve"> in patients</w:t>
            </w:r>
            <w:r w:rsidR="7C7561CE">
              <w:t xml:space="preserve"> with established CVD or multiple cardiovascular </w:t>
            </w:r>
            <w:r w:rsidR="38E84D82">
              <w:t>risks.</w:t>
            </w:r>
            <w:r w:rsidR="0024397E">
              <w:t xml:space="preserve"> </w:t>
            </w:r>
            <w:r w:rsidR="4CCF3817">
              <w:t>The</w:t>
            </w:r>
            <w:r w:rsidR="009202FE">
              <w:t>re are a</w:t>
            </w:r>
            <w:r w:rsidR="4CCF3817">
              <w:t xml:space="preserve"> range o</w:t>
            </w:r>
            <w:r w:rsidR="0073131F">
              <w:t>f</w:t>
            </w:r>
            <w:r w:rsidR="4CCF3817">
              <w:t xml:space="preserve"> outcomes </w:t>
            </w:r>
            <w:r w:rsidR="009202FE">
              <w:t xml:space="preserve">reported by these trials </w:t>
            </w:r>
            <w:r w:rsidR="4CCF3817">
              <w:t xml:space="preserve">due to the variability of trial design, patient </w:t>
            </w:r>
            <w:r w:rsidR="3C41F5D6">
              <w:t>characteristics and</w:t>
            </w:r>
            <w:r w:rsidR="4CCF3817">
              <w:t xml:space="preserve"> follow-up</w:t>
            </w:r>
            <w:r w:rsidR="009202FE">
              <w:t xml:space="preserve"> duration</w:t>
            </w:r>
            <w:r w:rsidR="4CCF3817">
              <w:t>. As a result, this ne</w:t>
            </w:r>
            <w:r w:rsidR="30F1F474">
              <w:t>cessitates</w:t>
            </w:r>
            <w:r w:rsidR="7C7561CE">
              <w:t xml:space="preserve"> a comprehensive synthesis of </w:t>
            </w:r>
            <w:r w:rsidR="30F1F474">
              <w:t xml:space="preserve">the </w:t>
            </w:r>
            <w:r w:rsidR="7C7561CE">
              <w:t xml:space="preserve">current </w:t>
            </w:r>
            <w:r w:rsidR="30F1F474">
              <w:t>data on</w:t>
            </w:r>
            <w:r w:rsidR="7C7561CE">
              <w:t xml:space="preserve"> the long-term cardiovascular safety and efficacy of GLP-1 </w:t>
            </w:r>
            <w:r w:rsidR="30F1F474">
              <w:t>receptor agonists</w:t>
            </w:r>
            <w:r w:rsidR="7C7561CE">
              <w:t xml:space="preserve"> in high-risk populations to inform clinical decision-making</w:t>
            </w:r>
            <w:r w:rsidR="4C3B5622">
              <w:t xml:space="preserve">. </w:t>
            </w:r>
          </w:p>
        </w:tc>
      </w:tr>
    </w:tbl>
    <w:p w14:paraId="62BDAE0C" w14:textId="77777777" w:rsidR="000D4241" w:rsidRDefault="000D4241" w:rsidP="00D3223B">
      <w:pPr>
        <w:pStyle w:val="Heading1"/>
      </w:pPr>
    </w:p>
    <w:p w14:paraId="6414375F" w14:textId="77777777" w:rsidR="00B129FC" w:rsidRDefault="00B129FC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479E9CE7" w14:textId="5EF1248E" w:rsidR="008463BB" w:rsidRDefault="008463BB" w:rsidP="00D3223B">
      <w:pPr>
        <w:pStyle w:val="Heading1"/>
      </w:pPr>
      <w:r>
        <w:lastRenderedPageBreak/>
        <w:t>Objective</w:t>
      </w:r>
    </w:p>
    <w:p w14:paraId="2AF62A5A" w14:textId="77777777" w:rsidR="008463BB" w:rsidRDefault="008463BB" w:rsidP="008463BB">
      <w:r>
        <w:t>Describe the justification for this review and why it/the information it collects is important.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8463BB" w14:paraId="29C4A22C" w14:textId="77777777" w:rsidTr="008463BB">
        <w:trPr>
          <w:trHeight w:val="1874"/>
        </w:trPr>
        <w:tc>
          <w:tcPr>
            <w:tcW w:w="9242" w:type="dxa"/>
          </w:tcPr>
          <w:p w14:paraId="2A8F03ED" w14:textId="77777777" w:rsidR="00ED1EDB" w:rsidRPr="00ED1EDB" w:rsidRDefault="00ED1EDB" w:rsidP="00ED1EDB">
            <w:pPr>
              <w:rPr>
                <w:b/>
                <w:bCs/>
              </w:rPr>
            </w:pPr>
            <w:r w:rsidRPr="00ED1EDB">
              <w:rPr>
                <w:b/>
                <w:bCs/>
              </w:rPr>
              <w:t>Primary objective:</w:t>
            </w:r>
          </w:p>
          <w:p w14:paraId="4B966F2B" w14:textId="77777777" w:rsidR="00ED1EDB" w:rsidRDefault="00ED1EDB" w:rsidP="00ED1EDB">
            <w:pPr>
              <w:pStyle w:val="ListParagraph"/>
              <w:numPr>
                <w:ilvl w:val="0"/>
                <w:numId w:val="1"/>
              </w:numPr>
            </w:pPr>
            <w:r>
              <w:t>To evaluate the long-term cardiovascular safety and efficacy of glucagon-like peptide-1 (GLP-1) receptor agonists in adults at high risk of cardiovascular disease.</w:t>
            </w:r>
          </w:p>
          <w:p w14:paraId="46D66BA3" w14:textId="77777777" w:rsidR="00ED1EDB" w:rsidRDefault="00ED1EDB" w:rsidP="00ED1EDB">
            <w:pPr>
              <w:rPr>
                <w:b/>
                <w:bCs/>
              </w:rPr>
            </w:pPr>
          </w:p>
          <w:p w14:paraId="653396D1" w14:textId="575083A0" w:rsidR="00ED1EDB" w:rsidRPr="00ED1EDB" w:rsidRDefault="00ED1EDB" w:rsidP="00ED1EDB">
            <w:pPr>
              <w:rPr>
                <w:b/>
                <w:bCs/>
              </w:rPr>
            </w:pPr>
            <w:r w:rsidRPr="00ED1EDB">
              <w:rPr>
                <w:b/>
                <w:bCs/>
              </w:rPr>
              <w:t>Specific review questions:</w:t>
            </w:r>
          </w:p>
          <w:p w14:paraId="072DB3BC" w14:textId="77777777" w:rsidR="00ED1EDB" w:rsidRDefault="00ED1EDB" w:rsidP="00ED1EDB">
            <w:pPr>
              <w:pStyle w:val="ListParagraph"/>
              <w:numPr>
                <w:ilvl w:val="0"/>
                <w:numId w:val="1"/>
              </w:numPr>
            </w:pPr>
            <w:r>
              <w:t>Do GLP-1 receptor agonists reduce the incidence of major adverse cardiovascular events (MACE) compared to placebo or standard care in high-risk cardiovascular populations?</w:t>
            </w:r>
          </w:p>
          <w:p w14:paraId="7F54E4AC" w14:textId="77777777" w:rsidR="00ED1EDB" w:rsidRDefault="00ED1EDB" w:rsidP="00ED1EDB">
            <w:pPr>
              <w:pStyle w:val="ListParagraph"/>
              <w:numPr>
                <w:ilvl w:val="0"/>
                <w:numId w:val="1"/>
              </w:numPr>
            </w:pPr>
            <w:r>
              <w:t>What is the effect of GLP-1 receptor agonists on individual cardiovascular outcomes such as cardiovascular mortality, non-fatal myocardial infarction, and stroke?</w:t>
            </w:r>
          </w:p>
          <w:p w14:paraId="35982B5F" w14:textId="76D58F38" w:rsidR="008463BB" w:rsidRDefault="00ED1EDB" w:rsidP="00ED1EDB">
            <w:pPr>
              <w:pStyle w:val="ListParagraph"/>
              <w:numPr>
                <w:ilvl w:val="0"/>
                <w:numId w:val="1"/>
              </w:numPr>
            </w:pPr>
            <w:r>
              <w:t>Are GLP-1 receptor agonists associated with increased adverse effects, such as severe hypoglycaemia, pancreatitis and gastrointestinal side effects?</w:t>
            </w:r>
          </w:p>
        </w:tc>
      </w:tr>
    </w:tbl>
    <w:p w14:paraId="40C38FC5" w14:textId="77777777" w:rsidR="008463BB" w:rsidRDefault="008463BB" w:rsidP="008463BB"/>
    <w:p w14:paraId="0C34968E" w14:textId="77777777" w:rsidR="008463BB" w:rsidRDefault="008463BB" w:rsidP="00D3223B">
      <w:pPr>
        <w:pStyle w:val="Heading1"/>
      </w:pPr>
      <w:r>
        <w:t>Search Strategy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8C73B6" w14:paraId="68FF69F3" w14:textId="77777777" w:rsidTr="0063078E">
        <w:tc>
          <w:tcPr>
            <w:tcW w:w="9242" w:type="dxa"/>
            <w:shd w:val="clear" w:color="auto" w:fill="DAE9F7" w:themeFill="text2" w:themeFillTint="1A"/>
          </w:tcPr>
          <w:p w14:paraId="7DDED788" w14:textId="0F2C3B33" w:rsidR="008C73B6" w:rsidRDefault="008C73B6" w:rsidP="008C73B6">
            <w:r w:rsidRPr="00321AE8">
              <w:t>Databases</w:t>
            </w:r>
          </w:p>
        </w:tc>
      </w:tr>
      <w:tr w:rsidR="008C73B6" w14:paraId="27595054" w14:textId="77777777" w:rsidTr="0063078E">
        <w:tc>
          <w:tcPr>
            <w:tcW w:w="9242" w:type="dxa"/>
            <w:shd w:val="clear" w:color="auto" w:fill="DAE9F7" w:themeFill="text2" w:themeFillTint="1A"/>
          </w:tcPr>
          <w:p w14:paraId="29907EB3" w14:textId="2EE7BBC4" w:rsidR="008C73B6" w:rsidRDefault="008C73B6" w:rsidP="008C73B6">
            <w:r w:rsidRPr="00321AE8">
              <w:t>List the bibliographic databases to be searched.</w:t>
            </w:r>
          </w:p>
        </w:tc>
      </w:tr>
      <w:tr w:rsidR="008C73B6" w14:paraId="39B2F395" w14:textId="77777777" w:rsidTr="008C73B6">
        <w:tc>
          <w:tcPr>
            <w:tcW w:w="9242" w:type="dxa"/>
          </w:tcPr>
          <w:p w14:paraId="286B5BF1" w14:textId="3B9DBC99" w:rsidR="008C73B6" w:rsidRDefault="0037557F" w:rsidP="008C73B6">
            <w:r>
              <w:t xml:space="preserve">PubMed, Embase via OVID, </w:t>
            </w:r>
            <w:r w:rsidR="006E13DB">
              <w:t>the Cochrane Library</w:t>
            </w:r>
          </w:p>
        </w:tc>
      </w:tr>
      <w:tr w:rsidR="008C73B6" w14:paraId="21DB98B9" w14:textId="77777777" w:rsidTr="0063078E">
        <w:tc>
          <w:tcPr>
            <w:tcW w:w="9242" w:type="dxa"/>
            <w:shd w:val="clear" w:color="auto" w:fill="DAE9F7" w:themeFill="text2" w:themeFillTint="1A"/>
          </w:tcPr>
          <w:p w14:paraId="0C43D8AA" w14:textId="0B1B1670" w:rsidR="008C73B6" w:rsidRDefault="008C73B6" w:rsidP="008C73B6">
            <w:r w:rsidRPr="00321AE8">
              <w:t>Hand Searching</w:t>
            </w:r>
          </w:p>
        </w:tc>
      </w:tr>
      <w:tr w:rsidR="008C73B6" w14:paraId="181B813F" w14:textId="77777777" w:rsidTr="0063078E">
        <w:tc>
          <w:tcPr>
            <w:tcW w:w="9242" w:type="dxa"/>
            <w:shd w:val="clear" w:color="auto" w:fill="DAE9F7" w:themeFill="text2" w:themeFillTint="1A"/>
          </w:tcPr>
          <w:p w14:paraId="007EB612" w14:textId="29387E10" w:rsidR="008C73B6" w:rsidRDefault="008C73B6" w:rsidP="008C73B6">
            <w:r w:rsidRPr="00321AE8">
              <w:t>List journals or websites that will be hand searched for relevant articles.</w:t>
            </w:r>
          </w:p>
        </w:tc>
      </w:tr>
      <w:tr w:rsidR="008C73B6" w14:paraId="585B7119" w14:textId="77777777" w:rsidTr="008C73B6">
        <w:tc>
          <w:tcPr>
            <w:tcW w:w="9242" w:type="dxa"/>
          </w:tcPr>
          <w:p w14:paraId="737B32DE" w14:textId="77777777" w:rsidR="008C73B6" w:rsidRDefault="008C73B6" w:rsidP="008C73B6"/>
        </w:tc>
      </w:tr>
      <w:tr w:rsidR="008C73B6" w14:paraId="0A1DB77A" w14:textId="77777777" w:rsidTr="0063078E">
        <w:tc>
          <w:tcPr>
            <w:tcW w:w="9242" w:type="dxa"/>
            <w:shd w:val="clear" w:color="auto" w:fill="DAE9F7" w:themeFill="text2" w:themeFillTint="1A"/>
          </w:tcPr>
          <w:p w14:paraId="0B4FA947" w14:textId="7748E834" w:rsidR="008C73B6" w:rsidRDefault="008C73B6" w:rsidP="008C73B6">
            <w:r w:rsidRPr="00321AE8">
              <w:t>Experts or Stakeholders</w:t>
            </w:r>
          </w:p>
        </w:tc>
      </w:tr>
      <w:tr w:rsidR="008C73B6" w14:paraId="1D1DBD3E" w14:textId="77777777" w:rsidTr="0063078E">
        <w:tc>
          <w:tcPr>
            <w:tcW w:w="9242" w:type="dxa"/>
            <w:shd w:val="clear" w:color="auto" w:fill="DAE9F7" w:themeFill="text2" w:themeFillTint="1A"/>
          </w:tcPr>
          <w:p w14:paraId="6D637F76" w14:textId="4300FC2A" w:rsidR="008C73B6" w:rsidRDefault="008C73B6" w:rsidP="008C73B6">
            <w:r w:rsidRPr="00321AE8">
              <w:t>If experts are being contacted for additional grey literature or research, list them.</w:t>
            </w:r>
          </w:p>
        </w:tc>
      </w:tr>
      <w:tr w:rsidR="005D75F4" w14:paraId="7DB7E0F2" w14:textId="77777777" w:rsidTr="008C73B6">
        <w:tc>
          <w:tcPr>
            <w:tcW w:w="9242" w:type="dxa"/>
          </w:tcPr>
          <w:p w14:paraId="06F84691" w14:textId="77777777" w:rsidR="005D75F4" w:rsidRPr="00321AE8" w:rsidRDefault="005D75F4" w:rsidP="008C73B6"/>
        </w:tc>
      </w:tr>
      <w:tr w:rsidR="005D75F4" w14:paraId="321B0856" w14:textId="77777777" w:rsidTr="0063078E">
        <w:tc>
          <w:tcPr>
            <w:tcW w:w="9242" w:type="dxa"/>
            <w:shd w:val="clear" w:color="auto" w:fill="DAE9F7" w:themeFill="text2" w:themeFillTint="1A"/>
          </w:tcPr>
          <w:p w14:paraId="2DDA7DDB" w14:textId="42520E0F" w:rsidR="005D75F4" w:rsidRPr="00321AE8" w:rsidRDefault="005D75F4" w:rsidP="005D75F4">
            <w:r w:rsidRPr="004061C0">
              <w:t>Reference Searches</w:t>
            </w:r>
          </w:p>
        </w:tc>
      </w:tr>
      <w:tr w:rsidR="005D75F4" w14:paraId="198BA202" w14:textId="77777777" w:rsidTr="0063078E">
        <w:tc>
          <w:tcPr>
            <w:tcW w:w="9242" w:type="dxa"/>
            <w:shd w:val="clear" w:color="auto" w:fill="DAE9F7" w:themeFill="text2" w:themeFillTint="1A"/>
          </w:tcPr>
          <w:p w14:paraId="08575605" w14:textId="60F23C19" w:rsidR="005D75F4" w:rsidRPr="00321AE8" w:rsidRDefault="005D75F4" w:rsidP="005D75F4">
            <w:r w:rsidRPr="004061C0">
              <w:t>If forward or backward citations will be performed, detail them here.</w:t>
            </w:r>
          </w:p>
        </w:tc>
      </w:tr>
      <w:tr w:rsidR="005D75F4" w14:paraId="744AAFFC" w14:textId="77777777" w:rsidTr="008C73B6">
        <w:tc>
          <w:tcPr>
            <w:tcW w:w="9242" w:type="dxa"/>
          </w:tcPr>
          <w:p w14:paraId="7952B084" w14:textId="77777777" w:rsidR="005D75F4" w:rsidRPr="00321AE8" w:rsidRDefault="005D75F4" w:rsidP="005D75F4"/>
        </w:tc>
      </w:tr>
    </w:tbl>
    <w:p w14:paraId="29436867" w14:textId="77777777" w:rsidR="008463BB" w:rsidRDefault="008463BB" w:rsidP="008463BB"/>
    <w:p w14:paraId="6F739190" w14:textId="77777777" w:rsidR="00F10E4B" w:rsidRDefault="00F10E4B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62399BE0" w14:textId="0E7667AA" w:rsidR="008463BB" w:rsidRDefault="008463BB" w:rsidP="00D3223B">
      <w:pPr>
        <w:pStyle w:val="Heading1"/>
      </w:pPr>
      <w:r>
        <w:lastRenderedPageBreak/>
        <w:t>Eligibility Criteria</w:t>
      </w:r>
    </w:p>
    <w:p w14:paraId="571DC3E1" w14:textId="77777777" w:rsidR="008463BB" w:rsidRDefault="008463BB" w:rsidP="008463BB">
      <w:r>
        <w:t xml:space="preserve">Operationalize your PICO (or other framework) concepts by explicitly stating what would and would not meet inclusion.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3685"/>
        <w:gridCol w:w="4031"/>
      </w:tblGrid>
      <w:tr w:rsidR="00505D13" w14:paraId="05FF9E35" w14:textId="77777777" w:rsidTr="00191BE4">
        <w:tc>
          <w:tcPr>
            <w:tcW w:w="1526" w:type="dxa"/>
            <w:shd w:val="clear" w:color="auto" w:fill="DAE9F7" w:themeFill="text2" w:themeFillTint="1A"/>
          </w:tcPr>
          <w:p w14:paraId="30EBB12D" w14:textId="761DDAE7" w:rsidR="00505D13" w:rsidRDefault="00505D13" w:rsidP="00505D13">
            <w:r w:rsidRPr="0048081F">
              <w:t>PICO</w:t>
            </w:r>
            <w:r w:rsidR="00191BE4">
              <w:t>S</w:t>
            </w:r>
          </w:p>
        </w:tc>
        <w:tc>
          <w:tcPr>
            <w:tcW w:w="3685" w:type="dxa"/>
            <w:shd w:val="clear" w:color="auto" w:fill="DAE9F7" w:themeFill="text2" w:themeFillTint="1A"/>
          </w:tcPr>
          <w:p w14:paraId="5CF8C7F7" w14:textId="11E42CD5" w:rsidR="00505D13" w:rsidRDefault="00505D13" w:rsidP="00505D13">
            <w:r w:rsidRPr="0048081F">
              <w:t>Inclusion Criteria</w:t>
            </w:r>
          </w:p>
        </w:tc>
        <w:tc>
          <w:tcPr>
            <w:tcW w:w="4031" w:type="dxa"/>
            <w:shd w:val="clear" w:color="auto" w:fill="DAE9F7" w:themeFill="text2" w:themeFillTint="1A"/>
          </w:tcPr>
          <w:p w14:paraId="4F1C268C" w14:textId="79989921" w:rsidR="00505D13" w:rsidRDefault="00505D13" w:rsidP="00505D13">
            <w:r w:rsidRPr="0048081F">
              <w:t>Exclusion Criteria</w:t>
            </w:r>
          </w:p>
        </w:tc>
      </w:tr>
      <w:tr w:rsidR="00505D13" w14:paraId="4AABADB2" w14:textId="77777777" w:rsidTr="00191BE4">
        <w:tc>
          <w:tcPr>
            <w:tcW w:w="1526" w:type="dxa"/>
          </w:tcPr>
          <w:p w14:paraId="3A650676" w14:textId="6E377834" w:rsidR="00505D13" w:rsidRDefault="00505D13" w:rsidP="00505D13">
            <w:r w:rsidRPr="0048081F">
              <w:t>Population</w:t>
            </w:r>
          </w:p>
        </w:tc>
        <w:tc>
          <w:tcPr>
            <w:tcW w:w="3685" w:type="dxa"/>
          </w:tcPr>
          <w:p w14:paraId="4134478F" w14:textId="77777777" w:rsidR="00864E74" w:rsidRDefault="00864E74" w:rsidP="00864E74">
            <w:pPr>
              <w:pStyle w:val="ListParagraph"/>
              <w:numPr>
                <w:ilvl w:val="0"/>
                <w:numId w:val="2"/>
              </w:numPr>
            </w:pPr>
            <w:r>
              <w:t>Adults (≥18 years) only at high risk for cardiovascular disease (CVD) or with established CVD (coronary artery disease, heart failure, prior myocardial infarction, stroke).</w:t>
            </w:r>
          </w:p>
          <w:p w14:paraId="50B5A0FA" w14:textId="0DAA1258" w:rsidR="00505D13" w:rsidRDefault="00864E74" w:rsidP="00864E74">
            <w:pPr>
              <w:pStyle w:val="ListParagraph"/>
              <w:numPr>
                <w:ilvl w:val="0"/>
                <w:numId w:val="2"/>
              </w:numPr>
            </w:pPr>
            <w:r>
              <w:t>Patients with comorbid conditions associated with cardiovascular risk - type 2 diabetes, hypertension, dyslipidaemia.</w:t>
            </w:r>
          </w:p>
        </w:tc>
        <w:tc>
          <w:tcPr>
            <w:tcW w:w="4031" w:type="dxa"/>
          </w:tcPr>
          <w:p w14:paraId="2D25776F" w14:textId="62047515" w:rsidR="005503A7" w:rsidRDefault="005503A7" w:rsidP="005503A7">
            <w:pPr>
              <w:pStyle w:val="ListParagraph"/>
              <w:numPr>
                <w:ilvl w:val="0"/>
                <w:numId w:val="2"/>
              </w:numPr>
            </w:pPr>
            <w:r>
              <w:t>Studies involving paediatric or adolescent populations (</w:t>
            </w:r>
            <w:r w:rsidR="00A774CA">
              <w:t>&lt;</w:t>
            </w:r>
            <w:r>
              <w:t>18 years).</w:t>
            </w:r>
          </w:p>
          <w:p w14:paraId="62ED74EE" w14:textId="1163AC3A" w:rsidR="00505D13" w:rsidRDefault="005503A7" w:rsidP="005503A7">
            <w:pPr>
              <w:pStyle w:val="ListParagraph"/>
              <w:numPr>
                <w:ilvl w:val="0"/>
                <w:numId w:val="2"/>
              </w:numPr>
            </w:pPr>
            <w:r>
              <w:t>Patients without high cardiovascular risk or established CVD.</w:t>
            </w:r>
          </w:p>
        </w:tc>
      </w:tr>
      <w:tr w:rsidR="00505D13" w14:paraId="6C8C4320" w14:textId="77777777" w:rsidTr="00191BE4">
        <w:tc>
          <w:tcPr>
            <w:tcW w:w="1526" w:type="dxa"/>
          </w:tcPr>
          <w:p w14:paraId="37335A55" w14:textId="71D8813C" w:rsidR="00505D13" w:rsidRDefault="00505D13" w:rsidP="00505D13">
            <w:r w:rsidRPr="0048081F">
              <w:t>Intervention</w:t>
            </w:r>
          </w:p>
        </w:tc>
        <w:tc>
          <w:tcPr>
            <w:tcW w:w="3685" w:type="dxa"/>
          </w:tcPr>
          <w:p w14:paraId="481D5275" w14:textId="52F89F80" w:rsidR="00505D13" w:rsidRDefault="00787476" w:rsidP="00787476">
            <w:pPr>
              <w:pStyle w:val="ListParagraph"/>
              <w:numPr>
                <w:ilvl w:val="0"/>
                <w:numId w:val="3"/>
              </w:numPr>
            </w:pPr>
            <w:r w:rsidRPr="00787476">
              <w:t xml:space="preserve">Studies evaluating GLP-1 receptor agonists (Liraglutide, </w:t>
            </w:r>
            <w:proofErr w:type="spellStart"/>
            <w:r w:rsidRPr="00787476">
              <w:t>Lixisenatide</w:t>
            </w:r>
            <w:proofErr w:type="spellEnd"/>
            <w:r w:rsidRPr="00787476">
              <w:t xml:space="preserve">, </w:t>
            </w:r>
            <w:proofErr w:type="spellStart"/>
            <w:r w:rsidRPr="00787476">
              <w:t>Semaglutide</w:t>
            </w:r>
            <w:proofErr w:type="spellEnd"/>
            <w:r w:rsidRPr="00787476">
              <w:t xml:space="preserve">, Exenatide, Albiglutide, Dulaglutide, </w:t>
            </w:r>
            <w:proofErr w:type="spellStart"/>
            <w:r w:rsidRPr="00787476">
              <w:t>Efpeglenatide</w:t>
            </w:r>
            <w:proofErr w:type="spellEnd"/>
            <w:r w:rsidRPr="00787476">
              <w:t>).</w:t>
            </w:r>
          </w:p>
        </w:tc>
        <w:tc>
          <w:tcPr>
            <w:tcW w:w="4031" w:type="dxa"/>
          </w:tcPr>
          <w:p w14:paraId="27F13BB4" w14:textId="6224ED81" w:rsidR="00505D13" w:rsidRDefault="00F37581" w:rsidP="00F37581">
            <w:pPr>
              <w:pStyle w:val="ListParagraph"/>
              <w:numPr>
                <w:ilvl w:val="0"/>
                <w:numId w:val="2"/>
              </w:numPr>
            </w:pPr>
            <w:r w:rsidRPr="00F37581">
              <w:t>Studies evaluating drugs other than GLP-1 receptor agonists or using combinations that confound the assessment of GLP-1 agonist efficacy/safety.</w:t>
            </w:r>
          </w:p>
        </w:tc>
      </w:tr>
      <w:tr w:rsidR="00505D13" w14:paraId="46730A13" w14:textId="77777777" w:rsidTr="00191BE4">
        <w:tc>
          <w:tcPr>
            <w:tcW w:w="1526" w:type="dxa"/>
          </w:tcPr>
          <w:p w14:paraId="5BF8218D" w14:textId="6B578F4F" w:rsidR="00505D13" w:rsidRDefault="00505D13" w:rsidP="00505D13">
            <w:r>
              <w:t>Comparison</w:t>
            </w:r>
          </w:p>
        </w:tc>
        <w:tc>
          <w:tcPr>
            <w:tcW w:w="3685" w:type="dxa"/>
          </w:tcPr>
          <w:p w14:paraId="592C1309" w14:textId="09BC2913" w:rsidR="00505D13" w:rsidRDefault="0034264B" w:rsidP="0034264B">
            <w:pPr>
              <w:pStyle w:val="ListParagraph"/>
              <w:numPr>
                <w:ilvl w:val="0"/>
                <w:numId w:val="2"/>
              </w:numPr>
            </w:pPr>
            <w:r>
              <w:t>Placebo</w:t>
            </w:r>
          </w:p>
        </w:tc>
        <w:tc>
          <w:tcPr>
            <w:tcW w:w="4031" w:type="dxa"/>
          </w:tcPr>
          <w:p w14:paraId="0AE320EE" w14:textId="14E7F997" w:rsidR="00505D13" w:rsidRDefault="00A56737" w:rsidP="0034264B">
            <w:pPr>
              <w:pStyle w:val="ListParagraph"/>
              <w:numPr>
                <w:ilvl w:val="0"/>
                <w:numId w:val="2"/>
              </w:numPr>
            </w:pPr>
            <w:r w:rsidRPr="00A56737">
              <w:t>Other drugs such as SGLT-2, insulin and metformin</w:t>
            </w:r>
          </w:p>
        </w:tc>
      </w:tr>
      <w:tr w:rsidR="00505D13" w14:paraId="50297990" w14:textId="77777777" w:rsidTr="00191BE4">
        <w:tc>
          <w:tcPr>
            <w:tcW w:w="1526" w:type="dxa"/>
          </w:tcPr>
          <w:p w14:paraId="46565CE9" w14:textId="09592AF7" w:rsidR="00505D13" w:rsidRDefault="00505D13" w:rsidP="00505D13">
            <w:r>
              <w:t>Outcomes</w:t>
            </w:r>
          </w:p>
        </w:tc>
        <w:tc>
          <w:tcPr>
            <w:tcW w:w="3685" w:type="dxa"/>
          </w:tcPr>
          <w:p w14:paraId="7CBB9C01" w14:textId="0E5118BB" w:rsidR="00CB0626" w:rsidRDefault="00CB0626" w:rsidP="00CB0626">
            <w:pPr>
              <w:pStyle w:val="ListParagraph"/>
              <w:numPr>
                <w:ilvl w:val="0"/>
                <w:numId w:val="5"/>
              </w:numPr>
            </w:pPr>
            <w:r>
              <w:t xml:space="preserve">Primary: Cardiovascular outcomes - major adverse cardiovascular events [MACE] </w:t>
            </w:r>
          </w:p>
          <w:p w14:paraId="37C1D987" w14:textId="0D8EB92E" w:rsidR="00CB0626" w:rsidRDefault="00CB0626" w:rsidP="00CB0626">
            <w:pPr>
              <w:pStyle w:val="ListParagraph"/>
              <w:numPr>
                <w:ilvl w:val="0"/>
                <w:numId w:val="5"/>
              </w:numPr>
            </w:pPr>
            <w:r>
              <w:t xml:space="preserve">Secondary: cardiovascular mortality, non-fatal myocardial infarction, non-fatal stroke, heart failure </w:t>
            </w:r>
          </w:p>
          <w:p w14:paraId="7A372098" w14:textId="22C2E038" w:rsidR="00505D13" w:rsidRDefault="00CB0626" w:rsidP="00CB0626">
            <w:pPr>
              <w:pStyle w:val="ListParagraph"/>
              <w:numPr>
                <w:ilvl w:val="0"/>
                <w:numId w:val="5"/>
              </w:numPr>
            </w:pPr>
            <w:r>
              <w:t>Adverse Effects: Safety outcomes (severe hypoglycaemia, pancreatitis, GI side effects).</w:t>
            </w:r>
          </w:p>
        </w:tc>
        <w:tc>
          <w:tcPr>
            <w:tcW w:w="4031" w:type="dxa"/>
          </w:tcPr>
          <w:p w14:paraId="1FCF73C3" w14:textId="70C9147F" w:rsidR="00505D13" w:rsidRDefault="003D5943" w:rsidP="003D5943">
            <w:pPr>
              <w:pStyle w:val="ListParagraph"/>
              <w:numPr>
                <w:ilvl w:val="0"/>
                <w:numId w:val="5"/>
              </w:numPr>
            </w:pPr>
            <w:r>
              <w:t>Renal, diabetic or weight outcomes</w:t>
            </w:r>
          </w:p>
          <w:p w14:paraId="2FEA7223" w14:textId="162C50A3" w:rsidR="002F5891" w:rsidRDefault="002F5891" w:rsidP="003D5943">
            <w:pPr>
              <w:pStyle w:val="ListParagraph"/>
              <w:numPr>
                <w:ilvl w:val="0"/>
                <w:numId w:val="5"/>
              </w:numPr>
            </w:pPr>
            <w:r>
              <w:t>Studies without cardiovascular data</w:t>
            </w:r>
          </w:p>
        </w:tc>
      </w:tr>
      <w:tr w:rsidR="00191BE4" w14:paraId="29117EA1" w14:textId="77777777" w:rsidTr="00191BE4">
        <w:tc>
          <w:tcPr>
            <w:tcW w:w="1526" w:type="dxa"/>
          </w:tcPr>
          <w:p w14:paraId="693C5820" w14:textId="6534E8E5" w:rsidR="00191BE4" w:rsidRDefault="00191BE4" w:rsidP="00505D13">
            <w:r>
              <w:t>Study Design</w:t>
            </w:r>
          </w:p>
        </w:tc>
        <w:tc>
          <w:tcPr>
            <w:tcW w:w="3685" w:type="dxa"/>
          </w:tcPr>
          <w:p w14:paraId="0549910F" w14:textId="77777777" w:rsidR="006716BC" w:rsidRDefault="006716BC" w:rsidP="006716BC">
            <w:pPr>
              <w:pStyle w:val="ListParagraph"/>
              <w:numPr>
                <w:ilvl w:val="0"/>
                <w:numId w:val="4"/>
              </w:numPr>
            </w:pPr>
            <w:r>
              <w:t>Randomised controlled trials (RCTs)</w:t>
            </w:r>
          </w:p>
          <w:p w14:paraId="724E9CA0" w14:textId="63691A32" w:rsidR="006716BC" w:rsidRDefault="006716BC" w:rsidP="006716BC">
            <w:pPr>
              <w:pStyle w:val="ListParagraph"/>
              <w:numPr>
                <w:ilvl w:val="0"/>
                <w:numId w:val="4"/>
              </w:numPr>
            </w:pPr>
            <w:r>
              <w:t>Minimum total sample size of 3000 participants</w:t>
            </w:r>
          </w:p>
          <w:p w14:paraId="322B6823" w14:textId="77777777" w:rsidR="00191BE4" w:rsidRDefault="006716BC" w:rsidP="006716BC">
            <w:pPr>
              <w:pStyle w:val="ListParagraph"/>
              <w:numPr>
                <w:ilvl w:val="0"/>
                <w:numId w:val="4"/>
              </w:numPr>
            </w:pPr>
            <w:r>
              <w:t>Minimum follow-up period of 12 months to evaluate long-term outcomes.</w:t>
            </w:r>
          </w:p>
          <w:p w14:paraId="2BC7AC2B" w14:textId="7D5C00DC" w:rsidR="008D5B24" w:rsidRDefault="008D5B24" w:rsidP="008D5B24">
            <w:pPr>
              <w:pStyle w:val="ListParagraph"/>
              <w:numPr>
                <w:ilvl w:val="0"/>
                <w:numId w:val="4"/>
              </w:numPr>
            </w:pPr>
            <w:r>
              <w:t xml:space="preserve">Peer-reviewed articles, published in English. </w:t>
            </w:r>
          </w:p>
          <w:p w14:paraId="4B0DAAF3" w14:textId="2624C417" w:rsidR="008D5B24" w:rsidRDefault="008D5B24" w:rsidP="008D5B24">
            <w:pPr>
              <w:pStyle w:val="ListParagraph"/>
              <w:numPr>
                <w:ilvl w:val="0"/>
                <w:numId w:val="4"/>
              </w:numPr>
            </w:pPr>
            <w:r>
              <w:t>Studies published within the last 10 years to reflect current clinical practices and drug development.</w:t>
            </w:r>
          </w:p>
        </w:tc>
        <w:tc>
          <w:tcPr>
            <w:tcW w:w="4031" w:type="dxa"/>
          </w:tcPr>
          <w:p w14:paraId="7473C433" w14:textId="77777777" w:rsidR="002842D1" w:rsidRDefault="002842D1" w:rsidP="002842D1">
            <w:pPr>
              <w:pStyle w:val="ListParagraph"/>
              <w:numPr>
                <w:ilvl w:val="0"/>
                <w:numId w:val="4"/>
              </w:numPr>
            </w:pPr>
            <w:r>
              <w:t>Case reports, case series, cross-sectional studies, or editorials, post-hoc analyses.</w:t>
            </w:r>
          </w:p>
          <w:p w14:paraId="21EE0097" w14:textId="1B60E1FF" w:rsidR="00D924CA" w:rsidRDefault="00D924CA" w:rsidP="002842D1">
            <w:pPr>
              <w:pStyle w:val="ListParagraph"/>
              <w:numPr>
                <w:ilvl w:val="0"/>
                <w:numId w:val="4"/>
              </w:numPr>
            </w:pPr>
            <w:r>
              <w:t xml:space="preserve">Grey literature </w:t>
            </w:r>
          </w:p>
          <w:p w14:paraId="218145ED" w14:textId="77777777" w:rsidR="00191BE4" w:rsidRDefault="002842D1" w:rsidP="002842D1">
            <w:pPr>
              <w:pStyle w:val="ListParagraph"/>
              <w:numPr>
                <w:ilvl w:val="0"/>
                <w:numId w:val="4"/>
              </w:numPr>
            </w:pPr>
            <w:r>
              <w:t>Studies with a follow-up period shorter than 12 months.</w:t>
            </w:r>
          </w:p>
          <w:p w14:paraId="1517EF65" w14:textId="77777777" w:rsidR="003F1CB7" w:rsidRDefault="003F1CB7" w:rsidP="002842D1">
            <w:pPr>
              <w:pStyle w:val="ListParagraph"/>
              <w:numPr>
                <w:ilvl w:val="0"/>
                <w:numId w:val="4"/>
              </w:numPr>
            </w:pPr>
            <w:r>
              <w:t>Publications in a different language other than English</w:t>
            </w:r>
          </w:p>
          <w:p w14:paraId="6664189F" w14:textId="0E357DDC" w:rsidR="003F1CB7" w:rsidRDefault="008312B9" w:rsidP="002842D1">
            <w:pPr>
              <w:pStyle w:val="ListParagraph"/>
              <w:numPr>
                <w:ilvl w:val="0"/>
                <w:numId w:val="4"/>
              </w:numPr>
            </w:pPr>
            <w:r>
              <w:t>Studies published more than 10 years ago.</w:t>
            </w:r>
          </w:p>
        </w:tc>
      </w:tr>
    </w:tbl>
    <w:p w14:paraId="5FC9F5A1" w14:textId="77777777" w:rsidR="00505D13" w:rsidRDefault="00505D13" w:rsidP="008463BB"/>
    <w:p w14:paraId="60652414" w14:textId="26AD4201" w:rsidR="008463BB" w:rsidRDefault="008463BB" w:rsidP="00D3223B">
      <w:pPr>
        <w:pStyle w:val="Heading1"/>
      </w:pPr>
      <w:r>
        <w:t>Data Extraction</w:t>
      </w:r>
    </w:p>
    <w:p w14:paraId="2325EC6F" w14:textId="77777777" w:rsidR="008463BB" w:rsidRDefault="008463BB" w:rsidP="008463BB">
      <w:r>
        <w:t>Provide a description of methods used to collect data from included studies (e.g. categories of data you intend to collect, how many people will conduct extraction, etc.).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05D13" w14:paraId="15FF695F" w14:textId="77777777" w:rsidTr="23D8D9CD">
        <w:trPr>
          <w:trHeight w:val="1425"/>
        </w:trPr>
        <w:tc>
          <w:tcPr>
            <w:tcW w:w="9242" w:type="dxa"/>
          </w:tcPr>
          <w:p w14:paraId="71D51123" w14:textId="7113818A" w:rsidR="00505D13" w:rsidRDefault="5BA5F6FF" w:rsidP="008463BB">
            <w:r>
              <w:t xml:space="preserve">Data extraction is independently conducted by two reviewers using the PRISMA guidelines. Extracted data will include study characteristics (author, </w:t>
            </w:r>
            <w:r w:rsidR="0C05DE53">
              <w:t>year, study design</w:t>
            </w:r>
            <w:r>
              <w:t>)</w:t>
            </w:r>
            <w:r w:rsidR="23E49686">
              <w:t>, population details (sample size, age, sex, cardiovascular risk profile), intervention details (type, duration of treatment), comparator, primary outc</w:t>
            </w:r>
            <w:r w:rsidR="3AE84D35">
              <w:t>omes (Major adverse cardiovascular event), secondary outcomes (</w:t>
            </w:r>
            <w:r w:rsidR="41FC2AAD">
              <w:t>cardiovascular</w:t>
            </w:r>
            <w:r w:rsidR="3AE84D35">
              <w:t xml:space="preserve"> mortality, non-fatal myocardial infarction, non-fatal stroke, </w:t>
            </w:r>
            <w:r w:rsidR="009774F8">
              <w:t xml:space="preserve">hospitalisation for </w:t>
            </w:r>
            <w:r w:rsidR="3AE84D35">
              <w:t xml:space="preserve">heart failure), </w:t>
            </w:r>
            <w:r w:rsidR="12B6971D">
              <w:t>a</w:t>
            </w:r>
            <w:r w:rsidR="3AE84D35">
              <w:t xml:space="preserve">dverse </w:t>
            </w:r>
            <w:r w:rsidR="205993D1">
              <w:t>e</w:t>
            </w:r>
            <w:r w:rsidR="3AE84D35">
              <w:t xml:space="preserve">ffects: </w:t>
            </w:r>
            <w:r w:rsidR="64CDB38C">
              <w:t>s</w:t>
            </w:r>
            <w:r w:rsidR="3AE84D35">
              <w:t>afety outcomes (severe hypoglycaemia, pancreatitis, GI side effects)</w:t>
            </w:r>
            <w:r w:rsidR="389C6DFC">
              <w:t xml:space="preserve">, </w:t>
            </w:r>
            <w:r w:rsidR="2343A0A8">
              <w:t>follow-up duration, etc. Discrepancies between reviewers will be resolved through discussion or consultation with a third reviewer.</w:t>
            </w:r>
          </w:p>
        </w:tc>
      </w:tr>
    </w:tbl>
    <w:p w14:paraId="00EC17A6" w14:textId="77777777" w:rsidR="008463BB" w:rsidRDefault="008463BB" w:rsidP="008463BB"/>
    <w:p w14:paraId="3ABA234E" w14:textId="77777777" w:rsidR="008463BB" w:rsidRDefault="008463BB" w:rsidP="00D3223B">
      <w:pPr>
        <w:pStyle w:val="Heading1"/>
      </w:pPr>
      <w:r>
        <w:t>Study Quality Assessment</w:t>
      </w:r>
    </w:p>
    <w:p w14:paraId="11E93809" w14:textId="77777777" w:rsidR="008463BB" w:rsidRDefault="008463BB" w:rsidP="008463BB">
      <w:r>
        <w:t>If applicable, describe the tool(s) you will use to assess risk of bias.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05D13" w14:paraId="513EE9B4" w14:textId="77777777" w:rsidTr="371BC5AF">
        <w:trPr>
          <w:trHeight w:val="1465"/>
        </w:trPr>
        <w:tc>
          <w:tcPr>
            <w:tcW w:w="9242" w:type="dxa"/>
          </w:tcPr>
          <w:p w14:paraId="22C0BDDB" w14:textId="1E440EC6" w:rsidR="0042124F" w:rsidRDefault="0042124F" w:rsidP="0042124F">
            <w:r>
              <w:t>The quality of each included study and outcomes will be independently assessed by two reviewers. Discrepancies will be resolved through discussion and referral to a third reviewer as necessary. The Cochrane Risk of Bias 2 (</w:t>
            </w:r>
            <w:proofErr w:type="spellStart"/>
            <w:r>
              <w:t>RoB</w:t>
            </w:r>
            <w:proofErr w:type="spellEnd"/>
            <w:r>
              <w:t xml:space="preserve"> 2) tool will be used to evaluate bias across five domains: randomisation process, deviations from the intended interventions, missing outcome data, measurement of the outcome and selection of the reported result. Each study </w:t>
            </w:r>
            <w:r w:rsidR="00C86CDD">
              <w:t xml:space="preserve">will be </w:t>
            </w:r>
            <w:r>
              <w:t xml:space="preserve">assigned a risk of bias rating of ‘low risk’, ‘some concerns’ or ‘high risk’ in each domain and an overall rating. </w:t>
            </w:r>
          </w:p>
          <w:p w14:paraId="76675FD1" w14:textId="77777777" w:rsidR="0042124F" w:rsidRDefault="0042124F" w:rsidP="0042124F"/>
          <w:p w14:paraId="269C3235" w14:textId="7B2EEC61" w:rsidR="00505D13" w:rsidRDefault="0042124F" w:rsidP="008463BB">
            <w:r>
              <w:t xml:space="preserve">The overall rating for risk of bias </w:t>
            </w:r>
            <w:r w:rsidR="00C86CDD">
              <w:t xml:space="preserve">is to be </w:t>
            </w:r>
            <w:r>
              <w:t xml:space="preserve">obtained through the </w:t>
            </w:r>
            <w:proofErr w:type="spellStart"/>
            <w:r>
              <w:t>RoB</w:t>
            </w:r>
            <w:proofErr w:type="spellEnd"/>
            <w:r>
              <w:t xml:space="preserve"> 2 tool</w:t>
            </w:r>
            <w:r w:rsidR="00C86CDD">
              <w:t>,</w:t>
            </w:r>
            <w:r>
              <w:t xml:space="preserve"> included as part of the Grading of Recommendations, Assessment, Development and Evaluation (GRADE) approach. The GRADE approach </w:t>
            </w:r>
            <w:r w:rsidR="00C86CDD">
              <w:t xml:space="preserve">will </w:t>
            </w:r>
            <w:r>
              <w:t xml:space="preserve">assess the quality of the evidence for each outcome across five domains: risk of bias, inconsistency, indirectness, imprecision and publication bias. Each outcome </w:t>
            </w:r>
            <w:r w:rsidR="000F6FA6">
              <w:t>will be</w:t>
            </w:r>
            <w:r>
              <w:t xml:space="preserve"> rated as very low, low, moderate and high certainty. Summary of findings tables </w:t>
            </w:r>
            <w:r w:rsidR="000F6FA6">
              <w:t>will be</w:t>
            </w:r>
            <w:r>
              <w:t xml:space="preserve"> constructed to present the quality of evidence across the included outcomes and studies</w:t>
            </w:r>
            <w:r w:rsidR="000F6FA6">
              <w:t>.</w:t>
            </w:r>
          </w:p>
        </w:tc>
      </w:tr>
    </w:tbl>
    <w:p w14:paraId="3B177CCC" w14:textId="77777777" w:rsidR="008463BB" w:rsidRDefault="008463BB" w:rsidP="008463BB"/>
    <w:p w14:paraId="2C5F70BE" w14:textId="77777777" w:rsidR="008463BB" w:rsidRDefault="008463BB" w:rsidP="00D3223B">
      <w:pPr>
        <w:pStyle w:val="Heading1"/>
      </w:pPr>
      <w:r>
        <w:t>Data Synthesis</w:t>
      </w:r>
    </w:p>
    <w:p w14:paraId="6474FC6B" w14:textId="6ED840CE" w:rsidR="008463BB" w:rsidRDefault="008463BB" w:rsidP="008463BB">
      <w:r>
        <w:t>Describe how you will analy</w:t>
      </w:r>
      <w:r w:rsidR="4B141D00">
        <w:t>s</w:t>
      </w:r>
      <w:r>
        <w:t>e and summari</w:t>
      </w:r>
      <w:r w:rsidR="5C01FC0E">
        <w:t>s</w:t>
      </w:r>
      <w:r>
        <w:t>e the included study results.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05D13" w14:paraId="7C081237" w14:textId="77777777" w:rsidTr="00505D13">
        <w:trPr>
          <w:trHeight w:val="1462"/>
        </w:trPr>
        <w:tc>
          <w:tcPr>
            <w:tcW w:w="9242" w:type="dxa"/>
          </w:tcPr>
          <w:p w14:paraId="3EA28654" w14:textId="25C6FF12" w:rsidR="00505D13" w:rsidRDefault="423EB5F7" w:rsidP="008463BB">
            <w:r>
              <w:t>We will perform a narrative synthesis of studies to include the type of intervention, study population characteristics, report</w:t>
            </w:r>
            <w:r w:rsidR="4FB4DEAC">
              <w:t xml:space="preserve">ed primary and secondary outcomes and adverse effects. </w:t>
            </w:r>
            <w:r w:rsidR="00BF045F">
              <w:t>Statistical analysis w</w:t>
            </w:r>
            <w:r w:rsidR="00812C78">
              <w:t>ill be</w:t>
            </w:r>
            <w:r w:rsidR="00BF045F">
              <w:t xml:space="preserve"> conducted using Stata version 18 statistical software. Hazard Ratio (HR) with 95% CI </w:t>
            </w:r>
            <w:r w:rsidR="00812C78">
              <w:t>will be</w:t>
            </w:r>
            <w:r w:rsidR="00BF045F">
              <w:t xml:space="preserve"> used to assess the outcomes between the two treatment groups. Heterogeneity </w:t>
            </w:r>
            <w:r w:rsidR="00812C78">
              <w:t>will be</w:t>
            </w:r>
            <w:r w:rsidR="00BF045F">
              <w:t xml:space="preserve"> assessed using chi-squared tests as well as I-squared test. Forest plots </w:t>
            </w:r>
            <w:r w:rsidR="00812C78">
              <w:t>will be</w:t>
            </w:r>
            <w:r w:rsidR="00BF045F">
              <w:t xml:space="preserve"> used to represent the results generated from the random-effects meta-analysis graphically. The pooled HR and the degree of heterogeneity </w:t>
            </w:r>
            <w:r w:rsidR="00D47F16">
              <w:t>will also be presented</w:t>
            </w:r>
            <w:r w:rsidR="00BF045F">
              <w:t xml:space="preserve">. Publication bias </w:t>
            </w:r>
            <w:r w:rsidR="00D47F16">
              <w:t>will be minimis</w:t>
            </w:r>
            <w:r w:rsidR="00BF045F">
              <w:t xml:space="preserve">ed by comprehensive literature searching. </w:t>
            </w:r>
          </w:p>
        </w:tc>
      </w:tr>
    </w:tbl>
    <w:p w14:paraId="77047513" w14:textId="77777777" w:rsidR="008463BB" w:rsidRDefault="008463BB" w:rsidP="008463BB"/>
    <w:p w14:paraId="5337008D" w14:textId="77777777" w:rsidR="008463BB" w:rsidRDefault="008463BB" w:rsidP="00D3223B">
      <w:pPr>
        <w:pStyle w:val="Heading1"/>
      </w:pPr>
      <w:r>
        <w:t>Project Tools</w:t>
      </w:r>
    </w:p>
    <w:p w14:paraId="001D1644" w14:textId="77777777" w:rsidR="008463BB" w:rsidRDefault="008463BB" w:rsidP="008463BB">
      <w:r>
        <w:t>List the tools and software programs you plan to use in the course of the review.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C378B" w14:paraId="59E8F468" w14:textId="77777777" w:rsidTr="002C378B">
        <w:trPr>
          <w:trHeight w:val="1191"/>
        </w:trPr>
        <w:tc>
          <w:tcPr>
            <w:tcW w:w="9242" w:type="dxa"/>
          </w:tcPr>
          <w:p w14:paraId="29BD300C" w14:textId="02EFEFA8" w:rsidR="002C378B" w:rsidRDefault="00C20B8D" w:rsidP="008463BB">
            <w:r w:rsidRPr="00C20B8D">
              <w:t xml:space="preserve">To streamline the review process, Covidence, an automation tool for systematic reviews, </w:t>
            </w:r>
            <w:r>
              <w:t>will be</w:t>
            </w:r>
            <w:r w:rsidRPr="00C20B8D">
              <w:t xml:space="preserve"> used to manage reference screening and selection All retrieved citations </w:t>
            </w:r>
            <w:r>
              <w:t>will be</w:t>
            </w:r>
            <w:r w:rsidRPr="00C20B8D">
              <w:t xml:space="preserve"> imported into Covidence, where duplicates </w:t>
            </w:r>
            <w:r w:rsidR="009D5809">
              <w:t>will be</w:t>
            </w:r>
            <w:r w:rsidRPr="00C20B8D">
              <w:t xml:space="preserve"> automatically</w:t>
            </w:r>
            <w:r w:rsidR="009D5809">
              <w:t xml:space="preserve"> removed</w:t>
            </w:r>
            <w:r w:rsidRPr="00C20B8D">
              <w:t xml:space="preserve">. Additional duplicates </w:t>
            </w:r>
            <w:r w:rsidR="009D5809">
              <w:t>will be</w:t>
            </w:r>
            <w:r w:rsidRPr="00C20B8D">
              <w:t xml:space="preserve"> identified and removed manually using RefWorks.</w:t>
            </w:r>
          </w:p>
        </w:tc>
      </w:tr>
    </w:tbl>
    <w:p w14:paraId="72DB974C" w14:textId="6EC36EE2" w:rsidR="008463BB" w:rsidRDefault="008463BB" w:rsidP="008463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482A5B" w14:textId="77777777" w:rsidR="008463BB" w:rsidRDefault="008463BB" w:rsidP="00D3223B">
      <w:pPr>
        <w:pStyle w:val="Heading1"/>
      </w:pPr>
      <w:r>
        <w:t>Research Team Member Roles</w:t>
      </w:r>
    </w:p>
    <w:p w14:paraId="048DC6B2" w14:textId="77777777" w:rsidR="008463BB" w:rsidRDefault="008463BB" w:rsidP="008463BB">
      <w:r>
        <w:t>Describe the different tasks on the review and who will be responsible for what.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1668"/>
        <w:gridCol w:w="4493"/>
        <w:gridCol w:w="3081"/>
      </w:tblGrid>
      <w:tr w:rsidR="00D5650F" w14:paraId="15A99244" w14:textId="77777777" w:rsidTr="0061483D">
        <w:tc>
          <w:tcPr>
            <w:tcW w:w="1668" w:type="dxa"/>
            <w:shd w:val="clear" w:color="auto" w:fill="DAE9F7" w:themeFill="text2" w:themeFillTint="1A"/>
          </w:tcPr>
          <w:p w14:paraId="38C07C4D" w14:textId="36347D40" w:rsidR="00D5650F" w:rsidRDefault="00D5650F" w:rsidP="00D5650F">
            <w:r w:rsidRPr="0008785A">
              <w:t>Task</w:t>
            </w:r>
          </w:p>
        </w:tc>
        <w:tc>
          <w:tcPr>
            <w:tcW w:w="4493" w:type="dxa"/>
            <w:shd w:val="clear" w:color="auto" w:fill="DAE9F7" w:themeFill="text2" w:themeFillTint="1A"/>
          </w:tcPr>
          <w:p w14:paraId="4B6D6998" w14:textId="16B5CEA1" w:rsidR="00D5650F" w:rsidRDefault="00D5650F" w:rsidP="00D5650F">
            <w:r w:rsidRPr="0008785A">
              <w:t>Description</w:t>
            </w:r>
          </w:p>
        </w:tc>
        <w:tc>
          <w:tcPr>
            <w:tcW w:w="3081" w:type="dxa"/>
            <w:shd w:val="clear" w:color="auto" w:fill="DAE9F7" w:themeFill="text2" w:themeFillTint="1A"/>
          </w:tcPr>
          <w:p w14:paraId="3F78BAF8" w14:textId="57C4A9D0" w:rsidR="00D5650F" w:rsidRDefault="00D5650F" w:rsidP="00D5650F">
            <w:r w:rsidRPr="0008785A">
              <w:t>Team Member Responsible</w:t>
            </w:r>
          </w:p>
        </w:tc>
      </w:tr>
      <w:tr w:rsidR="00D5650F" w14:paraId="63B1A6D0" w14:textId="77777777" w:rsidTr="0061483D">
        <w:tc>
          <w:tcPr>
            <w:tcW w:w="1668" w:type="dxa"/>
          </w:tcPr>
          <w:p w14:paraId="255CE9D6" w14:textId="20886476" w:rsidR="00D5650F" w:rsidRDefault="000D4241" w:rsidP="008463BB">
            <w:r>
              <w:t>Data analysis</w:t>
            </w:r>
            <w:r w:rsidR="0061483D">
              <w:t>,</w:t>
            </w:r>
            <w:r w:rsidR="00EB31CD">
              <w:t xml:space="preserve"> </w:t>
            </w:r>
            <w:r w:rsidR="0061483D">
              <w:t>M</w:t>
            </w:r>
            <w:r>
              <w:t xml:space="preserve">anuscript preparation </w:t>
            </w:r>
            <w:r w:rsidR="257040D2">
              <w:t xml:space="preserve"> </w:t>
            </w:r>
          </w:p>
        </w:tc>
        <w:tc>
          <w:tcPr>
            <w:tcW w:w="4493" w:type="dxa"/>
          </w:tcPr>
          <w:p w14:paraId="788373E1" w14:textId="7EDC2276" w:rsidR="00D5650F" w:rsidRDefault="6640FA09" w:rsidP="008463BB">
            <w:r>
              <w:t>Provide an objective assessment of the protocol to ensure it is scientifically sound, ethically appropriate, and compliant with relevant guidelines. Review the study design, methodology, risk-benefit analysis, and ethical considerations such as informed consent and confidentiality.</w:t>
            </w:r>
          </w:p>
        </w:tc>
        <w:tc>
          <w:tcPr>
            <w:tcW w:w="3081" w:type="dxa"/>
          </w:tcPr>
          <w:p w14:paraId="66018755" w14:textId="349C087F" w:rsidR="00D5650F" w:rsidRDefault="51AF0002" w:rsidP="008463BB">
            <w:r>
              <w:t>Kezia Peter</w:t>
            </w:r>
          </w:p>
        </w:tc>
      </w:tr>
      <w:tr w:rsidR="00D5650F" w14:paraId="12239303" w14:textId="77777777" w:rsidTr="0061483D">
        <w:tc>
          <w:tcPr>
            <w:tcW w:w="1668" w:type="dxa"/>
          </w:tcPr>
          <w:p w14:paraId="315958B9" w14:textId="143F3C97" w:rsidR="00D5650F" w:rsidRDefault="000D4241" w:rsidP="008463BB">
            <w:r>
              <w:t>Data analysis</w:t>
            </w:r>
            <w:r w:rsidR="0061483D">
              <w:t>,</w:t>
            </w:r>
            <w:r>
              <w:t xml:space="preserve"> </w:t>
            </w:r>
            <w:r w:rsidR="0061483D">
              <w:t>M</w:t>
            </w:r>
            <w:r>
              <w:t xml:space="preserve">anuscript preparation  </w:t>
            </w:r>
          </w:p>
        </w:tc>
        <w:tc>
          <w:tcPr>
            <w:tcW w:w="4493" w:type="dxa"/>
          </w:tcPr>
          <w:p w14:paraId="71D5C6D3" w14:textId="7EDC2276" w:rsidR="00D5650F" w:rsidRDefault="39C5614F" w:rsidP="008463BB">
            <w:r>
              <w:t>Provide an objective assessment of the protocol to ensure it is scientifically sound, ethically appropriate, and compliant with relevant guidelines. Review the study design, methodology, risk-benefit analysis, and ethical considerations such as informed consent and confidentiality.</w:t>
            </w:r>
          </w:p>
          <w:p w14:paraId="4BAD7EE8" w14:textId="39FA0995" w:rsidR="00D5650F" w:rsidRDefault="00D5650F" w:rsidP="008463BB"/>
        </w:tc>
        <w:tc>
          <w:tcPr>
            <w:tcW w:w="3081" w:type="dxa"/>
          </w:tcPr>
          <w:p w14:paraId="59EA71FB" w14:textId="0B4DA91F" w:rsidR="00D5650F" w:rsidRDefault="51AF0002" w:rsidP="008463BB">
            <w:r>
              <w:t>Ocin Roka</w:t>
            </w:r>
          </w:p>
        </w:tc>
      </w:tr>
      <w:tr w:rsidR="00D5650F" w14:paraId="7ADCA343" w14:textId="77777777" w:rsidTr="0061483D">
        <w:tc>
          <w:tcPr>
            <w:tcW w:w="1668" w:type="dxa"/>
          </w:tcPr>
          <w:p w14:paraId="79CB91FC" w14:textId="2E21A606" w:rsidR="00D5650F" w:rsidRDefault="000D4241" w:rsidP="008463BB">
            <w:r>
              <w:t xml:space="preserve">Manuscript preparation  </w:t>
            </w:r>
          </w:p>
        </w:tc>
        <w:tc>
          <w:tcPr>
            <w:tcW w:w="4493" w:type="dxa"/>
          </w:tcPr>
          <w:p w14:paraId="11AC5DB8" w14:textId="40D78CCC" w:rsidR="00D5650F" w:rsidRDefault="6743446D" w:rsidP="008463BB">
            <w:r w:rsidRPr="54BE990E">
              <w:rPr>
                <w:rFonts w:ascii="Aptos" w:eastAsia="Aptos" w:hAnsi="Aptos" w:cs="Aptos"/>
              </w:rPr>
              <w:t>Draft, edit, and finalise the discussion section of the systematic review, ensuring it accurately interprets the results, discusses limitations, and places findings in the context of existing evidence.</w:t>
            </w:r>
          </w:p>
        </w:tc>
        <w:tc>
          <w:tcPr>
            <w:tcW w:w="3081" w:type="dxa"/>
          </w:tcPr>
          <w:p w14:paraId="1C942859" w14:textId="62A28A15" w:rsidR="00D5650F" w:rsidRDefault="51AF0002" w:rsidP="008463BB">
            <w:r>
              <w:t>Emma Sepp</w:t>
            </w:r>
          </w:p>
        </w:tc>
      </w:tr>
      <w:tr w:rsidR="00D5650F" w14:paraId="2D1EF06F" w14:textId="77777777" w:rsidTr="0061483D">
        <w:tc>
          <w:tcPr>
            <w:tcW w:w="1668" w:type="dxa"/>
          </w:tcPr>
          <w:p w14:paraId="7D7045BC" w14:textId="015C624F" w:rsidR="00D5650F" w:rsidRDefault="000D4241" w:rsidP="008463BB">
            <w:r>
              <w:t xml:space="preserve">Manuscript preparation  </w:t>
            </w:r>
          </w:p>
        </w:tc>
        <w:tc>
          <w:tcPr>
            <w:tcW w:w="4493" w:type="dxa"/>
          </w:tcPr>
          <w:p w14:paraId="57303C00" w14:textId="20B2C8EF" w:rsidR="00D5650F" w:rsidRDefault="4FCA8F23" w:rsidP="008463BB">
            <w:r w:rsidRPr="54BE990E">
              <w:rPr>
                <w:rFonts w:ascii="Aptos" w:eastAsia="Aptos" w:hAnsi="Aptos" w:cs="Aptos"/>
              </w:rPr>
              <w:t>Draft, edit, and finalise the discussion section of the systematic review, ensuring it accurately interprets the results, discusses limitations, and places findings in the context of existing evidence.</w:t>
            </w:r>
          </w:p>
        </w:tc>
        <w:tc>
          <w:tcPr>
            <w:tcW w:w="3081" w:type="dxa"/>
          </w:tcPr>
          <w:p w14:paraId="707AABD5" w14:textId="62178513" w:rsidR="00D5650F" w:rsidRDefault="51AF0002" w:rsidP="008463BB">
            <w:r>
              <w:t>Maya Warburton</w:t>
            </w:r>
          </w:p>
        </w:tc>
      </w:tr>
      <w:tr w:rsidR="00D5650F" w14:paraId="0660E9F9" w14:textId="77777777" w:rsidTr="0061483D">
        <w:tc>
          <w:tcPr>
            <w:tcW w:w="1668" w:type="dxa"/>
          </w:tcPr>
          <w:p w14:paraId="16FA9517" w14:textId="6FA95825" w:rsidR="00D5650F" w:rsidRDefault="661FDE8B" w:rsidP="008463BB">
            <w:r>
              <w:t>Supervisor</w:t>
            </w:r>
          </w:p>
        </w:tc>
        <w:tc>
          <w:tcPr>
            <w:tcW w:w="4493" w:type="dxa"/>
          </w:tcPr>
          <w:p w14:paraId="263640C4" w14:textId="6BB867FF" w:rsidR="00D5650F" w:rsidRDefault="730338DD" w:rsidP="008463BB">
            <w:r w:rsidRPr="54BE990E">
              <w:rPr>
                <w:rFonts w:ascii="Aptos" w:eastAsia="Aptos" w:hAnsi="Aptos" w:cs="Aptos"/>
              </w:rPr>
              <w:t xml:space="preserve">Provide overall guidance and oversight for the systematic review process, including methodological advice, feedback on protocol development, data synthesis, and final write-up. </w:t>
            </w:r>
          </w:p>
        </w:tc>
        <w:tc>
          <w:tcPr>
            <w:tcW w:w="3081" w:type="dxa"/>
          </w:tcPr>
          <w:p w14:paraId="0A5F5588" w14:textId="56B71B58" w:rsidR="00D5650F" w:rsidRDefault="51AF0002" w:rsidP="008463BB">
            <w:r>
              <w:t>Dr Simon Cork</w:t>
            </w:r>
          </w:p>
        </w:tc>
      </w:tr>
      <w:tr w:rsidR="54BE990E" w14:paraId="01BE637A" w14:textId="77777777" w:rsidTr="0061483D">
        <w:trPr>
          <w:trHeight w:val="300"/>
        </w:trPr>
        <w:tc>
          <w:tcPr>
            <w:tcW w:w="1668" w:type="dxa"/>
          </w:tcPr>
          <w:p w14:paraId="773ACD5D" w14:textId="45CB78AF" w:rsidR="72D6D226" w:rsidRDefault="72D6D226" w:rsidP="54BE990E">
            <w:r>
              <w:t>Statistician</w:t>
            </w:r>
            <w:r w:rsidR="00B851E5">
              <w:t>, Manuscript preparation</w:t>
            </w:r>
            <w:r>
              <w:t xml:space="preserve"> </w:t>
            </w:r>
          </w:p>
        </w:tc>
        <w:tc>
          <w:tcPr>
            <w:tcW w:w="4493" w:type="dxa"/>
          </w:tcPr>
          <w:p w14:paraId="26413B54" w14:textId="64BDE5BB" w:rsidR="6D6A9A13" w:rsidRDefault="6D6A9A13">
            <w:r w:rsidRPr="54BE990E">
              <w:rPr>
                <w:rFonts w:ascii="Aptos" w:eastAsia="Aptos" w:hAnsi="Aptos" w:cs="Aptos"/>
              </w:rPr>
              <w:t>Advise on statistical methods for data synthesis, conduct or verify statistical analyses (e.g., meta-analysis), assess heterogeneity and publication bias, and assist in interpreting the statistical results.</w:t>
            </w:r>
          </w:p>
        </w:tc>
        <w:tc>
          <w:tcPr>
            <w:tcW w:w="3081" w:type="dxa"/>
          </w:tcPr>
          <w:p w14:paraId="0E51C82E" w14:textId="0D6FD164" w:rsidR="72D6D226" w:rsidRDefault="00B415A7" w:rsidP="54BE990E">
            <w:r>
              <w:t xml:space="preserve">Dr </w:t>
            </w:r>
            <w:proofErr w:type="spellStart"/>
            <w:r w:rsidR="72D6D226">
              <w:t>Jufen</w:t>
            </w:r>
            <w:proofErr w:type="spellEnd"/>
            <w:r w:rsidR="72D6D226">
              <w:t xml:space="preserve"> Zhang</w:t>
            </w:r>
          </w:p>
        </w:tc>
      </w:tr>
    </w:tbl>
    <w:p w14:paraId="3B4B54DC" w14:textId="66922D0D" w:rsidR="008463BB" w:rsidRDefault="008463BB" w:rsidP="008463BB">
      <w:r>
        <w:tab/>
      </w:r>
      <w:r>
        <w:tab/>
      </w:r>
    </w:p>
    <w:p w14:paraId="5403626C" w14:textId="77777777" w:rsidR="008463BB" w:rsidRDefault="008463BB" w:rsidP="00D3223B">
      <w:pPr>
        <w:pStyle w:val="Heading1"/>
      </w:pPr>
      <w:r>
        <w:t>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B38FC" w14:paraId="14A9DC3C" w14:textId="77777777" w:rsidTr="00FB38FC">
        <w:tc>
          <w:tcPr>
            <w:tcW w:w="9242" w:type="dxa"/>
          </w:tcPr>
          <w:p w14:paraId="37AB2B28" w14:textId="77777777" w:rsidR="00FB38FC" w:rsidRDefault="00FB38FC" w:rsidP="00FB38FC">
            <w:r>
              <w:t>This Review Protocol was originally created by Sarah Visintini, Maritime SPOR SUPPORT Unit and adapted from the following resources:</w:t>
            </w:r>
          </w:p>
          <w:p w14:paraId="3CA3628A" w14:textId="77777777" w:rsidR="00FB38FC" w:rsidRDefault="00FB38FC" w:rsidP="00FB38FC"/>
          <w:p w14:paraId="63082D22" w14:textId="77777777" w:rsidR="00FB38FC" w:rsidRDefault="00FB38FC" w:rsidP="00FB38FC">
            <w:r>
              <w:t xml:space="preserve">Cochrane Public Health Group. (2011) Guide for developing a Cochrane protocol. Retrieved from: http://ph.cochrane.org/sites/ph.cochrane.org/files/uploads/Guide%20for%20PH%20protocol_Nov%202011_final%20for%20website.pdf. </w:t>
            </w:r>
          </w:p>
          <w:p w14:paraId="4BB86BDC" w14:textId="77777777" w:rsidR="00FB38FC" w:rsidRDefault="00FB38FC" w:rsidP="00FB38FC">
            <w:r>
              <w:t>Dartmouth Biomedical Libraries. (2012). Systematic Review Steps. Retrieved from http://www.dartmouth.edu/~library/biomed/services/lgr/docs/SR-Steps-Roles-revised.docx</w:t>
            </w:r>
          </w:p>
          <w:p w14:paraId="7D0EB015" w14:textId="77777777" w:rsidR="00FB38FC" w:rsidRDefault="00FB38FC" w:rsidP="00FB38FC">
            <w:r>
              <w:t>Durham University Community. (2009). Template for a Systematic Literature Review Protocol. Retrieved from https://community.dur.ac.uk/ebse/resources/templates/SLRTemplate.pdf.</w:t>
            </w:r>
          </w:p>
          <w:p w14:paraId="37861BAD" w14:textId="77777777" w:rsidR="00FB38FC" w:rsidRDefault="00FB38FC" w:rsidP="00FB38FC">
            <w:r>
              <w:t>Warwick Medical School. (n.d.) Protocol Template: Systematic Review. Retrieved from http://www2.warwick.ac.uk/fac/med/staff/bridle/sr/protocol_template.doc.</w:t>
            </w:r>
          </w:p>
          <w:p w14:paraId="26909B7D" w14:textId="2E5E908D" w:rsidR="00FB38FC" w:rsidRDefault="00FB38FC" w:rsidP="008463BB">
            <w:r>
              <w:t>World Health Organization. (2011). Review Protocol Template. Retrieved from http://www.who.int/hrh/education/Rec1_CPDforfacultyteachingstaff.pdf.</w:t>
            </w:r>
          </w:p>
        </w:tc>
      </w:tr>
    </w:tbl>
    <w:p w14:paraId="179EEFE6" w14:textId="77777777" w:rsidR="008463BB" w:rsidRDefault="008463BB" w:rsidP="008463BB"/>
    <w:p w14:paraId="796E2148" w14:textId="77777777" w:rsidR="00FA7129" w:rsidRPr="000308BD" w:rsidRDefault="00FA7129" w:rsidP="000308BD"/>
    <w:sectPr w:rsidR="00FA7129" w:rsidRPr="000308B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DFA77" w14:textId="77777777" w:rsidR="00470EDD" w:rsidRDefault="00470EDD" w:rsidP="00877EA3">
      <w:pPr>
        <w:spacing w:after="0" w:line="240" w:lineRule="auto"/>
      </w:pPr>
      <w:r>
        <w:separator/>
      </w:r>
    </w:p>
  </w:endnote>
  <w:endnote w:type="continuationSeparator" w:id="0">
    <w:p w14:paraId="453A3A1A" w14:textId="77777777" w:rsidR="00470EDD" w:rsidRDefault="00470EDD" w:rsidP="00877EA3">
      <w:pPr>
        <w:spacing w:after="0" w:line="240" w:lineRule="auto"/>
      </w:pPr>
      <w:r>
        <w:continuationSeparator/>
      </w:r>
    </w:p>
  </w:endnote>
  <w:endnote w:type="continuationNotice" w:id="1">
    <w:p w14:paraId="0AFF4476" w14:textId="77777777" w:rsidR="00470EDD" w:rsidRDefault="00470E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Layout w:type="fixed"/>
      <w:tblLook w:val="0600" w:firstRow="0" w:lastRow="0" w:firstColumn="0" w:lastColumn="0" w:noHBand="1" w:noVBand="1"/>
    </w:tblPr>
    <w:tblGrid>
      <w:gridCol w:w="1770"/>
      <w:gridCol w:w="7590"/>
    </w:tblGrid>
    <w:tr w:rsidR="00877EA3" w14:paraId="1A19A8FC" w14:textId="77777777" w:rsidTr="00ED454B">
      <w:tc>
        <w:tcPr>
          <w:tcW w:w="177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67A55E1D" w14:textId="77777777" w:rsidR="00877EA3" w:rsidRDefault="00877EA3" w:rsidP="00877EA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rFonts w:ascii="Arial" w:eastAsia="Arial" w:hAnsi="Arial" w:cs="Arial"/>
              <w:color w:val="141412"/>
              <w:highlight w:val="white"/>
            </w:rPr>
          </w:pPr>
          <w:r>
            <w:rPr>
              <w:rFonts w:ascii="Arial" w:eastAsia="Arial" w:hAnsi="Arial" w:cs="Arial"/>
              <w:noProof/>
              <w:color w:val="141412"/>
              <w:highlight w:val="white"/>
            </w:rPr>
            <w:drawing>
              <wp:inline distT="114300" distB="114300" distL="114300" distR="114300" wp14:anchorId="6574902E" wp14:editId="43CC1D3C">
                <wp:extent cx="838200" cy="295275"/>
                <wp:effectExtent l="0" t="0" r="0" b="0"/>
                <wp:docPr id="18" name="image1.png" descr="Creative Commons Licen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Creative Commons Licens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2952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4E186CFB" w14:textId="77777777" w:rsidR="00877EA3" w:rsidRPr="000B3A18" w:rsidRDefault="00877EA3" w:rsidP="00877EA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sz w:val="20"/>
              <w:szCs w:val="20"/>
            </w:rPr>
          </w:pPr>
          <w:r w:rsidRPr="000B3A18">
            <w:rPr>
              <w:sz w:val="20"/>
              <w:szCs w:val="20"/>
            </w:rPr>
            <w:t xml:space="preserve">Review Protocol Template by Sarah Visintini is licensed under a </w:t>
          </w:r>
          <w:hyperlink r:id="rId2">
            <w:r w:rsidRPr="000B3A18">
              <w:rPr>
                <w:color w:val="1155CC"/>
                <w:sz w:val="20"/>
                <w:szCs w:val="20"/>
                <w:u w:val="single"/>
              </w:rPr>
              <w:t>Creative Commons Attribution-</w:t>
            </w:r>
            <w:proofErr w:type="spellStart"/>
            <w:r w:rsidRPr="000B3A18">
              <w:rPr>
                <w:color w:val="1155CC"/>
                <w:sz w:val="20"/>
                <w:szCs w:val="20"/>
                <w:u w:val="single"/>
              </w:rPr>
              <w:t>NonCommercial</w:t>
            </w:r>
            <w:proofErr w:type="spellEnd"/>
            <w:r w:rsidRPr="000B3A18">
              <w:rPr>
                <w:color w:val="1155CC"/>
                <w:sz w:val="20"/>
                <w:szCs w:val="20"/>
                <w:u w:val="single"/>
              </w:rPr>
              <w:t>-</w:t>
            </w:r>
            <w:proofErr w:type="spellStart"/>
            <w:r w:rsidRPr="000B3A18">
              <w:rPr>
                <w:color w:val="1155CC"/>
                <w:sz w:val="20"/>
                <w:szCs w:val="20"/>
                <w:u w:val="single"/>
              </w:rPr>
              <w:t>ShareAlike</w:t>
            </w:r>
            <w:proofErr w:type="spellEnd"/>
            <w:r w:rsidRPr="000B3A18">
              <w:rPr>
                <w:color w:val="1155CC"/>
                <w:sz w:val="20"/>
                <w:szCs w:val="20"/>
                <w:u w:val="single"/>
              </w:rPr>
              <w:t xml:space="preserve"> 4.0 International License</w:t>
            </w:r>
          </w:hyperlink>
          <w:r w:rsidRPr="000B3A18">
            <w:rPr>
              <w:sz w:val="20"/>
              <w:szCs w:val="20"/>
            </w:rPr>
            <w:t>.</w:t>
          </w:r>
        </w:p>
      </w:tc>
    </w:tr>
  </w:tbl>
  <w:p w14:paraId="147573B3" w14:textId="77777777" w:rsidR="00877EA3" w:rsidRDefault="00877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066BD" w14:textId="77777777" w:rsidR="00470EDD" w:rsidRDefault="00470EDD" w:rsidP="00877EA3">
      <w:pPr>
        <w:spacing w:after="0" w:line="240" w:lineRule="auto"/>
      </w:pPr>
      <w:r>
        <w:separator/>
      </w:r>
    </w:p>
  </w:footnote>
  <w:footnote w:type="continuationSeparator" w:id="0">
    <w:p w14:paraId="5A858857" w14:textId="77777777" w:rsidR="00470EDD" w:rsidRDefault="00470EDD" w:rsidP="00877EA3">
      <w:pPr>
        <w:spacing w:after="0" w:line="240" w:lineRule="auto"/>
      </w:pPr>
      <w:r>
        <w:continuationSeparator/>
      </w:r>
    </w:p>
  </w:footnote>
  <w:footnote w:type="continuationNotice" w:id="1">
    <w:p w14:paraId="70342F82" w14:textId="77777777" w:rsidR="00470EDD" w:rsidRDefault="00470E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C255C" w14:textId="6142D052" w:rsidR="00A93BC1" w:rsidRPr="00A93BC1" w:rsidRDefault="00A93BC1" w:rsidP="00A93BC1">
    <w:pPr>
      <w:pStyle w:val="Header"/>
      <w:jc w:val="center"/>
      <w:rPr>
        <w:b/>
        <w:bCs/>
        <w:sz w:val="40"/>
        <w:szCs w:val="40"/>
      </w:rPr>
    </w:pPr>
    <w:r w:rsidRPr="00A93BC1">
      <w:rPr>
        <w:b/>
        <w:bCs/>
        <w:sz w:val="40"/>
        <w:szCs w:val="40"/>
      </w:rPr>
      <w:t>Full Review Protocol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61F69"/>
    <w:multiLevelType w:val="hybridMultilevel"/>
    <w:tmpl w:val="5C209E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317871"/>
    <w:multiLevelType w:val="hybridMultilevel"/>
    <w:tmpl w:val="1EFAB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F7DFD"/>
    <w:multiLevelType w:val="hybridMultilevel"/>
    <w:tmpl w:val="BEDC83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4142C2"/>
    <w:multiLevelType w:val="hybridMultilevel"/>
    <w:tmpl w:val="833042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B03965"/>
    <w:multiLevelType w:val="hybridMultilevel"/>
    <w:tmpl w:val="4AAAD5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0126153">
    <w:abstractNumId w:val="1"/>
  </w:num>
  <w:num w:numId="2" w16cid:durableId="1975285619">
    <w:abstractNumId w:val="3"/>
  </w:num>
  <w:num w:numId="3" w16cid:durableId="1448312104">
    <w:abstractNumId w:val="0"/>
  </w:num>
  <w:num w:numId="4" w16cid:durableId="1296791598">
    <w:abstractNumId w:val="2"/>
  </w:num>
  <w:num w:numId="5" w16cid:durableId="1429931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09BB"/>
    <w:rsid w:val="0002424D"/>
    <w:rsid w:val="000308BD"/>
    <w:rsid w:val="000D4241"/>
    <w:rsid w:val="000E2BFE"/>
    <w:rsid w:val="000E3BEB"/>
    <w:rsid w:val="000F6FA6"/>
    <w:rsid w:val="00105F6C"/>
    <w:rsid w:val="00146848"/>
    <w:rsid w:val="00191BE4"/>
    <w:rsid w:val="001C7DAD"/>
    <w:rsid w:val="001D67D3"/>
    <w:rsid w:val="001F7883"/>
    <w:rsid w:val="00214D2B"/>
    <w:rsid w:val="00223F0A"/>
    <w:rsid w:val="0024397E"/>
    <w:rsid w:val="002809BB"/>
    <w:rsid w:val="002842D1"/>
    <w:rsid w:val="002863F5"/>
    <w:rsid w:val="00290ABC"/>
    <w:rsid w:val="002C1FD1"/>
    <w:rsid w:val="002C378B"/>
    <w:rsid w:val="002F5891"/>
    <w:rsid w:val="003043CE"/>
    <w:rsid w:val="003371F9"/>
    <w:rsid w:val="0034264B"/>
    <w:rsid w:val="0037557F"/>
    <w:rsid w:val="00381D32"/>
    <w:rsid w:val="003D5943"/>
    <w:rsid w:val="003F1CB7"/>
    <w:rsid w:val="0042124F"/>
    <w:rsid w:val="00470EDD"/>
    <w:rsid w:val="00496D86"/>
    <w:rsid w:val="004A2F4E"/>
    <w:rsid w:val="00503CB0"/>
    <w:rsid w:val="00505D13"/>
    <w:rsid w:val="005157A7"/>
    <w:rsid w:val="0051760B"/>
    <w:rsid w:val="005503A7"/>
    <w:rsid w:val="00576FF3"/>
    <w:rsid w:val="005C98F6"/>
    <w:rsid w:val="005D75F4"/>
    <w:rsid w:val="00612E65"/>
    <w:rsid w:val="0061483D"/>
    <w:rsid w:val="0063078E"/>
    <w:rsid w:val="006429EB"/>
    <w:rsid w:val="006716BC"/>
    <w:rsid w:val="006C4098"/>
    <w:rsid w:val="006D0717"/>
    <w:rsid w:val="006E13DB"/>
    <w:rsid w:val="006F2894"/>
    <w:rsid w:val="0073131F"/>
    <w:rsid w:val="00787476"/>
    <w:rsid w:val="007B0B7B"/>
    <w:rsid w:val="007E7E5A"/>
    <w:rsid w:val="00812C78"/>
    <w:rsid w:val="008312B9"/>
    <w:rsid w:val="008463BB"/>
    <w:rsid w:val="00864E74"/>
    <w:rsid w:val="00877EA3"/>
    <w:rsid w:val="00892FAB"/>
    <w:rsid w:val="008C73B6"/>
    <w:rsid w:val="008D5B24"/>
    <w:rsid w:val="008E5CB2"/>
    <w:rsid w:val="008F76F5"/>
    <w:rsid w:val="00907F4E"/>
    <w:rsid w:val="00920245"/>
    <w:rsid w:val="009202FE"/>
    <w:rsid w:val="009774F8"/>
    <w:rsid w:val="009A4C68"/>
    <w:rsid w:val="009D5809"/>
    <w:rsid w:val="009D5FD5"/>
    <w:rsid w:val="009D7FF5"/>
    <w:rsid w:val="009E1AB2"/>
    <w:rsid w:val="00A11AAA"/>
    <w:rsid w:val="00A4118E"/>
    <w:rsid w:val="00A56737"/>
    <w:rsid w:val="00A774CA"/>
    <w:rsid w:val="00A85576"/>
    <w:rsid w:val="00A93BC1"/>
    <w:rsid w:val="00AB2303"/>
    <w:rsid w:val="00B129FC"/>
    <w:rsid w:val="00B415A7"/>
    <w:rsid w:val="00B540C7"/>
    <w:rsid w:val="00B851E5"/>
    <w:rsid w:val="00BF045F"/>
    <w:rsid w:val="00BF17A0"/>
    <w:rsid w:val="00C03A6F"/>
    <w:rsid w:val="00C20B8D"/>
    <w:rsid w:val="00C42B9D"/>
    <w:rsid w:val="00C663FC"/>
    <w:rsid w:val="00C86CDD"/>
    <w:rsid w:val="00CB0626"/>
    <w:rsid w:val="00CE7196"/>
    <w:rsid w:val="00CF7BBA"/>
    <w:rsid w:val="00D3223B"/>
    <w:rsid w:val="00D47F16"/>
    <w:rsid w:val="00D5650F"/>
    <w:rsid w:val="00D71188"/>
    <w:rsid w:val="00D924CA"/>
    <w:rsid w:val="00E065CB"/>
    <w:rsid w:val="00E23B2B"/>
    <w:rsid w:val="00E511A1"/>
    <w:rsid w:val="00E809A6"/>
    <w:rsid w:val="00EB31CD"/>
    <w:rsid w:val="00ED1EDB"/>
    <w:rsid w:val="00ED454B"/>
    <w:rsid w:val="00F10E4B"/>
    <w:rsid w:val="00F146AA"/>
    <w:rsid w:val="00F210E3"/>
    <w:rsid w:val="00F2365A"/>
    <w:rsid w:val="00F37581"/>
    <w:rsid w:val="00F612CD"/>
    <w:rsid w:val="00F772FA"/>
    <w:rsid w:val="00F82CA1"/>
    <w:rsid w:val="00F93C41"/>
    <w:rsid w:val="00F979D5"/>
    <w:rsid w:val="00FA7129"/>
    <w:rsid w:val="00FB38FC"/>
    <w:rsid w:val="00FD700E"/>
    <w:rsid w:val="0103E8AA"/>
    <w:rsid w:val="026580A0"/>
    <w:rsid w:val="02BEC213"/>
    <w:rsid w:val="02D86F61"/>
    <w:rsid w:val="03572A85"/>
    <w:rsid w:val="03BE6F31"/>
    <w:rsid w:val="059C9A1B"/>
    <w:rsid w:val="0A3DC140"/>
    <w:rsid w:val="0C05DE53"/>
    <w:rsid w:val="0CD6D012"/>
    <w:rsid w:val="0E182054"/>
    <w:rsid w:val="0F34A762"/>
    <w:rsid w:val="0F620EB8"/>
    <w:rsid w:val="12B6971D"/>
    <w:rsid w:val="14FFB52E"/>
    <w:rsid w:val="150E58F9"/>
    <w:rsid w:val="16C95C14"/>
    <w:rsid w:val="177F8D43"/>
    <w:rsid w:val="17BB8AE1"/>
    <w:rsid w:val="1B59EA14"/>
    <w:rsid w:val="1CA1A5CB"/>
    <w:rsid w:val="1CC754AC"/>
    <w:rsid w:val="1CD2E71D"/>
    <w:rsid w:val="1DFE18AD"/>
    <w:rsid w:val="2010D94B"/>
    <w:rsid w:val="205993D1"/>
    <w:rsid w:val="20C1D373"/>
    <w:rsid w:val="210B602C"/>
    <w:rsid w:val="218FC321"/>
    <w:rsid w:val="22253752"/>
    <w:rsid w:val="22D3F15F"/>
    <w:rsid w:val="2343A0A8"/>
    <w:rsid w:val="23D8D9CD"/>
    <w:rsid w:val="23DFD962"/>
    <w:rsid w:val="23E49686"/>
    <w:rsid w:val="25423228"/>
    <w:rsid w:val="257040D2"/>
    <w:rsid w:val="26F58B5E"/>
    <w:rsid w:val="275FD031"/>
    <w:rsid w:val="29A01298"/>
    <w:rsid w:val="2AD850A5"/>
    <w:rsid w:val="2B5A249D"/>
    <w:rsid w:val="2CE9911D"/>
    <w:rsid w:val="2D49FBAC"/>
    <w:rsid w:val="2F1BEAFD"/>
    <w:rsid w:val="303F86AE"/>
    <w:rsid w:val="307C8A7F"/>
    <w:rsid w:val="30F1F474"/>
    <w:rsid w:val="30F46BE5"/>
    <w:rsid w:val="325A0E81"/>
    <w:rsid w:val="3365078A"/>
    <w:rsid w:val="3502946D"/>
    <w:rsid w:val="365A94D5"/>
    <w:rsid w:val="36A3911F"/>
    <w:rsid w:val="3713EE51"/>
    <w:rsid w:val="371BC5AF"/>
    <w:rsid w:val="37C2E5D5"/>
    <w:rsid w:val="37ECEC2B"/>
    <w:rsid w:val="389C6DFC"/>
    <w:rsid w:val="38C4FB05"/>
    <w:rsid w:val="38C849CD"/>
    <w:rsid w:val="38E84D82"/>
    <w:rsid w:val="392B77BE"/>
    <w:rsid w:val="39C5614F"/>
    <w:rsid w:val="3AE84D35"/>
    <w:rsid w:val="3B129789"/>
    <w:rsid w:val="3C41F5D6"/>
    <w:rsid w:val="3DAB0C0D"/>
    <w:rsid w:val="3E6F7BE0"/>
    <w:rsid w:val="3F2352D4"/>
    <w:rsid w:val="41CEDDDD"/>
    <w:rsid w:val="41FC2AAD"/>
    <w:rsid w:val="423EB5F7"/>
    <w:rsid w:val="44962510"/>
    <w:rsid w:val="449F4748"/>
    <w:rsid w:val="47B89760"/>
    <w:rsid w:val="47F9FBCF"/>
    <w:rsid w:val="48A5559A"/>
    <w:rsid w:val="497105D7"/>
    <w:rsid w:val="4A9BB514"/>
    <w:rsid w:val="4B0670B9"/>
    <w:rsid w:val="4B141D00"/>
    <w:rsid w:val="4C3B5622"/>
    <w:rsid w:val="4CCF3817"/>
    <w:rsid w:val="4CE906D8"/>
    <w:rsid w:val="4D06CF04"/>
    <w:rsid w:val="4DAB3661"/>
    <w:rsid w:val="4E1A27CD"/>
    <w:rsid w:val="4FB4DEAC"/>
    <w:rsid w:val="4FCA8F23"/>
    <w:rsid w:val="51AF0002"/>
    <w:rsid w:val="52841959"/>
    <w:rsid w:val="5295B495"/>
    <w:rsid w:val="53C69E15"/>
    <w:rsid w:val="54769193"/>
    <w:rsid w:val="54BE990E"/>
    <w:rsid w:val="5536B568"/>
    <w:rsid w:val="5679D653"/>
    <w:rsid w:val="58D3F23C"/>
    <w:rsid w:val="596D511B"/>
    <w:rsid w:val="5A6252C7"/>
    <w:rsid w:val="5A6959BC"/>
    <w:rsid w:val="5B9F21DF"/>
    <w:rsid w:val="5BA5F6FF"/>
    <w:rsid w:val="5C01FC0E"/>
    <w:rsid w:val="5DE5F362"/>
    <w:rsid w:val="5DEB2C10"/>
    <w:rsid w:val="5EC665C2"/>
    <w:rsid w:val="5F09E515"/>
    <w:rsid w:val="5FC94278"/>
    <w:rsid w:val="6045E754"/>
    <w:rsid w:val="6157242B"/>
    <w:rsid w:val="6286D092"/>
    <w:rsid w:val="64285F96"/>
    <w:rsid w:val="647DEFEB"/>
    <w:rsid w:val="64CDB38C"/>
    <w:rsid w:val="65093DC4"/>
    <w:rsid w:val="661FDE8B"/>
    <w:rsid w:val="6640FA09"/>
    <w:rsid w:val="66704040"/>
    <w:rsid w:val="6743446D"/>
    <w:rsid w:val="681DB837"/>
    <w:rsid w:val="684FEEBD"/>
    <w:rsid w:val="69E1F3B6"/>
    <w:rsid w:val="6B7DA107"/>
    <w:rsid w:val="6D6A9A13"/>
    <w:rsid w:val="6E77FD82"/>
    <w:rsid w:val="6E8D3F9C"/>
    <w:rsid w:val="6FC6C0CA"/>
    <w:rsid w:val="714FC2CA"/>
    <w:rsid w:val="717B2D4C"/>
    <w:rsid w:val="726E9E43"/>
    <w:rsid w:val="72D6D226"/>
    <w:rsid w:val="730338DD"/>
    <w:rsid w:val="75DC6738"/>
    <w:rsid w:val="760C83B1"/>
    <w:rsid w:val="76F2BE20"/>
    <w:rsid w:val="787E3864"/>
    <w:rsid w:val="78DD988A"/>
    <w:rsid w:val="7AD53507"/>
    <w:rsid w:val="7C0B9C7B"/>
    <w:rsid w:val="7C2F26A6"/>
    <w:rsid w:val="7C504FB9"/>
    <w:rsid w:val="7C7561CE"/>
    <w:rsid w:val="7D78E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56A0C"/>
  <w15:chartTrackingRefBased/>
  <w15:docId w15:val="{5301C424-1D71-4774-94EF-40D52977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9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0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9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9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9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9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9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9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9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9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809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9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9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9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9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9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9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9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9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9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9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9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9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9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9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9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9B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46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7E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EA3"/>
  </w:style>
  <w:style w:type="paragraph" w:styleId="Footer">
    <w:name w:val="footer"/>
    <w:basedOn w:val="Normal"/>
    <w:link w:val="FooterChar"/>
    <w:uiPriority w:val="99"/>
    <w:unhideWhenUsed/>
    <w:rsid w:val="00877E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EA3"/>
  </w:style>
  <w:style w:type="paragraph" w:styleId="CommentText">
    <w:name w:val="annotation text"/>
    <w:basedOn w:val="Normal"/>
    <w:link w:val="CommentTextChar"/>
    <w:uiPriority w:val="99"/>
    <w:unhideWhenUsed/>
    <w:rsid w:val="00F210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10E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210E3"/>
    <w:rPr>
      <w:sz w:val="16"/>
      <w:szCs w:val="16"/>
    </w:rPr>
  </w:style>
  <w:style w:type="paragraph" w:styleId="Revision">
    <w:name w:val="Revision"/>
    <w:hidden/>
    <w:uiPriority w:val="99"/>
    <w:semiHidden/>
    <w:rsid w:val="00F210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2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-nc-sa/4.0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796388-945d-4656-aa99-2c8023506f7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34F7FD8892E4FAF7EC7403A4DAB3A" ma:contentTypeVersion="14" ma:contentTypeDescription="Create a new document." ma:contentTypeScope="" ma:versionID="c1e696c30b8fad3c73e9009493633504">
  <xsd:schema xmlns:xsd="http://www.w3.org/2001/XMLSchema" xmlns:xs="http://www.w3.org/2001/XMLSchema" xmlns:p="http://schemas.microsoft.com/office/2006/metadata/properties" xmlns:ns3="a2cae550-99a7-4b04-8642-4ac0fda27fed" xmlns:ns4="79796388-945d-4656-aa99-2c8023506f75" targetNamespace="http://schemas.microsoft.com/office/2006/metadata/properties" ma:root="true" ma:fieldsID="4ac56d4902798fdcb345969451ad383e" ns3:_="" ns4:_="">
    <xsd:import namespace="a2cae550-99a7-4b04-8642-4ac0fda27fed"/>
    <xsd:import namespace="79796388-945d-4656-aa99-2c8023506f7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ObjectDetectorVersions" minOccurs="0"/>
                <xsd:element ref="ns4:_activity" minOccurs="0"/>
                <xsd:element ref="ns4:MediaServiceSearchPropertie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ae550-99a7-4b04-8642-4ac0fda27f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96388-945d-4656-aa99-2c8023506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9622F8-2243-4812-9386-9046661840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25D29D-B4E3-4233-A69E-0BC0408A17C1}">
  <ds:schemaRefs>
    <ds:schemaRef ds:uri="http://schemas.openxmlformats.org/package/2006/metadata/core-properties"/>
    <ds:schemaRef ds:uri="a2cae550-99a7-4b04-8642-4ac0fda27fed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79796388-945d-4656-aa99-2c8023506f7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1DDE601-44A5-437F-8A38-4B9209CAB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cae550-99a7-4b04-8642-4ac0fda27fed"/>
    <ds:schemaRef ds:uri="79796388-945d-4656-aa99-2c8023506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f35c3da-39ae-4632-9ac1-afc2f25d2852}" enabled="0" method="" siteId="{5f35c3da-39ae-4632-9ac1-afc2f25d28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1748</Words>
  <Characters>9966</Characters>
  <Application>Microsoft Office Word</Application>
  <DocSecurity>0</DocSecurity>
  <Lines>83</Lines>
  <Paragraphs>23</Paragraphs>
  <ScaleCrop>false</ScaleCrop>
  <Company/>
  <LinksUpToDate>false</LinksUpToDate>
  <CharactersWithSpaces>11691</CharactersWithSpaces>
  <SharedDoc>false</SharedDoc>
  <HLinks>
    <vt:vector size="6" baseType="variant">
      <vt:variant>
        <vt:i4>4259931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http://creativecommons.org/licenses/by-nc-sa/4.0/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Peter, Kezia (Student)</dc:creator>
  <cp:keywords/>
  <dc:description/>
  <cp:lastModifiedBy>Peter, Kezia (Student)</cp:lastModifiedBy>
  <cp:revision>70</cp:revision>
  <cp:lastPrinted>2025-09-02T17:12:00Z</cp:lastPrinted>
  <dcterms:created xsi:type="dcterms:W3CDTF">2025-05-18T12:59:00Z</dcterms:created>
  <dcterms:modified xsi:type="dcterms:W3CDTF">2025-09-03T20:30:00Z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0x01010075934F7FD8892E4FAF7EC7403A4DAB3A</vt:lpwstr>
  </property>
</Properties>
</file>