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D6BBA5" w14:textId="77777777" w:rsidR="00FF31EC" w:rsidRPr="00B70284" w:rsidRDefault="00FF31EC" w:rsidP="00FF31EC">
      <w:pPr>
        <w:jc w:val="both"/>
        <w:rPr>
          <w:rFonts w:ascii="Arial" w:hAnsi="Arial" w:cs="Arial"/>
          <w:b/>
          <w:bCs/>
          <w:sz w:val="28"/>
          <w:szCs w:val="28"/>
          <w:lang w:val="en-US"/>
        </w:rPr>
      </w:pPr>
      <w:r w:rsidRPr="00B70284">
        <w:rPr>
          <w:rFonts w:ascii="Arial" w:hAnsi="Arial" w:cs="Arial"/>
          <w:b/>
          <w:bCs/>
          <w:sz w:val="28"/>
          <w:szCs w:val="28"/>
          <w:lang w:val="en-US"/>
        </w:rPr>
        <w:t>Supplementary material</w:t>
      </w:r>
    </w:p>
    <w:p w14:paraId="5E3A47A2" w14:textId="26170511" w:rsidR="00FF31EC" w:rsidRPr="006D6C16" w:rsidRDefault="00FF31EC" w:rsidP="00FF31EC">
      <w:pPr>
        <w:jc w:val="both"/>
        <w:rPr>
          <w:rFonts w:ascii="Arial" w:hAnsi="Arial" w:cs="Arial"/>
          <w:b/>
          <w:bCs/>
          <w:color w:val="212121"/>
          <w:shd w:val="clear" w:color="auto" w:fill="FFFFFF"/>
          <w:lang w:val="en-US"/>
        </w:rPr>
      </w:pPr>
      <w:r w:rsidRPr="006D6C16">
        <w:rPr>
          <w:rFonts w:ascii="Arial" w:hAnsi="Arial" w:cs="Arial"/>
          <w:b/>
          <w:bCs/>
          <w:color w:val="212121"/>
          <w:shd w:val="clear" w:color="auto" w:fill="FFFFFF"/>
          <w:lang w:val="en-US"/>
        </w:rPr>
        <w:t>Cells</w:t>
      </w:r>
    </w:p>
    <w:p w14:paraId="7CDAF7C0" w14:textId="77777777" w:rsidR="00FF31EC" w:rsidRPr="006D6C16" w:rsidRDefault="00FF31EC" w:rsidP="00FF31EC">
      <w:pPr>
        <w:jc w:val="both"/>
        <w:rPr>
          <w:rFonts w:ascii="Arial" w:eastAsia="Times New Roman" w:hAnsi="Arial" w:cs="Arial"/>
          <w:color w:val="212121"/>
          <w:shd w:val="clear" w:color="auto" w:fill="FFFFFF"/>
          <w:lang w:val="en-US"/>
          <w14:ligatures w14:val="none"/>
        </w:rPr>
      </w:pPr>
      <w:r w:rsidRPr="006D6C16">
        <w:rPr>
          <w:rFonts w:ascii="Arial" w:eastAsia="Times New Roman" w:hAnsi="Arial" w:cs="Arial"/>
          <w:shd w:val="clear" w:color="auto" w:fill="FFFFFF"/>
          <w:lang w:val="en-US"/>
          <w14:ligatures w14:val="none"/>
        </w:rPr>
        <w:t xml:space="preserve">HEK and A549 cell lines (obtained from ATCC, Manassas, USA) were </w:t>
      </w:r>
      <w:r w:rsidRPr="006D6C16">
        <w:rPr>
          <w:rFonts w:ascii="Arial" w:eastAsia="Times New Roman" w:hAnsi="Arial" w:cs="Arial"/>
          <w:color w:val="212121"/>
          <w:shd w:val="clear" w:color="auto" w:fill="FFFFFF"/>
          <w:lang w:val="en-US"/>
          <w14:ligatures w14:val="none"/>
        </w:rPr>
        <w:t>cultured in DMEM High Glucose (</w:t>
      </w:r>
      <w:proofErr w:type="spellStart"/>
      <w:r w:rsidRPr="006D6C16">
        <w:rPr>
          <w:rFonts w:ascii="Arial" w:eastAsia="Times New Roman" w:hAnsi="Arial" w:cs="Arial"/>
          <w:color w:val="212121"/>
          <w:shd w:val="clear" w:color="auto" w:fill="FFFFFF"/>
          <w:lang w:val="en-US"/>
          <w14:ligatures w14:val="none"/>
        </w:rPr>
        <w:t>Euroclone</w:t>
      </w:r>
      <w:proofErr w:type="spellEnd"/>
      <w:r w:rsidRPr="006D6C16">
        <w:rPr>
          <w:rFonts w:ascii="Arial" w:eastAsia="Times New Roman" w:hAnsi="Arial" w:cs="Arial"/>
          <w:color w:val="212121"/>
          <w:shd w:val="clear" w:color="auto" w:fill="FFFFFF"/>
          <w:lang w:val="en-US"/>
          <w14:ligatures w14:val="none"/>
        </w:rPr>
        <w:t>, Pero, Italy) supplemented with 10% FBS (Gibco, Waltham, USA), 1% (v/v) penicillin-streptomycin (Gibco), and 2 mM L-glutamine (Gibco). Cells were washed with PBS 1X (</w:t>
      </w:r>
      <w:proofErr w:type="spellStart"/>
      <w:r w:rsidRPr="006D6C16">
        <w:rPr>
          <w:rFonts w:ascii="Arial" w:eastAsia="Times New Roman" w:hAnsi="Arial" w:cs="Arial"/>
          <w:color w:val="212121"/>
          <w:shd w:val="clear" w:color="auto" w:fill="FFFFFF"/>
          <w:lang w:val="en-US"/>
          <w14:ligatures w14:val="none"/>
        </w:rPr>
        <w:t>Euroclone</w:t>
      </w:r>
      <w:proofErr w:type="spellEnd"/>
      <w:r w:rsidRPr="006D6C16">
        <w:rPr>
          <w:rFonts w:ascii="Arial" w:eastAsia="Times New Roman" w:hAnsi="Arial" w:cs="Arial"/>
          <w:color w:val="212121"/>
          <w:shd w:val="clear" w:color="auto" w:fill="FFFFFF"/>
          <w:lang w:val="en-US"/>
          <w14:ligatures w14:val="none"/>
        </w:rPr>
        <w:t xml:space="preserve">, Pero, Italy), treated with Trypsin, resuspended in DMEM High Glucose, and centrifuged for 5 minutes at 1200 rpm. The supernatant was </w:t>
      </w:r>
      <w:proofErr w:type="gramStart"/>
      <w:r w:rsidRPr="006D6C16">
        <w:rPr>
          <w:rFonts w:ascii="Arial" w:eastAsia="Times New Roman" w:hAnsi="Arial" w:cs="Arial"/>
          <w:color w:val="212121"/>
          <w:shd w:val="clear" w:color="auto" w:fill="FFFFFF"/>
          <w:lang w:val="en-US"/>
          <w14:ligatures w14:val="none"/>
        </w:rPr>
        <w:t>removed</w:t>
      </w:r>
      <w:proofErr w:type="gramEnd"/>
      <w:r w:rsidRPr="006D6C16">
        <w:rPr>
          <w:rFonts w:ascii="Arial" w:eastAsia="Times New Roman" w:hAnsi="Arial" w:cs="Arial"/>
          <w:color w:val="212121"/>
          <w:shd w:val="clear" w:color="auto" w:fill="FFFFFF"/>
          <w:lang w:val="en-US"/>
          <w14:ligatures w14:val="none"/>
        </w:rPr>
        <w:t xml:space="preserve"> and cells were resuspended in DMEM High Glucose. For each condition, 2x10</w:t>
      </w:r>
      <w:r w:rsidRPr="006D6C16">
        <w:rPr>
          <w:rFonts w:ascii="Arial" w:eastAsia="Times New Roman" w:hAnsi="Arial" w:cs="Arial"/>
          <w:color w:val="212121"/>
          <w:shd w:val="clear" w:color="auto" w:fill="FFFFFF"/>
          <w:vertAlign w:val="superscript"/>
          <w:lang w:val="en-US"/>
          <w14:ligatures w14:val="none"/>
        </w:rPr>
        <w:t xml:space="preserve">6 </w:t>
      </w:r>
      <w:r w:rsidRPr="006D6C16">
        <w:rPr>
          <w:rFonts w:ascii="Arial" w:eastAsia="Times New Roman" w:hAnsi="Arial" w:cs="Arial"/>
          <w:color w:val="212121"/>
          <w:shd w:val="clear" w:color="auto" w:fill="FFFFFF"/>
          <w:lang w:val="en-US"/>
          <w14:ligatures w14:val="none"/>
        </w:rPr>
        <w:t xml:space="preserve">cells were counted using a </w:t>
      </w:r>
      <w:proofErr w:type="spellStart"/>
      <w:r w:rsidRPr="006D6C16">
        <w:rPr>
          <w:rFonts w:ascii="Arial" w:eastAsia="Times New Roman" w:hAnsi="Arial" w:cs="Arial"/>
          <w:color w:val="212121"/>
          <w:shd w:val="clear" w:color="auto" w:fill="FFFFFF"/>
          <w:lang w:val="en-US"/>
          <w14:ligatures w14:val="none"/>
        </w:rPr>
        <w:t>Burker</w:t>
      </w:r>
      <w:proofErr w:type="spellEnd"/>
      <w:r w:rsidRPr="006D6C16">
        <w:rPr>
          <w:rFonts w:ascii="Arial" w:eastAsia="Times New Roman" w:hAnsi="Arial" w:cs="Arial"/>
          <w:color w:val="212121"/>
          <w:shd w:val="clear" w:color="auto" w:fill="FFFFFF"/>
          <w:lang w:val="en-US"/>
          <w14:ligatures w14:val="none"/>
        </w:rPr>
        <w:t xml:space="preserve"> chamber. </w:t>
      </w:r>
    </w:p>
    <w:p w14:paraId="775F8226" w14:textId="77777777" w:rsidR="00FF31EC" w:rsidRPr="006D6C16" w:rsidRDefault="00FF31EC" w:rsidP="00FF31EC">
      <w:pPr>
        <w:jc w:val="both"/>
        <w:rPr>
          <w:rFonts w:ascii="Arial" w:eastAsia="Times New Roman" w:hAnsi="Arial" w:cs="Arial"/>
          <w:color w:val="212121"/>
          <w:shd w:val="clear" w:color="auto" w:fill="FFFFFF"/>
          <w:lang w:val="en-US"/>
          <w14:ligatures w14:val="none"/>
        </w:rPr>
      </w:pPr>
      <w:r w:rsidRPr="006D6C16">
        <w:rPr>
          <w:rFonts w:ascii="Arial" w:eastAsia="Times New Roman" w:hAnsi="Arial" w:cs="Arial"/>
          <w:color w:val="212121"/>
          <w:shd w:val="clear" w:color="auto" w:fill="FFFFFF"/>
          <w:lang w:val="en-US"/>
          <w14:ligatures w14:val="none"/>
        </w:rPr>
        <w:t>Cells were resuspended in 1 mL of wash buffer (PBS 1X, BSA Fraction V (</w:t>
      </w:r>
      <w:proofErr w:type="spellStart"/>
      <w:r w:rsidRPr="006D6C16">
        <w:rPr>
          <w:rFonts w:ascii="Arial" w:eastAsia="Times New Roman" w:hAnsi="Arial" w:cs="Arial"/>
          <w:color w:val="212121"/>
          <w:shd w:val="clear" w:color="auto" w:fill="FFFFFF"/>
          <w:lang w:val="en-US"/>
          <w14:ligatures w14:val="none"/>
        </w:rPr>
        <w:t>Thermo</w:t>
      </w:r>
      <w:proofErr w:type="spellEnd"/>
      <w:r w:rsidRPr="006D6C16">
        <w:rPr>
          <w:rFonts w:ascii="Arial" w:eastAsia="Times New Roman" w:hAnsi="Arial" w:cs="Arial"/>
          <w:color w:val="212121"/>
          <w:shd w:val="clear" w:color="auto" w:fill="FFFFFF"/>
          <w:lang w:val="en-US"/>
          <w14:ligatures w14:val="none"/>
        </w:rPr>
        <w:t xml:space="preserve"> Fisher Scientific, Waltham, USA)), then, after gentle centrifugation, 1 mL of fixative was added. Cells were fixed either in Neutral Buffered Formalin (</w:t>
      </w:r>
      <w:proofErr w:type="spellStart"/>
      <w:r w:rsidRPr="006D6C16">
        <w:rPr>
          <w:rFonts w:ascii="Arial" w:eastAsia="Times New Roman" w:hAnsi="Arial" w:cs="Arial"/>
          <w:color w:val="212121"/>
          <w:shd w:val="clear" w:color="auto" w:fill="FFFFFF"/>
          <w:lang w:val="en-US"/>
          <w14:ligatures w14:val="none"/>
        </w:rPr>
        <w:t>BioOptica</w:t>
      </w:r>
      <w:proofErr w:type="spellEnd"/>
      <w:r w:rsidRPr="006D6C16">
        <w:rPr>
          <w:rFonts w:ascii="Arial" w:eastAsia="Times New Roman" w:hAnsi="Arial" w:cs="Arial"/>
          <w:color w:val="212121"/>
          <w:shd w:val="clear" w:color="auto" w:fill="FFFFFF"/>
          <w:lang w:val="en-US"/>
          <w14:ligatures w14:val="none"/>
        </w:rPr>
        <w:t>, Milan, Italy) or in GAF (Addax Biosciences, Turin, Italy) and the time of fixation varied between 10 minutes or 24 hours. Finally, cells were centrifuged at 400 g for 3 minutes. Afterward, the supernatant was removed, and cells were washed in wash buffer to remove any trace of fixative.</w:t>
      </w:r>
    </w:p>
    <w:p w14:paraId="2610E052" w14:textId="77777777" w:rsidR="00FF31EC" w:rsidRPr="006D6C16" w:rsidRDefault="00FF31EC" w:rsidP="00FF31EC">
      <w:pPr>
        <w:jc w:val="both"/>
        <w:rPr>
          <w:rFonts w:ascii="Arial" w:hAnsi="Arial" w:cs="Arial"/>
          <w:b/>
          <w:bCs/>
          <w:color w:val="212121"/>
          <w:shd w:val="clear" w:color="auto" w:fill="FFFFFF"/>
          <w:lang w:val="en-US"/>
        </w:rPr>
      </w:pPr>
    </w:p>
    <w:p w14:paraId="707A6EA5" w14:textId="77777777" w:rsidR="00FF31EC" w:rsidRPr="006D6C16" w:rsidRDefault="00FF31EC" w:rsidP="00FF31EC">
      <w:pPr>
        <w:jc w:val="both"/>
        <w:rPr>
          <w:rFonts w:ascii="Arial" w:hAnsi="Arial" w:cs="Arial"/>
          <w:b/>
          <w:bCs/>
          <w:color w:val="212121"/>
          <w:shd w:val="clear" w:color="auto" w:fill="FFFFFF"/>
          <w:lang w:val="en-US"/>
        </w:rPr>
      </w:pPr>
      <w:r w:rsidRPr="006D6C16">
        <w:rPr>
          <w:rFonts w:ascii="Arial" w:hAnsi="Arial" w:cs="Arial"/>
          <w:b/>
          <w:bCs/>
          <w:color w:val="212121"/>
          <w:shd w:val="clear" w:color="auto" w:fill="FFFFFF"/>
          <w:lang w:val="en-US"/>
        </w:rPr>
        <w:t>Mice</w:t>
      </w:r>
    </w:p>
    <w:p w14:paraId="23F3AD60" w14:textId="77777777" w:rsidR="00FF31EC" w:rsidRPr="006D6C16" w:rsidRDefault="00FF31EC" w:rsidP="00FF31EC">
      <w:pPr>
        <w:jc w:val="both"/>
        <w:rPr>
          <w:rFonts w:ascii="Arial" w:hAnsi="Arial" w:cs="Arial"/>
          <w:lang w:val="en-US"/>
        </w:rPr>
      </w:pPr>
      <w:proofErr w:type="spellStart"/>
      <w:r w:rsidRPr="006D6C16">
        <w:rPr>
          <w:rFonts w:ascii="Arial" w:hAnsi="Arial" w:cs="Arial"/>
          <w:lang w:val="en-US"/>
        </w:rPr>
        <w:t>Balb</w:t>
      </w:r>
      <w:proofErr w:type="spellEnd"/>
      <w:r w:rsidRPr="006D6C16">
        <w:rPr>
          <w:rFonts w:ascii="Arial" w:hAnsi="Arial" w:cs="Arial"/>
          <w:lang w:val="en-US"/>
        </w:rPr>
        <w:t>/c mice were bred under specific pathogen-free conditions (Allentown Caging Equipment, Allentown, NJ, USA) at the Molecular Biotechnology Center (Torino, Italy) and treated according to the European Guidelines and policies, as approved by the University of Torino Ethical Committee. BALB-</w:t>
      </w:r>
      <w:proofErr w:type="spellStart"/>
      <w:r w:rsidRPr="006D6C16">
        <w:rPr>
          <w:rFonts w:ascii="Arial" w:hAnsi="Arial" w:cs="Arial"/>
          <w:lang w:val="en-US"/>
        </w:rPr>
        <w:t>neuT</w:t>
      </w:r>
      <w:proofErr w:type="spellEnd"/>
      <w:r w:rsidRPr="006D6C16">
        <w:rPr>
          <w:rFonts w:ascii="Arial" w:hAnsi="Arial" w:cs="Arial"/>
          <w:lang w:val="en-US"/>
        </w:rPr>
        <w:t xml:space="preserve"> females, heterozygous for the neu transgene, overexpressing HER2 and spontaneously develop multiple HER2-overexpressing mammary cancers (</w:t>
      </w:r>
      <w:proofErr w:type="spellStart"/>
      <w:r w:rsidRPr="006D6C16">
        <w:rPr>
          <w:rFonts w:ascii="Arial" w:hAnsi="Arial" w:cs="Arial"/>
          <w:lang w:val="en-US"/>
        </w:rPr>
        <w:t>Quaglino</w:t>
      </w:r>
      <w:proofErr w:type="spellEnd"/>
      <w:r w:rsidRPr="006D6C16">
        <w:rPr>
          <w:rFonts w:ascii="Arial" w:hAnsi="Arial" w:cs="Arial"/>
          <w:lang w:val="en-US"/>
        </w:rPr>
        <w:t xml:space="preserve"> et al., 2008) and were kindly provided by E. </w:t>
      </w:r>
      <w:proofErr w:type="spellStart"/>
      <w:r w:rsidRPr="006D6C16">
        <w:rPr>
          <w:rFonts w:ascii="Arial" w:hAnsi="Arial" w:cs="Arial"/>
          <w:lang w:val="en-US"/>
        </w:rPr>
        <w:t>Quaglino</w:t>
      </w:r>
      <w:proofErr w:type="spellEnd"/>
      <w:r w:rsidRPr="006D6C16">
        <w:rPr>
          <w:rFonts w:ascii="Arial" w:hAnsi="Arial" w:cs="Arial"/>
          <w:lang w:val="en-US"/>
        </w:rPr>
        <w:t xml:space="preserve"> of the Turin University. </w:t>
      </w:r>
    </w:p>
    <w:p w14:paraId="2DA2DCF9" w14:textId="277850C6" w:rsidR="00FF31EC" w:rsidRPr="006D6C16" w:rsidRDefault="00FF31EC" w:rsidP="00FF31EC">
      <w:pPr>
        <w:jc w:val="both"/>
        <w:rPr>
          <w:rFonts w:ascii="Arial" w:hAnsi="Arial" w:cs="Arial"/>
          <w:kern w:val="0"/>
          <w:lang w:val="en-US"/>
        </w:rPr>
      </w:pPr>
      <w:r w:rsidRPr="006D6C16">
        <w:rPr>
          <w:rFonts w:ascii="Arial" w:hAnsi="Arial" w:cs="Arial"/>
          <w:color w:val="212121"/>
          <w:shd w:val="clear" w:color="auto" w:fill="FFFFFF"/>
          <w:lang w:val="en-US"/>
        </w:rPr>
        <w:t>Mouse tissues specimens (spleen, kidney, liver and HER2-overexpressing mammary tumors from BALB-</w:t>
      </w:r>
      <w:proofErr w:type="spellStart"/>
      <w:r w:rsidRPr="006D6C16">
        <w:rPr>
          <w:rFonts w:ascii="Arial" w:hAnsi="Arial" w:cs="Arial"/>
          <w:color w:val="212121"/>
          <w:shd w:val="clear" w:color="auto" w:fill="FFFFFF"/>
          <w:lang w:val="en-US"/>
        </w:rPr>
        <w:t>neuT</w:t>
      </w:r>
      <w:proofErr w:type="spellEnd"/>
      <w:r w:rsidRPr="006D6C16">
        <w:rPr>
          <w:rFonts w:ascii="Arial" w:hAnsi="Arial" w:cs="Arial"/>
          <w:color w:val="212121"/>
          <w:shd w:val="clear" w:color="auto" w:fill="FFFFFF"/>
          <w:lang w:val="en-US"/>
        </w:rPr>
        <w:t xml:space="preserve"> female mice) </w:t>
      </w:r>
      <w:r w:rsidRPr="006D6C16">
        <w:rPr>
          <w:rFonts w:ascii="Arial" w:hAnsi="Arial" w:cs="Arial"/>
          <w:lang w:val="en-US"/>
        </w:rPr>
        <w:t>were collected and fixed alternatively in Neutral Buffered Formalin (NBF) (</w:t>
      </w:r>
      <w:proofErr w:type="spellStart"/>
      <w:r w:rsidRPr="006D6C16">
        <w:rPr>
          <w:rFonts w:ascii="Arial" w:hAnsi="Arial" w:cs="Arial"/>
          <w:lang w:val="en-US"/>
        </w:rPr>
        <w:t>Diapath</w:t>
      </w:r>
      <w:proofErr w:type="spellEnd"/>
      <w:r w:rsidRPr="006D6C16">
        <w:rPr>
          <w:rFonts w:ascii="Arial" w:hAnsi="Arial" w:cs="Arial"/>
          <w:lang w:val="en-US"/>
        </w:rPr>
        <w:t xml:space="preserve">, </w:t>
      </w:r>
      <w:proofErr w:type="spellStart"/>
      <w:r w:rsidRPr="006D6C16">
        <w:rPr>
          <w:rFonts w:ascii="Arial" w:hAnsi="Arial" w:cs="Arial"/>
          <w:lang w:val="en-US"/>
        </w:rPr>
        <w:t>Martinengo</w:t>
      </w:r>
      <w:proofErr w:type="spellEnd"/>
      <w:r w:rsidRPr="006D6C16">
        <w:rPr>
          <w:rFonts w:ascii="Arial" w:hAnsi="Arial" w:cs="Arial"/>
          <w:lang w:val="en-US"/>
        </w:rPr>
        <w:t xml:space="preserve"> (BG), Italy) or in GAF (Glyoxal Acid Free), a 2% solution of acid-deprived Glyoxal in 0.1M Phosphate buffer pH 7.4 (</w:t>
      </w:r>
      <w:proofErr w:type="spellStart"/>
      <w:r w:rsidRPr="006D6C16">
        <w:rPr>
          <w:rFonts w:ascii="Arial" w:hAnsi="Arial" w:cs="Arial"/>
          <w:lang w:val="en-US"/>
        </w:rPr>
        <w:t>Bussolati</w:t>
      </w:r>
      <w:proofErr w:type="spellEnd"/>
      <w:r w:rsidRPr="006D6C16">
        <w:rPr>
          <w:rFonts w:ascii="Arial" w:hAnsi="Arial" w:cs="Arial"/>
          <w:lang w:val="en-US"/>
        </w:rPr>
        <w:t xml:space="preserve"> et al., 2017), produced by Addax Biosciences </w:t>
      </w:r>
      <w:proofErr w:type="spellStart"/>
      <w:r w:rsidRPr="006D6C16">
        <w:rPr>
          <w:rFonts w:ascii="Arial" w:hAnsi="Arial" w:cs="Arial"/>
          <w:lang w:val="en-US"/>
        </w:rPr>
        <w:t>S.r.l</w:t>
      </w:r>
      <w:proofErr w:type="spellEnd"/>
      <w:r w:rsidRPr="006D6C16">
        <w:rPr>
          <w:rFonts w:ascii="Arial" w:hAnsi="Arial" w:cs="Arial"/>
          <w:lang w:val="en-US"/>
        </w:rPr>
        <w:t>. (Turin, Italy). This reagent was proven to be a non-toxic (see Technical Report in Supplementary Material) and validated alternative to Formalin (</w:t>
      </w:r>
      <w:proofErr w:type="spellStart"/>
      <w:r w:rsidRPr="006D6C16">
        <w:rPr>
          <w:rFonts w:ascii="Arial" w:hAnsi="Arial" w:cs="Arial"/>
          <w:lang w:val="en-US"/>
        </w:rPr>
        <w:t>Ryska</w:t>
      </w:r>
      <w:proofErr w:type="spellEnd"/>
      <w:r w:rsidRPr="006D6C16">
        <w:rPr>
          <w:rFonts w:ascii="Arial" w:hAnsi="Arial" w:cs="Arial"/>
          <w:lang w:val="en-US"/>
        </w:rPr>
        <w:t xml:space="preserve"> et al., 2024). </w:t>
      </w:r>
      <w:r w:rsidRPr="006D6C16">
        <w:rPr>
          <w:rFonts w:ascii="Arial" w:hAnsi="Arial" w:cs="Arial"/>
          <w:kern w:val="0"/>
          <w:lang w:val="en-US"/>
        </w:rPr>
        <w:t>Paraffin blocks in cassettes were then prepared using alternatively standard paraffin or AO-Paraffin.</w:t>
      </w:r>
    </w:p>
    <w:p w14:paraId="0BEFC5DD" w14:textId="77777777" w:rsidR="006D6C16" w:rsidRDefault="00FF31EC" w:rsidP="00FF31EC">
      <w:pPr>
        <w:autoSpaceDE w:val="0"/>
        <w:autoSpaceDN w:val="0"/>
        <w:adjustRightInd w:val="0"/>
        <w:spacing w:after="0"/>
        <w:jc w:val="both"/>
        <w:rPr>
          <w:rFonts w:ascii="Arial" w:eastAsiaTheme="minorHAnsi" w:hAnsi="Arial" w:cs="Arial"/>
          <w:kern w:val="0"/>
          <w:lang w:val="en-US"/>
        </w:rPr>
      </w:pPr>
      <w:r w:rsidRPr="006D6C16">
        <w:rPr>
          <w:rFonts w:ascii="Arial" w:eastAsiaTheme="minorHAnsi" w:hAnsi="Arial" w:cs="Arial"/>
          <w:kern w:val="0"/>
        </w:rPr>
        <w:t xml:space="preserve">Quaglino E, Mastini C, Forni G et al. </w:t>
      </w:r>
      <w:r w:rsidRPr="006D6C16">
        <w:rPr>
          <w:rFonts w:ascii="Arial" w:eastAsiaTheme="minorHAnsi" w:hAnsi="Arial" w:cs="Arial"/>
          <w:kern w:val="0"/>
          <w:lang w:val="en-US"/>
        </w:rPr>
        <w:t xml:space="preserve">ErbB2 transgenic mice: a tool for investigation of the immune prevention and treatment of mammary carcinomas. Curr </w:t>
      </w:r>
      <w:proofErr w:type="spellStart"/>
      <w:r w:rsidRPr="006D6C16">
        <w:rPr>
          <w:rFonts w:ascii="Arial" w:eastAsiaTheme="minorHAnsi" w:hAnsi="Arial" w:cs="Arial"/>
          <w:kern w:val="0"/>
          <w:lang w:val="en-US"/>
        </w:rPr>
        <w:t>Protoc</w:t>
      </w:r>
      <w:proofErr w:type="spellEnd"/>
      <w:r w:rsidRPr="006D6C16">
        <w:rPr>
          <w:rFonts w:ascii="Arial" w:eastAsiaTheme="minorHAnsi" w:hAnsi="Arial" w:cs="Arial"/>
          <w:kern w:val="0"/>
          <w:lang w:val="en-US"/>
        </w:rPr>
        <w:t xml:space="preserve"> Immunol 2008; Chapter 20:Unit 20.9.1-20.9-10.</w:t>
      </w:r>
    </w:p>
    <w:p w14:paraId="595B8D2C" w14:textId="0E45197F" w:rsidR="00FF31EC" w:rsidRPr="006D6C16" w:rsidRDefault="00FF31EC" w:rsidP="00FF31EC">
      <w:pPr>
        <w:autoSpaceDE w:val="0"/>
        <w:autoSpaceDN w:val="0"/>
        <w:adjustRightInd w:val="0"/>
        <w:spacing w:after="0"/>
        <w:jc w:val="both"/>
        <w:rPr>
          <w:rFonts w:ascii="Arial" w:eastAsiaTheme="minorHAnsi" w:hAnsi="Arial" w:cs="Arial"/>
          <w:kern w:val="0"/>
          <w:lang w:val="en-US"/>
        </w:rPr>
      </w:pPr>
      <w:r w:rsidRPr="006D6C16">
        <w:rPr>
          <w:rFonts w:ascii="Arial" w:eastAsiaTheme="minorHAnsi" w:hAnsi="Arial" w:cs="Arial"/>
          <w:b/>
          <w:bCs/>
          <w:kern w:val="0"/>
          <w:lang w:val="en-US"/>
        </w:rPr>
        <w:lastRenderedPageBreak/>
        <w:t>Human tumors</w:t>
      </w:r>
    </w:p>
    <w:p w14:paraId="2843C127" w14:textId="77777777" w:rsidR="00FF31EC" w:rsidRPr="006D6C16" w:rsidRDefault="00FF31EC" w:rsidP="00FF31EC">
      <w:pPr>
        <w:autoSpaceDE w:val="0"/>
        <w:autoSpaceDN w:val="0"/>
        <w:adjustRightInd w:val="0"/>
        <w:spacing w:after="0"/>
        <w:jc w:val="both"/>
        <w:rPr>
          <w:rFonts w:ascii="Arial" w:eastAsiaTheme="minorHAnsi" w:hAnsi="Arial" w:cs="Arial"/>
          <w:kern w:val="0"/>
          <w:lang w:val="en-US"/>
        </w:rPr>
      </w:pPr>
    </w:p>
    <w:p w14:paraId="4A55CBC9" w14:textId="40482265" w:rsidR="00FF31EC" w:rsidRPr="006D6C16" w:rsidRDefault="00FF31EC" w:rsidP="00FF31EC">
      <w:pPr>
        <w:autoSpaceDE w:val="0"/>
        <w:autoSpaceDN w:val="0"/>
        <w:adjustRightInd w:val="0"/>
        <w:spacing w:after="0"/>
        <w:jc w:val="both"/>
        <w:rPr>
          <w:rFonts w:ascii="Arial" w:eastAsiaTheme="minorHAnsi" w:hAnsi="Arial" w:cs="Arial"/>
          <w:color w:val="EE0000"/>
          <w:kern w:val="0"/>
        </w:rPr>
      </w:pPr>
      <w:r w:rsidRPr="006D6C16">
        <w:rPr>
          <w:rFonts w:ascii="Arial" w:eastAsiaTheme="minorHAnsi" w:hAnsi="Arial" w:cs="Arial"/>
          <w:color w:val="000000"/>
          <w:kern w:val="0"/>
          <w:lang w:val="en-US"/>
        </w:rPr>
        <w:t>Sampling was performed on specimens optimally preserved during their transfer from the surgical theatre, following the under-vacuum sealing and cooling procedure</w:t>
      </w:r>
      <w:r w:rsidRPr="006D6C16">
        <w:rPr>
          <w:rFonts w:ascii="Arial" w:eastAsiaTheme="minorHAnsi" w:hAnsi="Arial" w:cs="Arial"/>
          <w:kern w:val="0"/>
          <w:lang w:val="en-US"/>
        </w:rPr>
        <w:t xml:space="preserve"> (</w:t>
      </w:r>
      <w:proofErr w:type="spellStart"/>
      <w:r w:rsidRPr="006D6C16">
        <w:rPr>
          <w:rFonts w:ascii="Arial" w:eastAsiaTheme="minorHAnsi" w:hAnsi="Arial" w:cs="Arial"/>
          <w:kern w:val="0"/>
          <w:lang w:val="en-US"/>
        </w:rPr>
        <w:t>Bussolati</w:t>
      </w:r>
      <w:proofErr w:type="spellEnd"/>
      <w:r w:rsidRPr="006D6C16">
        <w:rPr>
          <w:rFonts w:ascii="Arial" w:eastAsiaTheme="minorHAnsi" w:hAnsi="Arial" w:cs="Arial"/>
          <w:kern w:val="0"/>
          <w:lang w:val="en-US"/>
        </w:rPr>
        <w:t xml:space="preserve"> et al., 2008).</w:t>
      </w:r>
      <w:r w:rsidRPr="006D6C16">
        <w:rPr>
          <w:rFonts w:ascii="Arial" w:eastAsiaTheme="minorHAnsi" w:hAnsi="Arial" w:cs="Arial"/>
          <w:color w:val="000000"/>
          <w:kern w:val="0"/>
          <w:lang w:val="en-US"/>
        </w:rPr>
        <w:t xml:space="preserve"> The Institutional Ethics Review Board responsible for “Biobanking and use of human tissues for experimental studies” at the Department of Medical Sciences, University of Turin approved this study, which was conducted along the lines of the Profiling Project</w:t>
      </w:r>
      <w:r w:rsidRPr="006D6C16">
        <w:rPr>
          <w:rFonts w:ascii="Arial" w:eastAsiaTheme="minorHAnsi" w:hAnsi="Arial" w:cs="Arial"/>
          <w:kern w:val="0"/>
          <w:lang w:val="en-US"/>
        </w:rPr>
        <w:t xml:space="preserve">. We selected specimens large enough to allow multiple, parallel grossing from nearby areas of interest. </w:t>
      </w:r>
    </w:p>
    <w:p w14:paraId="0EE42565" w14:textId="77777777" w:rsidR="00FF31EC" w:rsidRPr="006D6C16" w:rsidRDefault="00FF31EC" w:rsidP="00FF31EC">
      <w:pPr>
        <w:autoSpaceDE w:val="0"/>
        <w:autoSpaceDN w:val="0"/>
        <w:adjustRightInd w:val="0"/>
        <w:spacing w:after="0"/>
        <w:jc w:val="both"/>
        <w:rPr>
          <w:rFonts w:ascii="Arial" w:eastAsiaTheme="minorHAnsi" w:hAnsi="Arial" w:cs="Arial"/>
          <w:kern w:val="0"/>
        </w:rPr>
      </w:pPr>
    </w:p>
    <w:p w14:paraId="6C5AA8D5" w14:textId="77777777" w:rsidR="00FF31EC" w:rsidRPr="006D6C16" w:rsidRDefault="00FF31EC" w:rsidP="00FF31EC">
      <w:pPr>
        <w:autoSpaceDE w:val="0"/>
        <w:autoSpaceDN w:val="0"/>
        <w:adjustRightInd w:val="0"/>
        <w:spacing w:after="0"/>
        <w:jc w:val="both"/>
        <w:rPr>
          <w:rFonts w:ascii="Arial" w:eastAsiaTheme="minorHAnsi" w:hAnsi="Arial" w:cs="Arial"/>
          <w:b/>
          <w:bCs/>
          <w:lang w:val="en-US"/>
        </w:rPr>
      </w:pPr>
      <w:r w:rsidRPr="006D6C16">
        <w:rPr>
          <w:rFonts w:ascii="Arial" w:eastAsiaTheme="minorHAnsi" w:hAnsi="Arial" w:cs="Arial"/>
          <w:b/>
          <w:bCs/>
          <w:lang w:val="en-US"/>
        </w:rPr>
        <w:t>Antioxidants</w:t>
      </w:r>
    </w:p>
    <w:p w14:paraId="6D0BF42E" w14:textId="77777777" w:rsidR="00FF31EC" w:rsidRPr="006D6C16" w:rsidRDefault="00FF31EC" w:rsidP="00FF31EC">
      <w:pPr>
        <w:autoSpaceDE w:val="0"/>
        <w:autoSpaceDN w:val="0"/>
        <w:adjustRightInd w:val="0"/>
        <w:spacing w:after="0"/>
        <w:jc w:val="both"/>
        <w:rPr>
          <w:rFonts w:ascii="Arial" w:eastAsiaTheme="minorHAnsi" w:hAnsi="Arial" w:cs="Arial"/>
          <w:lang w:val="en-US"/>
        </w:rPr>
      </w:pPr>
    </w:p>
    <w:p w14:paraId="7EA36BD6" w14:textId="77777777" w:rsidR="00FF31EC" w:rsidRPr="006D6C16" w:rsidRDefault="00FF31EC" w:rsidP="00FF31EC">
      <w:pPr>
        <w:autoSpaceDE w:val="0"/>
        <w:autoSpaceDN w:val="0"/>
        <w:adjustRightInd w:val="0"/>
        <w:spacing w:after="0"/>
        <w:jc w:val="both"/>
        <w:rPr>
          <w:rFonts w:ascii="Arial" w:eastAsiaTheme="minorHAnsi" w:hAnsi="Arial" w:cs="Arial"/>
          <w:kern w:val="0"/>
          <w:lang w:val="en-US"/>
        </w:rPr>
      </w:pPr>
      <w:r w:rsidRPr="006D6C16">
        <w:rPr>
          <w:rFonts w:ascii="Arial" w:eastAsiaTheme="minorHAnsi" w:hAnsi="Arial" w:cs="Arial"/>
          <w:kern w:val="0"/>
          <w:lang w:val="en-US"/>
        </w:rPr>
        <w:t xml:space="preserve">Several liposoluble antioxidants (AOs) (BHT (Butylated hydroxytoluene), BHA (Butylated hydroxyanisole), </w:t>
      </w:r>
      <w:bookmarkStart w:id="0" w:name="_Hlk193549286"/>
      <w:proofErr w:type="spellStart"/>
      <w:r w:rsidRPr="006D6C16">
        <w:rPr>
          <w:rFonts w:ascii="Arial" w:eastAsiaTheme="minorHAnsi" w:hAnsi="Arial" w:cs="Arial"/>
          <w:kern w:val="0"/>
          <w:lang w:val="en-US"/>
        </w:rPr>
        <w:t>Irganox</w:t>
      </w:r>
      <w:proofErr w:type="spellEnd"/>
      <w:r w:rsidRPr="006D6C16">
        <w:rPr>
          <w:rFonts w:ascii="Arial" w:eastAsiaTheme="minorHAnsi" w:hAnsi="Arial" w:cs="Arial"/>
          <w:kern w:val="0"/>
          <w:lang w:val="en-US"/>
        </w:rPr>
        <w:t xml:space="preserve"> 1010 (Pentaerythritol </w:t>
      </w:r>
      <w:proofErr w:type="spellStart"/>
      <w:r w:rsidRPr="006D6C16">
        <w:rPr>
          <w:rFonts w:ascii="Arial" w:eastAsiaTheme="minorHAnsi" w:hAnsi="Arial" w:cs="Arial"/>
          <w:kern w:val="0"/>
          <w:lang w:val="en-US"/>
        </w:rPr>
        <w:t>tetrakis</w:t>
      </w:r>
      <w:proofErr w:type="spellEnd"/>
      <w:r w:rsidRPr="006D6C16">
        <w:rPr>
          <w:rFonts w:ascii="Arial" w:eastAsiaTheme="minorHAnsi" w:hAnsi="Arial" w:cs="Arial"/>
          <w:kern w:val="0"/>
          <w:lang w:val="en-US"/>
        </w:rPr>
        <w:t xml:space="preserve">(3,5-di-tert-butyl-4-hydroxyhydrocinnamate)), </w:t>
      </w:r>
      <w:proofErr w:type="spellStart"/>
      <w:r w:rsidRPr="006D6C16">
        <w:rPr>
          <w:rFonts w:ascii="Arial" w:eastAsiaTheme="minorHAnsi" w:hAnsi="Arial" w:cs="Arial"/>
          <w:kern w:val="0"/>
          <w:lang w:val="en-US"/>
        </w:rPr>
        <w:t>Irganox</w:t>
      </w:r>
      <w:proofErr w:type="spellEnd"/>
      <w:r w:rsidRPr="006D6C16">
        <w:rPr>
          <w:rFonts w:ascii="Arial" w:eastAsiaTheme="minorHAnsi" w:hAnsi="Arial" w:cs="Arial"/>
          <w:kern w:val="0"/>
          <w:lang w:val="en-US"/>
        </w:rPr>
        <w:t xml:space="preserve"> 1076 (Octadecyl 3-(3,5-di-tert-butyl-4-hydroxyphenyl)propionate) </w:t>
      </w:r>
      <w:bookmarkEnd w:id="0"/>
      <w:r w:rsidRPr="006D6C16">
        <w:rPr>
          <w:rFonts w:ascii="Arial" w:eastAsiaTheme="minorHAnsi" w:hAnsi="Arial" w:cs="Arial"/>
          <w:kern w:val="0"/>
          <w:lang w:val="en-US"/>
        </w:rPr>
        <w:t xml:space="preserve">and </w:t>
      </w:r>
      <w:proofErr w:type="spellStart"/>
      <w:r w:rsidRPr="006D6C16">
        <w:rPr>
          <w:rFonts w:ascii="Arial" w:eastAsiaTheme="minorHAnsi" w:hAnsi="Arial" w:cs="Arial"/>
          <w:kern w:val="0"/>
          <w:lang w:val="en-US"/>
        </w:rPr>
        <w:t>Naugard</w:t>
      </w:r>
      <w:proofErr w:type="spellEnd"/>
      <w:r w:rsidRPr="006D6C16">
        <w:rPr>
          <w:rFonts w:ascii="Arial" w:eastAsiaTheme="minorHAnsi" w:hAnsi="Arial" w:cs="Arial"/>
          <w:kern w:val="0"/>
          <w:lang w:val="en-US"/>
        </w:rPr>
        <w:t xml:space="preserve"> 168 (Tris(</w:t>
      </w:r>
      <w:proofErr w:type="spellStart"/>
      <w:r w:rsidRPr="006D6C16">
        <w:rPr>
          <w:rFonts w:ascii="Arial" w:eastAsiaTheme="minorHAnsi" w:hAnsi="Arial" w:cs="Arial"/>
          <w:kern w:val="0"/>
          <w:lang w:val="en-US"/>
        </w:rPr>
        <w:t>nonylphenyl</w:t>
      </w:r>
      <w:proofErr w:type="spellEnd"/>
      <w:r w:rsidRPr="006D6C16">
        <w:rPr>
          <w:rFonts w:ascii="Arial" w:eastAsiaTheme="minorHAnsi" w:hAnsi="Arial" w:cs="Arial"/>
          <w:kern w:val="0"/>
          <w:lang w:val="en-US"/>
        </w:rPr>
        <w:t>) phosphite), all from Sigma-</w:t>
      </w:r>
      <w:proofErr w:type="spellStart"/>
      <w:r w:rsidRPr="006D6C16">
        <w:rPr>
          <w:rFonts w:ascii="Arial" w:eastAsiaTheme="minorHAnsi" w:hAnsi="Arial" w:cs="Arial"/>
          <w:kern w:val="0"/>
          <w:lang w:val="en-US"/>
        </w:rPr>
        <w:t>Aldich</w:t>
      </w:r>
      <w:proofErr w:type="spellEnd"/>
      <w:r w:rsidRPr="006D6C16">
        <w:rPr>
          <w:rFonts w:ascii="Arial" w:eastAsiaTheme="minorHAnsi" w:hAnsi="Arial" w:cs="Arial"/>
          <w:kern w:val="0"/>
          <w:lang w:val="en-US"/>
        </w:rPr>
        <w:t xml:space="preserve"> (Milan, Italy) and </w:t>
      </w:r>
      <w:proofErr w:type="spellStart"/>
      <w:r w:rsidRPr="006D6C16">
        <w:rPr>
          <w:rFonts w:ascii="Arial" w:eastAsiaTheme="minorHAnsi" w:hAnsi="Arial" w:cs="Arial"/>
          <w:color w:val="000000"/>
          <w:kern w:val="0"/>
          <w:lang w:val="en-US"/>
        </w:rPr>
        <w:t>Chimassorb</w:t>
      </w:r>
      <w:proofErr w:type="spellEnd"/>
      <w:r w:rsidRPr="006D6C16">
        <w:rPr>
          <w:rFonts w:ascii="Arial" w:eastAsiaTheme="minorHAnsi" w:hAnsi="Arial" w:cs="Arial"/>
          <w:color w:val="000000"/>
          <w:kern w:val="0"/>
          <w:lang w:val="en-US"/>
        </w:rPr>
        <w:t xml:space="preserve"> 81 (</w:t>
      </w:r>
      <w:proofErr w:type="spellStart"/>
      <w:r w:rsidRPr="006D6C16">
        <w:rPr>
          <w:rFonts w:ascii="Arial" w:eastAsiaTheme="minorHAnsi" w:hAnsi="Arial" w:cs="Arial"/>
          <w:color w:val="000000"/>
          <w:kern w:val="0"/>
          <w:lang w:val="en-US"/>
        </w:rPr>
        <w:t>Methanone</w:t>
      </w:r>
      <w:proofErr w:type="spellEnd"/>
      <w:r w:rsidRPr="006D6C16">
        <w:rPr>
          <w:rFonts w:ascii="Arial" w:eastAsiaTheme="minorHAnsi" w:hAnsi="Arial" w:cs="Arial"/>
          <w:color w:val="000000"/>
          <w:kern w:val="0"/>
          <w:lang w:val="en-US"/>
        </w:rPr>
        <w:t>, 2-hydroxy-4-(</w:t>
      </w:r>
      <w:proofErr w:type="spellStart"/>
      <w:r w:rsidRPr="006D6C16">
        <w:rPr>
          <w:rFonts w:ascii="Arial" w:eastAsiaTheme="minorHAnsi" w:hAnsi="Arial" w:cs="Arial"/>
          <w:color w:val="000000"/>
          <w:kern w:val="0"/>
          <w:lang w:val="en-US"/>
        </w:rPr>
        <w:t>octyloxy</w:t>
      </w:r>
      <w:proofErr w:type="spellEnd"/>
      <w:r w:rsidRPr="006D6C16">
        <w:rPr>
          <w:rFonts w:ascii="Arial" w:eastAsiaTheme="minorHAnsi" w:hAnsi="Arial" w:cs="Arial"/>
          <w:color w:val="000000"/>
          <w:kern w:val="0"/>
          <w:lang w:val="en-US"/>
        </w:rPr>
        <w:t xml:space="preserve">)-phenyl), </w:t>
      </w:r>
      <w:proofErr w:type="spellStart"/>
      <w:r w:rsidRPr="006D6C16">
        <w:rPr>
          <w:rFonts w:ascii="Arial" w:eastAsiaTheme="minorHAnsi" w:hAnsi="Arial" w:cs="Arial"/>
          <w:lang w:val="en-US"/>
        </w:rPr>
        <w:t>Irganox</w:t>
      </w:r>
      <w:proofErr w:type="spellEnd"/>
      <w:r w:rsidRPr="006D6C16">
        <w:rPr>
          <w:rFonts w:ascii="Arial" w:eastAsiaTheme="minorHAnsi" w:hAnsi="Arial" w:cs="Arial"/>
          <w:lang w:val="en-US"/>
        </w:rPr>
        <w:t xml:space="preserve"> HP-136 (3-aryl-benzofuran-2-one ),</w:t>
      </w:r>
      <w:r w:rsidRPr="006D6C16">
        <w:rPr>
          <w:rFonts w:ascii="Arial" w:eastAsiaTheme="minorHAnsi" w:hAnsi="Arial" w:cs="Arial"/>
          <w:kern w:val="0"/>
          <w:lang w:val="en-US"/>
        </w:rPr>
        <w:t xml:space="preserve"> </w:t>
      </w:r>
      <w:bookmarkStart w:id="1" w:name="_Hlk207445187"/>
      <w:proofErr w:type="spellStart"/>
      <w:r w:rsidRPr="006D6C16">
        <w:rPr>
          <w:rFonts w:ascii="Arial" w:eastAsiaTheme="minorHAnsi" w:hAnsi="Arial" w:cs="Arial"/>
          <w:lang w:val="en-US"/>
        </w:rPr>
        <w:t>Irganox</w:t>
      </w:r>
      <w:proofErr w:type="spellEnd"/>
      <w:r w:rsidRPr="006D6C16">
        <w:rPr>
          <w:rFonts w:ascii="Arial" w:eastAsiaTheme="minorHAnsi" w:hAnsi="Arial" w:cs="Arial"/>
          <w:lang w:val="en-US"/>
        </w:rPr>
        <w:t xml:space="preserve"> 1520 (2-Methyl-4,6-bis(</w:t>
      </w:r>
      <w:proofErr w:type="spellStart"/>
      <w:r w:rsidRPr="006D6C16">
        <w:rPr>
          <w:rFonts w:ascii="Arial" w:eastAsiaTheme="minorHAnsi" w:hAnsi="Arial" w:cs="Arial"/>
          <w:lang w:val="en-US"/>
        </w:rPr>
        <w:t>octylsulfanylmethyl</w:t>
      </w:r>
      <w:proofErr w:type="spellEnd"/>
      <w:r w:rsidRPr="006D6C16">
        <w:rPr>
          <w:rFonts w:ascii="Arial" w:eastAsiaTheme="minorHAnsi" w:hAnsi="Arial" w:cs="Arial"/>
          <w:lang w:val="en-US"/>
        </w:rPr>
        <w:t xml:space="preserve">)phenol) </w:t>
      </w:r>
      <w:bookmarkEnd w:id="1"/>
      <w:r w:rsidRPr="006D6C16">
        <w:rPr>
          <w:rFonts w:ascii="Arial" w:eastAsiaTheme="minorHAnsi" w:hAnsi="Arial" w:cs="Arial"/>
          <w:color w:val="000000"/>
          <w:kern w:val="0"/>
          <w:lang w:val="en-US"/>
        </w:rPr>
        <w:t xml:space="preserve">and </w:t>
      </w:r>
      <w:bookmarkStart w:id="2" w:name="_Hlk193549346"/>
      <w:proofErr w:type="spellStart"/>
      <w:r w:rsidRPr="006D6C16">
        <w:rPr>
          <w:rFonts w:ascii="Arial" w:eastAsiaTheme="minorHAnsi" w:hAnsi="Arial" w:cs="Arial"/>
          <w:lang w:val="en-US"/>
        </w:rPr>
        <w:t>Irgafos</w:t>
      </w:r>
      <w:proofErr w:type="spellEnd"/>
      <w:r w:rsidRPr="006D6C16">
        <w:rPr>
          <w:rFonts w:ascii="Arial" w:eastAsiaTheme="minorHAnsi" w:hAnsi="Arial" w:cs="Arial"/>
          <w:lang w:val="en-US"/>
        </w:rPr>
        <w:t xml:space="preserve"> 168 (Tris(2,4-di-tert-butylphenyl) phosphite), </w:t>
      </w:r>
      <w:bookmarkEnd w:id="2"/>
      <w:r w:rsidRPr="006D6C16">
        <w:rPr>
          <w:rFonts w:ascii="Arial" w:eastAsiaTheme="minorHAnsi" w:hAnsi="Arial" w:cs="Arial"/>
          <w:lang w:val="en-US"/>
        </w:rPr>
        <w:t xml:space="preserve">all </w:t>
      </w:r>
      <w:bookmarkStart w:id="3" w:name="_Hlk207445402"/>
      <w:r w:rsidRPr="006D6C16">
        <w:rPr>
          <w:rFonts w:ascii="Arial" w:eastAsiaTheme="minorHAnsi" w:hAnsi="Arial" w:cs="Arial"/>
          <w:lang w:val="en-US"/>
        </w:rPr>
        <w:t>from BASF Italia, (</w:t>
      </w:r>
      <w:proofErr w:type="spellStart"/>
      <w:r w:rsidRPr="006D6C16">
        <w:rPr>
          <w:rFonts w:ascii="Arial" w:eastAsiaTheme="minorHAnsi" w:hAnsi="Arial" w:cs="Arial"/>
          <w:lang w:val="en-US"/>
        </w:rPr>
        <w:t>Cesano</w:t>
      </w:r>
      <w:proofErr w:type="spellEnd"/>
      <w:r w:rsidRPr="006D6C16">
        <w:rPr>
          <w:rFonts w:ascii="Arial" w:eastAsiaTheme="minorHAnsi" w:hAnsi="Arial" w:cs="Arial"/>
          <w:lang w:val="en-US"/>
        </w:rPr>
        <w:t xml:space="preserve"> Maderno, MB), Italy </w:t>
      </w:r>
      <w:bookmarkEnd w:id="3"/>
      <w:r w:rsidRPr="006D6C16">
        <w:rPr>
          <w:rFonts w:ascii="Arial" w:eastAsiaTheme="minorHAnsi" w:hAnsi="Arial" w:cs="Arial"/>
          <w:lang w:val="en-US"/>
        </w:rPr>
        <w:t>were tested for their solubility in paraffin and activity in protecting DNA integrity and stability at 70°C (see above).</w:t>
      </w:r>
    </w:p>
    <w:p w14:paraId="5E6CFCEE" w14:textId="77777777" w:rsidR="00FF31EC" w:rsidRPr="006D6C16" w:rsidRDefault="00FF31EC" w:rsidP="00FF31EC">
      <w:pPr>
        <w:autoSpaceDE w:val="0"/>
        <w:autoSpaceDN w:val="0"/>
        <w:adjustRightInd w:val="0"/>
        <w:spacing w:after="0"/>
        <w:jc w:val="both"/>
        <w:rPr>
          <w:rFonts w:ascii="Arial" w:eastAsiaTheme="minorHAnsi" w:hAnsi="Arial" w:cs="Arial"/>
          <w:lang w:val="en-US"/>
        </w:rPr>
      </w:pPr>
      <w:r w:rsidRPr="006D6C16">
        <w:rPr>
          <w:rFonts w:ascii="Arial" w:eastAsiaTheme="minorHAnsi" w:hAnsi="Arial" w:cs="Arial"/>
          <w:lang w:val="en-US"/>
        </w:rPr>
        <w:t xml:space="preserve">We finally adopted a mixture of </w:t>
      </w:r>
      <w:bookmarkStart w:id="4" w:name="_Hlk193549157"/>
      <w:r w:rsidRPr="006D6C16">
        <w:rPr>
          <w:rFonts w:ascii="Arial" w:eastAsiaTheme="minorHAnsi" w:hAnsi="Arial" w:cs="Arial"/>
          <w:lang w:val="en-US"/>
        </w:rPr>
        <w:t>different AOs on the base of their properties and solubility (</w:t>
      </w:r>
      <w:bookmarkStart w:id="5" w:name="_Hlk211960275"/>
      <w:proofErr w:type="spellStart"/>
      <w:r w:rsidRPr="006D6C16">
        <w:rPr>
          <w:rFonts w:ascii="Arial" w:eastAsiaTheme="minorHAnsi" w:hAnsi="Arial" w:cs="Arial"/>
          <w:lang w:val="en-US"/>
        </w:rPr>
        <w:t>Azat</w:t>
      </w:r>
      <w:proofErr w:type="spellEnd"/>
      <w:r w:rsidRPr="006D6C16">
        <w:rPr>
          <w:rFonts w:ascii="Arial" w:eastAsiaTheme="minorHAnsi" w:hAnsi="Arial" w:cs="Arial"/>
          <w:lang w:val="en-US"/>
        </w:rPr>
        <w:t xml:space="preserve"> et al., 2019; Santos-Sanchez et al., 2019; </w:t>
      </w:r>
      <w:proofErr w:type="spellStart"/>
      <w:r w:rsidRPr="006D6C16">
        <w:rPr>
          <w:rFonts w:ascii="Arial" w:eastAsiaTheme="minorHAnsi" w:hAnsi="Arial" w:cs="Arial"/>
          <w:lang w:val="en-US"/>
        </w:rPr>
        <w:t>Zehiroglu</w:t>
      </w:r>
      <w:proofErr w:type="spellEnd"/>
      <w:r w:rsidRPr="006D6C16">
        <w:rPr>
          <w:rFonts w:ascii="Arial" w:eastAsiaTheme="minorHAnsi" w:hAnsi="Arial" w:cs="Arial"/>
          <w:lang w:val="en-US"/>
        </w:rPr>
        <w:t xml:space="preserve"> et al., 2019; Flieger et al., 2021; </w:t>
      </w:r>
      <w:proofErr w:type="spellStart"/>
      <w:r w:rsidRPr="006D6C16">
        <w:rPr>
          <w:rFonts w:ascii="Arial" w:eastAsiaTheme="minorHAnsi" w:hAnsi="Arial" w:cs="Arial"/>
          <w:lang w:val="en-US"/>
        </w:rPr>
        <w:t>Hyar</w:t>
      </w:r>
      <w:proofErr w:type="spellEnd"/>
      <w:r w:rsidRPr="006D6C16">
        <w:rPr>
          <w:rFonts w:ascii="Arial" w:eastAsiaTheme="minorHAnsi" w:hAnsi="Arial" w:cs="Arial"/>
          <w:lang w:val="en-US"/>
        </w:rPr>
        <w:t xml:space="preserve"> and Meydan, 2023), </w:t>
      </w:r>
      <w:bookmarkEnd w:id="4"/>
      <w:bookmarkEnd w:id="5"/>
      <w:r w:rsidRPr="006D6C16">
        <w:rPr>
          <w:rFonts w:ascii="Arial" w:eastAsiaTheme="minorHAnsi" w:hAnsi="Arial" w:cs="Arial"/>
          <w:lang w:val="en-US"/>
        </w:rPr>
        <w:t xml:space="preserve">of the </w:t>
      </w:r>
      <w:bookmarkStart w:id="6" w:name="_Hlk193549438"/>
      <w:r w:rsidRPr="006D6C16">
        <w:rPr>
          <w:rFonts w:ascii="Arial" w:eastAsiaTheme="minorHAnsi" w:hAnsi="Arial" w:cs="Arial"/>
          <w:lang w:val="en-US"/>
        </w:rPr>
        <w:t>additive effect of different reagent and of the principle that synergy between different reagents potentiates their activity (</w:t>
      </w:r>
      <w:bookmarkStart w:id="7" w:name="_Hlk211960301"/>
      <w:r w:rsidRPr="006D6C16">
        <w:rPr>
          <w:rFonts w:ascii="Arial" w:eastAsiaTheme="minorHAnsi" w:hAnsi="Arial" w:cs="Arial"/>
          <w:lang w:val="en-US"/>
        </w:rPr>
        <w:t xml:space="preserve">Commisso et al., 2017; </w:t>
      </w:r>
      <w:proofErr w:type="spellStart"/>
      <w:r w:rsidRPr="006D6C16">
        <w:rPr>
          <w:rFonts w:ascii="Arial" w:eastAsiaTheme="minorHAnsi" w:hAnsi="Arial" w:cs="Arial"/>
          <w:lang w:val="en-US"/>
        </w:rPr>
        <w:t>Seeram</w:t>
      </w:r>
      <w:proofErr w:type="spellEnd"/>
      <w:r w:rsidRPr="006D6C16">
        <w:rPr>
          <w:rFonts w:ascii="Arial" w:eastAsiaTheme="minorHAnsi" w:hAnsi="Arial" w:cs="Arial"/>
          <w:lang w:val="en-US"/>
        </w:rPr>
        <w:t xml:space="preserve"> et al., 2005</w:t>
      </w:r>
      <w:bookmarkEnd w:id="7"/>
      <w:r w:rsidRPr="006D6C16">
        <w:rPr>
          <w:rFonts w:ascii="Arial" w:eastAsiaTheme="minorHAnsi" w:hAnsi="Arial" w:cs="Arial"/>
          <w:lang w:val="en-US"/>
        </w:rPr>
        <w:t xml:space="preserve">). </w:t>
      </w:r>
      <w:bookmarkEnd w:id="6"/>
      <w:r w:rsidRPr="006D6C16">
        <w:rPr>
          <w:rFonts w:ascii="Arial" w:eastAsiaTheme="minorHAnsi" w:hAnsi="Arial" w:cs="Arial"/>
          <w:lang w:val="en-US"/>
        </w:rPr>
        <w:t>The final quantity of AOs in the paraffin wax was below 0,5% (w/v). The resulting reagent, AO-Paraffin (</w:t>
      </w:r>
      <w:proofErr w:type="spellStart"/>
      <w:r w:rsidRPr="006D6C16">
        <w:rPr>
          <w:rFonts w:ascii="Arial" w:eastAsiaTheme="minorHAnsi" w:hAnsi="Arial" w:cs="Arial"/>
          <w:lang w:val="en-US"/>
        </w:rPr>
        <w:t>genoWax</w:t>
      </w:r>
      <w:proofErr w:type="spellEnd"/>
      <w:r w:rsidRPr="006D6C16">
        <w:rPr>
          <w:rFonts w:ascii="Arial" w:eastAsiaTheme="minorHAnsi" w:hAnsi="Arial" w:cs="Arial"/>
          <w:lang w:val="en-US"/>
        </w:rPr>
        <w:t xml:space="preserve">®), was prepared and supplied by Addax Biosciences </w:t>
      </w:r>
      <w:proofErr w:type="spellStart"/>
      <w:r w:rsidRPr="006D6C16">
        <w:rPr>
          <w:rFonts w:ascii="Arial" w:eastAsiaTheme="minorHAnsi" w:hAnsi="Arial" w:cs="Arial"/>
          <w:lang w:val="en-US"/>
        </w:rPr>
        <w:t>S.r.l</w:t>
      </w:r>
      <w:proofErr w:type="spellEnd"/>
      <w:r w:rsidRPr="006D6C16">
        <w:rPr>
          <w:rFonts w:ascii="Arial" w:eastAsiaTheme="minorHAnsi" w:hAnsi="Arial" w:cs="Arial"/>
          <w:lang w:val="en-US"/>
        </w:rPr>
        <w:t>. (Turin, Italy).</w:t>
      </w:r>
    </w:p>
    <w:p w14:paraId="163030F9" w14:textId="77777777" w:rsidR="00FF31EC" w:rsidRPr="00C81405" w:rsidRDefault="00FF31EC" w:rsidP="00FF31EC">
      <w:pPr>
        <w:autoSpaceDE w:val="0"/>
        <w:autoSpaceDN w:val="0"/>
        <w:adjustRightInd w:val="0"/>
        <w:spacing w:after="0"/>
        <w:jc w:val="both"/>
        <w:rPr>
          <w:rFonts w:ascii="Arial" w:eastAsiaTheme="minorHAnsi" w:hAnsi="Arial" w:cs="Arial"/>
          <w:i/>
          <w:iCs/>
          <w:lang w:val="en-US"/>
        </w:rPr>
      </w:pPr>
    </w:p>
    <w:p w14:paraId="51D37342" w14:textId="77777777" w:rsidR="00FF31EC" w:rsidRPr="00C81405" w:rsidRDefault="00FF31EC" w:rsidP="00FF31EC">
      <w:pPr>
        <w:autoSpaceDE w:val="0"/>
        <w:autoSpaceDN w:val="0"/>
        <w:adjustRightInd w:val="0"/>
        <w:spacing w:after="0"/>
        <w:jc w:val="both"/>
        <w:rPr>
          <w:rFonts w:ascii="Arial" w:eastAsiaTheme="minorHAnsi" w:hAnsi="Arial" w:cs="Arial"/>
          <w:kern w:val="0"/>
          <w:lang w:val="en-US"/>
        </w:rPr>
      </w:pPr>
      <w:proofErr w:type="spellStart"/>
      <w:r w:rsidRPr="00C81405">
        <w:rPr>
          <w:rFonts w:ascii="Arial" w:eastAsiaTheme="minorHAnsi" w:hAnsi="Arial" w:cs="Arial"/>
          <w:kern w:val="0"/>
          <w:lang w:val="en-US"/>
        </w:rPr>
        <w:t>Azat</w:t>
      </w:r>
      <w:proofErr w:type="spellEnd"/>
      <w:r w:rsidRPr="00C81405">
        <w:rPr>
          <w:rFonts w:ascii="Arial" w:eastAsiaTheme="minorHAnsi" w:hAnsi="Arial" w:cs="Arial"/>
          <w:kern w:val="0"/>
          <w:lang w:val="en-US"/>
        </w:rPr>
        <w:t xml:space="preserve"> Aziz M, Shehab Diab A and Abdulrazak Mohammed A., Antioxidant Categories and Mode of Action. </w:t>
      </w:r>
      <w:bookmarkStart w:id="8" w:name="_Hlk166578266"/>
      <w:r w:rsidRPr="00C81405">
        <w:rPr>
          <w:rFonts w:ascii="Arial" w:eastAsiaTheme="minorHAnsi" w:hAnsi="Arial" w:cs="Arial"/>
          <w:kern w:val="0"/>
          <w:lang w:val="en-US"/>
        </w:rPr>
        <w:t xml:space="preserve">Chapter in “Antioxidants” ed. by </w:t>
      </w:r>
      <w:hyperlink r:id="rId4" w:history="1">
        <w:r w:rsidRPr="00A65C2B">
          <w:rPr>
            <w:rFonts w:ascii="Arial" w:eastAsiaTheme="minorHAnsi" w:hAnsi="Arial" w:cs="Arial"/>
            <w:kern w:val="0"/>
            <w:lang w:val="en-US"/>
          </w:rPr>
          <w:t xml:space="preserve">Emad </w:t>
        </w:r>
        <w:proofErr w:type="spellStart"/>
        <w:r w:rsidRPr="00A65C2B">
          <w:rPr>
            <w:rFonts w:ascii="Arial" w:eastAsiaTheme="minorHAnsi" w:hAnsi="Arial" w:cs="Arial"/>
            <w:kern w:val="0"/>
            <w:lang w:val="en-US"/>
          </w:rPr>
          <w:t>Shalaby</w:t>
        </w:r>
        <w:proofErr w:type="spellEnd"/>
      </w:hyperlink>
      <w:r w:rsidRPr="00A65C2B">
        <w:rPr>
          <w:rFonts w:ascii="Arial" w:eastAsiaTheme="minorHAnsi" w:hAnsi="Arial" w:cs="Arial"/>
          <w:kern w:val="0"/>
          <w:lang w:val="en-US"/>
        </w:rPr>
        <w:t>.</w:t>
      </w:r>
      <w:r w:rsidRPr="00C81405">
        <w:rPr>
          <w:rFonts w:ascii="Arial" w:eastAsiaTheme="minorHAnsi" w:hAnsi="Arial" w:cs="Arial"/>
          <w:kern w:val="0"/>
          <w:lang w:val="en-US"/>
        </w:rPr>
        <w:t xml:space="preserve"> </w:t>
      </w:r>
      <w:proofErr w:type="spellStart"/>
      <w:r w:rsidRPr="00C81405">
        <w:rPr>
          <w:rFonts w:ascii="Arial" w:eastAsiaTheme="minorHAnsi" w:hAnsi="Arial" w:cs="Arial"/>
          <w:kern w:val="0"/>
          <w:lang w:val="en-US"/>
        </w:rPr>
        <w:t>IntechOpen</w:t>
      </w:r>
      <w:proofErr w:type="spellEnd"/>
      <w:r w:rsidRPr="00C81405">
        <w:rPr>
          <w:rFonts w:ascii="Arial" w:eastAsiaTheme="minorHAnsi" w:hAnsi="Arial" w:cs="Arial"/>
          <w:kern w:val="0"/>
          <w:lang w:val="en-US"/>
        </w:rPr>
        <w:t>, 2019</w:t>
      </w:r>
      <w:r>
        <w:rPr>
          <w:rFonts w:ascii="Arial" w:eastAsiaTheme="minorHAnsi" w:hAnsi="Arial" w:cs="Arial"/>
          <w:kern w:val="0"/>
          <w:lang w:val="en-US"/>
        </w:rPr>
        <w:t xml:space="preserve"> </w:t>
      </w:r>
      <w:bookmarkStart w:id="9" w:name="_Hlk166578436"/>
      <w:bookmarkEnd w:id="8"/>
      <w:r w:rsidRPr="00C81405">
        <w:rPr>
          <w:rFonts w:ascii="Arial" w:eastAsiaTheme="minorHAnsi" w:hAnsi="Arial" w:cs="Arial"/>
          <w:kern w:val="0"/>
          <w:lang w:val="en-US"/>
        </w:rPr>
        <w:t>DOI: 10.5772/intechopen.83544</w:t>
      </w:r>
      <w:bookmarkEnd w:id="9"/>
    </w:p>
    <w:p w14:paraId="37F98AA9" w14:textId="77777777" w:rsidR="00FF31EC" w:rsidRPr="00C81405" w:rsidRDefault="00FF31EC" w:rsidP="00FF31EC">
      <w:pPr>
        <w:autoSpaceDE w:val="0"/>
        <w:autoSpaceDN w:val="0"/>
        <w:adjustRightInd w:val="0"/>
        <w:spacing w:after="0"/>
        <w:jc w:val="both"/>
        <w:rPr>
          <w:rFonts w:ascii="Arial" w:eastAsiaTheme="minorHAnsi" w:hAnsi="Arial" w:cs="Arial"/>
          <w:i/>
          <w:iCs/>
          <w:color w:val="000000"/>
          <w:kern w:val="0"/>
          <w:lang w:val="en-US"/>
        </w:rPr>
      </w:pPr>
    </w:p>
    <w:p w14:paraId="7B494D82" w14:textId="77777777" w:rsidR="00FF31EC" w:rsidRPr="00C81405" w:rsidRDefault="00FF31EC" w:rsidP="00FF31EC">
      <w:pPr>
        <w:autoSpaceDE w:val="0"/>
        <w:autoSpaceDN w:val="0"/>
        <w:adjustRightInd w:val="0"/>
        <w:spacing w:after="0"/>
        <w:jc w:val="both"/>
        <w:rPr>
          <w:rFonts w:ascii="Arial" w:eastAsiaTheme="minorHAnsi" w:hAnsi="Arial" w:cs="Arial"/>
          <w:kern w:val="0"/>
          <w:lang w:val="en-US"/>
        </w:rPr>
      </w:pPr>
      <w:bookmarkStart w:id="10" w:name="_Hlk167618842"/>
      <w:r w:rsidRPr="00C81405">
        <w:rPr>
          <w:rFonts w:ascii="Arial" w:eastAsiaTheme="minorHAnsi" w:hAnsi="Arial" w:cs="Arial"/>
          <w:kern w:val="0"/>
        </w:rPr>
        <w:t>Commisso</w:t>
      </w:r>
      <w:bookmarkEnd w:id="10"/>
      <w:r w:rsidRPr="00C81405">
        <w:rPr>
          <w:rFonts w:ascii="Arial" w:eastAsiaTheme="minorHAnsi" w:hAnsi="Arial" w:cs="Arial"/>
          <w:kern w:val="0"/>
        </w:rPr>
        <w:t xml:space="preserve"> M, Bianconi M, Di Carlo F, et al.,. </w:t>
      </w:r>
      <w:r w:rsidRPr="00C81405">
        <w:rPr>
          <w:rFonts w:ascii="Arial" w:eastAsiaTheme="minorHAnsi" w:hAnsi="Arial" w:cs="Arial"/>
          <w:kern w:val="0"/>
          <w:lang w:val="en-US"/>
        </w:rPr>
        <w:t xml:space="preserve">Multi-approach metabolomics analysis and artificial simplified </w:t>
      </w:r>
      <w:proofErr w:type="spellStart"/>
      <w:r w:rsidRPr="00C81405">
        <w:rPr>
          <w:rFonts w:ascii="Arial" w:eastAsiaTheme="minorHAnsi" w:hAnsi="Arial" w:cs="Arial"/>
          <w:kern w:val="0"/>
          <w:lang w:val="en-US"/>
        </w:rPr>
        <w:t>phytocomplexes</w:t>
      </w:r>
      <w:proofErr w:type="spellEnd"/>
      <w:r w:rsidRPr="00C81405">
        <w:rPr>
          <w:rFonts w:ascii="Arial" w:eastAsiaTheme="minorHAnsi" w:hAnsi="Arial" w:cs="Arial"/>
          <w:kern w:val="0"/>
          <w:lang w:val="en-US"/>
        </w:rPr>
        <w:t xml:space="preserve"> reveal cultivar-dependent synergy between polyphenols and ascorbic acid in fruits of the sweet cherry (Prunus avium L.). </w:t>
      </w:r>
      <w:proofErr w:type="spellStart"/>
      <w:r w:rsidRPr="00C81405">
        <w:rPr>
          <w:rFonts w:ascii="Arial" w:eastAsiaTheme="minorHAnsi" w:hAnsi="Arial" w:cs="Arial"/>
          <w:kern w:val="0"/>
          <w:lang w:val="en-US"/>
        </w:rPr>
        <w:t>PLoS</w:t>
      </w:r>
      <w:proofErr w:type="spellEnd"/>
      <w:r w:rsidRPr="00C81405">
        <w:rPr>
          <w:rFonts w:ascii="Arial" w:eastAsiaTheme="minorHAnsi" w:hAnsi="Arial" w:cs="Arial"/>
          <w:kern w:val="0"/>
          <w:lang w:val="en-US"/>
        </w:rPr>
        <w:t xml:space="preserve"> One. 2017 Jul 21;12(7):e0180889. </w:t>
      </w:r>
      <w:proofErr w:type="spellStart"/>
      <w:r w:rsidRPr="00C81405">
        <w:rPr>
          <w:rFonts w:ascii="Arial" w:eastAsiaTheme="minorHAnsi" w:hAnsi="Arial" w:cs="Arial"/>
          <w:kern w:val="0"/>
          <w:lang w:val="en-US"/>
        </w:rPr>
        <w:t>doi</w:t>
      </w:r>
      <w:proofErr w:type="spellEnd"/>
      <w:r w:rsidRPr="00C81405">
        <w:rPr>
          <w:rFonts w:ascii="Arial" w:eastAsiaTheme="minorHAnsi" w:hAnsi="Arial" w:cs="Arial"/>
          <w:kern w:val="0"/>
          <w:lang w:val="en-US"/>
        </w:rPr>
        <w:t>: 10.1371/journal.pone.0180889.</w:t>
      </w:r>
    </w:p>
    <w:p w14:paraId="462F6571" w14:textId="77777777" w:rsidR="00FF31EC" w:rsidRPr="00C81405" w:rsidRDefault="00FF31EC" w:rsidP="00FF31EC">
      <w:pPr>
        <w:autoSpaceDE w:val="0"/>
        <w:autoSpaceDN w:val="0"/>
        <w:adjustRightInd w:val="0"/>
        <w:spacing w:after="0"/>
        <w:jc w:val="both"/>
        <w:rPr>
          <w:rFonts w:ascii="Arial" w:eastAsiaTheme="minorHAnsi" w:hAnsi="Arial" w:cs="Arial"/>
          <w:kern w:val="0"/>
          <w:lang w:val="en-US"/>
        </w:rPr>
      </w:pPr>
    </w:p>
    <w:p w14:paraId="23538B93" w14:textId="77777777" w:rsidR="00FF31EC" w:rsidRPr="00C81405" w:rsidRDefault="00FF31EC" w:rsidP="00FF31EC">
      <w:pPr>
        <w:autoSpaceDE w:val="0"/>
        <w:autoSpaceDN w:val="0"/>
        <w:adjustRightInd w:val="0"/>
        <w:spacing w:after="0"/>
        <w:jc w:val="both"/>
        <w:rPr>
          <w:rFonts w:ascii="Arial" w:eastAsiaTheme="minorHAnsi" w:hAnsi="Arial" w:cs="Arial"/>
          <w:kern w:val="0"/>
          <w:lang w:val="en-US"/>
        </w:rPr>
      </w:pPr>
      <w:r w:rsidRPr="00C81405">
        <w:rPr>
          <w:rFonts w:ascii="Arial" w:eastAsiaTheme="minorHAnsi" w:hAnsi="Arial" w:cs="Arial"/>
          <w:kern w:val="0"/>
          <w:lang w:val="en-US"/>
        </w:rPr>
        <w:lastRenderedPageBreak/>
        <w:t xml:space="preserve">Flieger J, Flieger W, Baj J, Maciejewski R. Antioxidants: Classification, Natural Sources, Activity/Capacity Measurements, and Usefulness for the Synthesis of Nanoparticles. Materials (Basel). 2021 Jul 25;14(15):4135. </w:t>
      </w:r>
      <w:proofErr w:type="spellStart"/>
      <w:r w:rsidRPr="00C81405">
        <w:rPr>
          <w:rFonts w:ascii="Arial" w:eastAsiaTheme="minorHAnsi" w:hAnsi="Arial" w:cs="Arial"/>
          <w:kern w:val="0"/>
          <w:lang w:val="en-US"/>
        </w:rPr>
        <w:t>doi</w:t>
      </w:r>
      <w:proofErr w:type="spellEnd"/>
      <w:r w:rsidRPr="00C81405">
        <w:rPr>
          <w:rFonts w:ascii="Arial" w:eastAsiaTheme="minorHAnsi" w:hAnsi="Arial" w:cs="Arial"/>
          <w:kern w:val="0"/>
          <w:lang w:val="en-US"/>
        </w:rPr>
        <w:t>: 10.3390/ma14154135.</w:t>
      </w:r>
    </w:p>
    <w:p w14:paraId="571E52FA" w14:textId="77777777" w:rsidR="00FF31EC" w:rsidRPr="00B70284" w:rsidRDefault="00FF31EC" w:rsidP="00FF31EC">
      <w:pPr>
        <w:autoSpaceDE w:val="0"/>
        <w:autoSpaceDN w:val="0"/>
        <w:adjustRightInd w:val="0"/>
        <w:spacing w:after="0"/>
        <w:jc w:val="both"/>
        <w:rPr>
          <w:rFonts w:ascii="Arial" w:eastAsiaTheme="minorHAnsi" w:hAnsi="Arial" w:cs="Arial"/>
          <w:kern w:val="0"/>
          <w:lang w:val="en-US"/>
        </w:rPr>
      </w:pPr>
    </w:p>
    <w:p w14:paraId="41623316" w14:textId="77777777" w:rsidR="00FF31EC" w:rsidRPr="00B70284" w:rsidRDefault="00FF31EC" w:rsidP="00FF31EC">
      <w:pPr>
        <w:autoSpaceDE w:val="0"/>
        <w:autoSpaceDN w:val="0"/>
        <w:adjustRightInd w:val="0"/>
        <w:spacing w:after="0"/>
        <w:jc w:val="both"/>
        <w:rPr>
          <w:rFonts w:ascii="Arial" w:eastAsiaTheme="minorHAnsi" w:hAnsi="Arial" w:cs="Arial"/>
          <w:kern w:val="0"/>
          <w:lang w:val="en-US"/>
        </w:rPr>
      </w:pPr>
      <w:hyperlink r:id="rId5" w:tgtFrame="_blank" w:tooltip="Basar Uyar" w:history="1">
        <w:r w:rsidRPr="00A65C2B">
          <w:rPr>
            <w:rFonts w:ascii="Arial" w:eastAsiaTheme="minorHAnsi" w:hAnsi="Arial" w:cs="Arial"/>
            <w:kern w:val="0"/>
            <w:lang w:val="en-US"/>
          </w:rPr>
          <w:t>Uyar, B.</w:t>
        </w:r>
      </w:hyperlink>
      <w:r w:rsidRPr="00A65C2B">
        <w:rPr>
          <w:rFonts w:ascii="Arial" w:eastAsiaTheme="minorHAnsi" w:hAnsi="Arial" w:cs="Arial"/>
          <w:kern w:val="0"/>
          <w:lang w:val="en-US"/>
        </w:rPr>
        <w:t> and </w:t>
      </w:r>
      <w:hyperlink r:id="rId6" w:tgtFrame="_blank" w:tooltip="Imren Meydan" w:history="1">
        <w:r w:rsidRPr="00A65C2B">
          <w:rPr>
            <w:rFonts w:ascii="Arial" w:eastAsiaTheme="minorHAnsi" w:hAnsi="Arial" w:cs="Arial"/>
            <w:kern w:val="0"/>
            <w:lang w:val="en-US"/>
          </w:rPr>
          <w:t>Meydan, I.</w:t>
        </w:r>
      </w:hyperlink>
      <w:r w:rsidRPr="00B70284">
        <w:rPr>
          <w:rFonts w:ascii="Arial" w:eastAsiaTheme="minorHAnsi" w:hAnsi="Arial" w:cs="Arial"/>
          <w:kern w:val="0"/>
          <w:lang w:val="en-US"/>
        </w:rPr>
        <w:t> (2023), "Performance of commercial antioxidants in white mineral oils</w:t>
      </w:r>
      <w:r w:rsidRPr="00A65C2B">
        <w:rPr>
          <w:rFonts w:ascii="Arial" w:eastAsiaTheme="minorHAnsi" w:hAnsi="Arial" w:cs="Arial"/>
          <w:kern w:val="0"/>
          <w:lang w:val="en-US"/>
        </w:rPr>
        <w:t>", </w:t>
      </w:r>
      <w:hyperlink r:id="rId7" w:tgtFrame="_blank" w:history="1">
        <w:r w:rsidRPr="00A65C2B">
          <w:rPr>
            <w:rFonts w:ascii="Arial" w:eastAsiaTheme="minorHAnsi" w:hAnsi="Arial" w:cs="Arial"/>
            <w:i/>
            <w:iCs/>
            <w:kern w:val="0"/>
            <w:lang w:val="en-US"/>
          </w:rPr>
          <w:t>Industrial Lubrication and Tribology</w:t>
        </w:r>
      </w:hyperlink>
      <w:r w:rsidRPr="00B70284">
        <w:rPr>
          <w:rFonts w:ascii="Arial" w:eastAsiaTheme="minorHAnsi" w:hAnsi="Arial" w:cs="Arial"/>
          <w:kern w:val="0"/>
          <w:lang w:val="en-US"/>
        </w:rPr>
        <w:t>, Vol. 75 No. 2, pp. 221-229</w:t>
      </w:r>
      <w:r w:rsidRPr="00A65C2B">
        <w:rPr>
          <w:rFonts w:ascii="Arial" w:eastAsiaTheme="minorHAnsi" w:hAnsi="Arial" w:cs="Arial"/>
          <w:kern w:val="0"/>
          <w:lang w:val="en-US"/>
        </w:rPr>
        <w:t>. </w:t>
      </w:r>
      <w:hyperlink r:id="rId8" w:tgtFrame="_blank" w:history="1">
        <w:r w:rsidRPr="00A65C2B">
          <w:rPr>
            <w:rFonts w:ascii="Arial" w:eastAsiaTheme="minorHAnsi" w:hAnsi="Arial" w:cs="Arial"/>
            <w:kern w:val="0"/>
            <w:lang w:val="en-US"/>
          </w:rPr>
          <w:t>https://doi.org/10.1108/ILT-09-2022-208</w:t>
        </w:r>
      </w:hyperlink>
    </w:p>
    <w:p w14:paraId="6F4EACE7" w14:textId="77777777" w:rsidR="00FF31EC" w:rsidRPr="00B70284" w:rsidRDefault="00FF31EC" w:rsidP="00FF31EC">
      <w:pPr>
        <w:autoSpaceDE w:val="0"/>
        <w:autoSpaceDN w:val="0"/>
        <w:adjustRightInd w:val="0"/>
        <w:spacing w:after="0"/>
        <w:jc w:val="both"/>
        <w:rPr>
          <w:rFonts w:ascii="Arial" w:eastAsiaTheme="minorHAnsi" w:hAnsi="Arial" w:cs="Arial"/>
          <w:kern w:val="0"/>
          <w:lang w:val="en-US"/>
        </w:rPr>
      </w:pPr>
    </w:p>
    <w:p w14:paraId="384C18EC" w14:textId="08866B45" w:rsidR="00FF31EC" w:rsidRPr="00B70284" w:rsidRDefault="00FF31EC" w:rsidP="00FF31EC">
      <w:pPr>
        <w:autoSpaceDE w:val="0"/>
        <w:autoSpaceDN w:val="0"/>
        <w:adjustRightInd w:val="0"/>
        <w:spacing w:after="0"/>
        <w:jc w:val="both"/>
        <w:rPr>
          <w:rFonts w:ascii="Arial" w:eastAsiaTheme="minorHAnsi" w:hAnsi="Arial" w:cs="Arial"/>
          <w:kern w:val="0"/>
          <w:lang w:val="en-US"/>
        </w:rPr>
      </w:pPr>
      <w:r w:rsidRPr="00B70284">
        <w:rPr>
          <w:rFonts w:ascii="Arial" w:eastAsiaTheme="minorHAnsi" w:hAnsi="Arial" w:cs="Arial"/>
          <w:kern w:val="0"/>
          <w:lang w:val="en-US"/>
        </w:rPr>
        <w:t>Santos-Sánchez N.F., Salas-Coronado R., Villanueva-</w:t>
      </w:r>
      <w:proofErr w:type="spellStart"/>
      <w:r w:rsidRPr="00B70284">
        <w:rPr>
          <w:rFonts w:ascii="Arial" w:eastAsiaTheme="minorHAnsi" w:hAnsi="Arial" w:cs="Arial"/>
          <w:kern w:val="0"/>
          <w:lang w:val="en-US"/>
        </w:rPr>
        <w:t>Cañongo</w:t>
      </w:r>
      <w:proofErr w:type="spellEnd"/>
      <w:r w:rsidRPr="00B70284">
        <w:rPr>
          <w:rFonts w:ascii="Arial" w:eastAsiaTheme="minorHAnsi" w:hAnsi="Arial" w:cs="Arial"/>
          <w:kern w:val="0"/>
          <w:lang w:val="en-US"/>
        </w:rPr>
        <w:t xml:space="preserve"> C. and Hernández-Carlos B.  Antioxidant Compounds and Their Antioxidant Mechanism. Chapter in “Antioxidants” ed. by </w:t>
      </w:r>
      <w:hyperlink r:id="rId9" w:history="1">
        <w:r w:rsidRPr="00A65C2B">
          <w:rPr>
            <w:rFonts w:ascii="Arial" w:eastAsiaTheme="minorHAnsi" w:hAnsi="Arial" w:cs="Arial"/>
            <w:kern w:val="0"/>
            <w:lang w:val="en-US"/>
          </w:rPr>
          <w:t xml:space="preserve">Emad </w:t>
        </w:r>
        <w:proofErr w:type="spellStart"/>
        <w:r w:rsidRPr="00A65C2B">
          <w:rPr>
            <w:rFonts w:ascii="Arial" w:eastAsiaTheme="minorHAnsi" w:hAnsi="Arial" w:cs="Arial"/>
            <w:kern w:val="0"/>
            <w:lang w:val="en-US"/>
          </w:rPr>
          <w:t>Shalaby</w:t>
        </w:r>
        <w:proofErr w:type="spellEnd"/>
      </w:hyperlink>
      <w:r w:rsidRPr="00B70284">
        <w:rPr>
          <w:rFonts w:ascii="Arial" w:eastAsiaTheme="minorHAnsi" w:hAnsi="Arial" w:cs="Arial"/>
          <w:kern w:val="0"/>
          <w:lang w:val="en-US"/>
        </w:rPr>
        <w:t xml:space="preserve">. </w:t>
      </w:r>
      <w:proofErr w:type="spellStart"/>
      <w:r w:rsidRPr="00B70284">
        <w:rPr>
          <w:rFonts w:ascii="Arial" w:eastAsiaTheme="minorHAnsi" w:hAnsi="Arial" w:cs="Arial"/>
          <w:kern w:val="0"/>
          <w:lang w:val="en-US"/>
        </w:rPr>
        <w:t>IntechOpen</w:t>
      </w:r>
      <w:proofErr w:type="spellEnd"/>
      <w:r w:rsidRPr="00B70284">
        <w:rPr>
          <w:rFonts w:ascii="Arial" w:eastAsiaTheme="minorHAnsi" w:hAnsi="Arial" w:cs="Arial"/>
          <w:kern w:val="0"/>
          <w:lang w:val="en-US"/>
        </w:rPr>
        <w:t>, 2019  DOI: 10.5772/intechopen.85270</w:t>
      </w:r>
    </w:p>
    <w:p w14:paraId="5A64EB14" w14:textId="77777777" w:rsidR="00FF31EC" w:rsidRPr="00B70284" w:rsidRDefault="00FF31EC" w:rsidP="00FF31EC">
      <w:pPr>
        <w:autoSpaceDE w:val="0"/>
        <w:autoSpaceDN w:val="0"/>
        <w:adjustRightInd w:val="0"/>
        <w:spacing w:after="0"/>
        <w:jc w:val="both"/>
        <w:rPr>
          <w:rFonts w:ascii="Arial" w:eastAsiaTheme="minorHAnsi" w:hAnsi="Arial" w:cs="Arial"/>
          <w:kern w:val="0"/>
          <w:lang w:val="en-US"/>
        </w:rPr>
      </w:pPr>
    </w:p>
    <w:p w14:paraId="6C9B33D5" w14:textId="27CDE5D6" w:rsidR="00FF31EC" w:rsidRPr="00B70284" w:rsidRDefault="00FF31EC" w:rsidP="00FF31EC">
      <w:pPr>
        <w:autoSpaceDE w:val="0"/>
        <w:autoSpaceDN w:val="0"/>
        <w:adjustRightInd w:val="0"/>
        <w:spacing w:after="0"/>
        <w:jc w:val="both"/>
        <w:rPr>
          <w:rFonts w:ascii="Arial" w:eastAsiaTheme="minorHAnsi" w:hAnsi="Arial" w:cs="Arial"/>
          <w:kern w:val="0"/>
          <w:lang w:val="en-US"/>
        </w:rPr>
      </w:pPr>
      <w:r w:rsidRPr="00B70284">
        <w:rPr>
          <w:rFonts w:ascii="Arial" w:eastAsiaTheme="minorHAnsi" w:hAnsi="Arial" w:cs="Arial"/>
          <w:kern w:val="0"/>
          <w:lang w:val="en-US"/>
        </w:rPr>
        <w:t xml:space="preserve">Santos N.A., Cordeiro A.M.T.M., </w:t>
      </w:r>
      <w:proofErr w:type="spellStart"/>
      <w:r w:rsidRPr="00B70284">
        <w:rPr>
          <w:rFonts w:ascii="Arial" w:eastAsiaTheme="minorHAnsi" w:hAnsi="Arial" w:cs="Arial"/>
          <w:kern w:val="0"/>
          <w:lang w:val="en-US"/>
        </w:rPr>
        <w:t>Damasceno</w:t>
      </w:r>
      <w:proofErr w:type="spellEnd"/>
      <w:r w:rsidRPr="00B70284">
        <w:rPr>
          <w:rFonts w:ascii="Arial" w:eastAsiaTheme="minorHAnsi" w:hAnsi="Arial" w:cs="Arial"/>
          <w:kern w:val="0"/>
          <w:lang w:val="en-US"/>
        </w:rPr>
        <w:t xml:space="preserve"> S.S., Aguiar R.T., Rosenheim  R., Carvalho Filho J.R., Santos L.M.G., Maia A.S., and Antonio G. Souza A.G. Commercial antioxidants and thermal stability evaluations. Fuel. 97, 638-643, 2012</w:t>
      </w:r>
      <w:r w:rsidRPr="00A65C2B">
        <w:rPr>
          <w:rFonts w:ascii="Arial" w:eastAsiaTheme="minorHAnsi" w:hAnsi="Arial" w:cs="Arial"/>
          <w:kern w:val="0"/>
          <w:lang w:val="en-US"/>
        </w:rPr>
        <w:t xml:space="preserve">. </w:t>
      </w:r>
    </w:p>
    <w:p w14:paraId="19205CDB" w14:textId="77777777" w:rsidR="00FF31EC" w:rsidRPr="00C81405" w:rsidRDefault="00FF31EC" w:rsidP="00FF31EC">
      <w:pPr>
        <w:autoSpaceDE w:val="0"/>
        <w:autoSpaceDN w:val="0"/>
        <w:adjustRightInd w:val="0"/>
        <w:spacing w:after="0"/>
        <w:jc w:val="both"/>
        <w:rPr>
          <w:rFonts w:ascii="Arial" w:eastAsiaTheme="minorHAnsi" w:hAnsi="Arial" w:cs="Arial"/>
          <w:kern w:val="0"/>
          <w:lang w:val="en-US"/>
        </w:rPr>
      </w:pPr>
    </w:p>
    <w:p w14:paraId="7F507070" w14:textId="77777777" w:rsidR="00FF31EC" w:rsidRPr="00C81405" w:rsidRDefault="00FF31EC" w:rsidP="00FF31EC">
      <w:pPr>
        <w:autoSpaceDE w:val="0"/>
        <w:autoSpaceDN w:val="0"/>
        <w:adjustRightInd w:val="0"/>
        <w:spacing w:after="0"/>
        <w:jc w:val="both"/>
        <w:rPr>
          <w:rFonts w:ascii="Arial" w:eastAsiaTheme="minorHAnsi" w:hAnsi="Arial" w:cs="Arial"/>
          <w:kern w:val="0"/>
          <w:lang w:val="en-US"/>
        </w:rPr>
      </w:pPr>
      <w:bookmarkStart w:id="11" w:name="_Hlk167618976"/>
      <w:proofErr w:type="spellStart"/>
      <w:r w:rsidRPr="00C81405">
        <w:rPr>
          <w:rFonts w:ascii="Arial" w:eastAsiaTheme="minorHAnsi" w:hAnsi="Arial" w:cs="Arial"/>
          <w:kern w:val="0"/>
          <w:lang w:val="en-US"/>
        </w:rPr>
        <w:t>Seeram</w:t>
      </w:r>
      <w:bookmarkEnd w:id="11"/>
      <w:proofErr w:type="spellEnd"/>
      <w:r w:rsidRPr="00C81405">
        <w:rPr>
          <w:rFonts w:ascii="Arial" w:eastAsiaTheme="minorHAnsi" w:hAnsi="Arial" w:cs="Arial"/>
          <w:kern w:val="0"/>
          <w:lang w:val="en-US"/>
        </w:rPr>
        <w:t xml:space="preserve"> NP, Adams LS, Henning SM, et </w:t>
      </w:r>
      <w:proofErr w:type="spellStart"/>
      <w:r w:rsidRPr="00C81405">
        <w:rPr>
          <w:rFonts w:ascii="Arial" w:eastAsiaTheme="minorHAnsi" w:hAnsi="Arial" w:cs="Arial"/>
          <w:kern w:val="0"/>
          <w:lang w:val="en-US"/>
        </w:rPr>
        <w:t>al.,In</w:t>
      </w:r>
      <w:proofErr w:type="spellEnd"/>
      <w:r w:rsidRPr="00C81405">
        <w:rPr>
          <w:rFonts w:ascii="Arial" w:eastAsiaTheme="minorHAnsi" w:hAnsi="Arial" w:cs="Arial"/>
          <w:kern w:val="0"/>
          <w:lang w:val="en-US"/>
        </w:rPr>
        <w:t xml:space="preserve"> vitro antiproliferative, apoptotic and antioxidant activities of punicalagin, ellagic acid and a total pomegranate tannin extract are enhanced in combination with other polyphenols as found in pomegranate juice. J </w:t>
      </w:r>
      <w:proofErr w:type="spellStart"/>
      <w:r w:rsidRPr="00C81405">
        <w:rPr>
          <w:rFonts w:ascii="Arial" w:eastAsiaTheme="minorHAnsi" w:hAnsi="Arial" w:cs="Arial"/>
          <w:kern w:val="0"/>
          <w:lang w:val="en-US"/>
        </w:rPr>
        <w:t>Nutr</w:t>
      </w:r>
      <w:proofErr w:type="spellEnd"/>
      <w:r w:rsidRPr="00C81405">
        <w:rPr>
          <w:rFonts w:ascii="Arial" w:eastAsiaTheme="minorHAnsi" w:hAnsi="Arial" w:cs="Arial"/>
          <w:kern w:val="0"/>
          <w:lang w:val="en-US"/>
        </w:rPr>
        <w:t xml:space="preserve"> </w:t>
      </w:r>
      <w:proofErr w:type="spellStart"/>
      <w:r w:rsidRPr="00C81405">
        <w:rPr>
          <w:rFonts w:ascii="Arial" w:eastAsiaTheme="minorHAnsi" w:hAnsi="Arial" w:cs="Arial"/>
          <w:kern w:val="0"/>
          <w:lang w:val="en-US"/>
        </w:rPr>
        <w:t>Biochem</w:t>
      </w:r>
      <w:proofErr w:type="spellEnd"/>
      <w:r w:rsidRPr="00C81405">
        <w:rPr>
          <w:rFonts w:ascii="Arial" w:eastAsiaTheme="minorHAnsi" w:hAnsi="Arial" w:cs="Arial"/>
          <w:kern w:val="0"/>
          <w:lang w:val="en-US"/>
        </w:rPr>
        <w:t xml:space="preserve">. 2005 Jun;16(6):360-7. </w:t>
      </w:r>
      <w:proofErr w:type="spellStart"/>
      <w:r w:rsidRPr="00C81405">
        <w:rPr>
          <w:rFonts w:ascii="Arial" w:eastAsiaTheme="minorHAnsi" w:hAnsi="Arial" w:cs="Arial"/>
          <w:kern w:val="0"/>
          <w:lang w:val="en-US"/>
        </w:rPr>
        <w:t>doi</w:t>
      </w:r>
      <w:proofErr w:type="spellEnd"/>
      <w:r w:rsidRPr="00C81405">
        <w:rPr>
          <w:rFonts w:ascii="Arial" w:eastAsiaTheme="minorHAnsi" w:hAnsi="Arial" w:cs="Arial"/>
          <w:kern w:val="0"/>
          <w:lang w:val="en-US"/>
        </w:rPr>
        <w:t>: 10.1016/j.jnutbio.2005.01.006</w:t>
      </w:r>
    </w:p>
    <w:p w14:paraId="4BF66F99" w14:textId="77777777" w:rsidR="00FF31EC" w:rsidRPr="00C81405" w:rsidRDefault="00FF31EC" w:rsidP="00FF31EC">
      <w:pPr>
        <w:autoSpaceDE w:val="0"/>
        <w:autoSpaceDN w:val="0"/>
        <w:adjustRightInd w:val="0"/>
        <w:spacing w:after="0"/>
        <w:jc w:val="both"/>
        <w:rPr>
          <w:rFonts w:ascii="Arial" w:eastAsiaTheme="minorHAnsi" w:hAnsi="Arial" w:cs="Arial"/>
          <w:kern w:val="0"/>
          <w:lang w:val="en-US"/>
        </w:rPr>
      </w:pPr>
    </w:p>
    <w:p w14:paraId="4824249C" w14:textId="77777777" w:rsidR="00FF31EC" w:rsidRPr="00C81405" w:rsidRDefault="00FF31EC" w:rsidP="00FF31EC">
      <w:pPr>
        <w:autoSpaceDE w:val="0"/>
        <w:autoSpaceDN w:val="0"/>
        <w:adjustRightInd w:val="0"/>
        <w:spacing w:after="0"/>
        <w:jc w:val="both"/>
        <w:rPr>
          <w:rFonts w:ascii="Arial" w:eastAsiaTheme="minorHAnsi" w:hAnsi="Arial" w:cs="Arial"/>
          <w:kern w:val="0"/>
          <w:lang w:val="en-US"/>
        </w:rPr>
      </w:pPr>
      <w:proofErr w:type="spellStart"/>
      <w:r w:rsidRPr="00C81405">
        <w:rPr>
          <w:rFonts w:ascii="Arial" w:eastAsiaTheme="minorHAnsi" w:hAnsi="Arial" w:cs="Arial"/>
          <w:kern w:val="0"/>
          <w:lang w:val="en-US"/>
        </w:rPr>
        <w:t>Zehiroglu</w:t>
      </w:r>
      <w:proofErr w:type="spellEnd"/>
      <w:r w:rsidRPr="00C81405">
        <w:rPr>
          <w:rFonts w:ascii="Arial" w:eastAsiaTheme="minorHAnsi" w:hAnsi="Arial" w:cs="Arial"/>
          <w:kern w:val="0"/>
          <w:lang w:val="en-US"/>
        </w:rPr>
        <w:t xml:space="preserve"> C, Ozturk </w:t>
      </w:r>
      <w:proofErr w:type="spellStart"/>
      <w:r w:rsidRPr="00C81405">
        <w:rPr>
          <w:rFonts w:ascii="Arial" w:eastAsiaTheme="minorHAnsi" w:hAnsi="Arial" w:cs="Arial"/>
          <w:kern w:val="0"/>
          <w:lang w:val="en-US"/>
        </w:rPr>
        <w:t>Sarikaya</w:t>
      </w:r>
      <w:proofErr w:type="spellEnd"/>
      <w:r w:rsidRPr="00C81405">
        <w:rPr>
          <w:rFonts w:ascii="Arial" w:eastAsiaTheme="minorHAnsi" w:hAnsi="Arial" w:cs="Arial"/>
          <w:kern w:val="0"/>
          <w:lang w:val="en-US"/>
        </w:rPr>
        <w:t xml:space="preserve"> SB. The importance of antioxidants and place in today's scientific and technological studies. J Food Sci Technol. 2019 Nov;56(11):4757-4774. </w:t>
      </w:r>
      <w:proofErr w:type="spellStart"/>
      <w:r w:rsidRPr="00C81405">
        <w:rPr>
          <w:rFonts w:ascii="Arial" w:eastAsiaTheme="minorHAnsi" w:hAnsi="Arial" w:cs="Arial"/>
          <w:kern w:val="0"/>
          <w:lang w:val="en-US"/>
        </w:rPr>
        <w:t>doi</w:t>
      </w:r>
      <w:proofErr w:type="spellEnd"/>
      <w:r w:rsidRPr="00C81405">
        <w:rPr>
          <w:rFonts w:ascii="Arial" w:eastAsiaTheme="minorHAnsi" w:hAnsi="Arial" w:cs="Arial"/>
          <w:kern w:val="0"/>
          <w:lang w:val="en-US"/>
        </w:rPr>
        <w:t>: 10.1007/s13197-019-03952-x</w:t>
      </w:r>
    </w:p>
    <w:p w14:paraId="2D9D6152" w14:textId="77777777" w:rsidR="00FF31EC" w:rsidRPr="002C69F2" w:rsidRDefault="00FF31EC" w:rsidP="00FF31EC">
      <w:pPr>
        <w:autoSpaceDE w:val="0"/>
        <w:autoSpaceDN w:val="0"/>
        <w:adjustRightInd w:val="0"/>
        <w:spacing w:after="0"/>
        <w:ind w:left="1416"/>
        <w:rPr>
          <w:rFonts w:ascii="Arial" w:eastAsiaTheme="minorHAnsi" w:hAnsi="Arial" w:cs="Arial"/>
          <w:kern w:val="0"/>
          <w:lang w:val="en-US"/>
        </w:rPr>
      </w:pPr>
    </w:p>
    <w:p w14:paraId="09AB48CE" w14:textId="77777777" w:rsidR="00FF31EC" w:rsidRPr="002C69F2" w:rsidRDefault="00FF31EC" w:rsidP="00FF31EC">
      <w:pPr>
        <w:autoSpaceDE w:val="0"/>
        <w:autoSpaceDN w:val="0"/>
        <w:adjustRightInd w:val="0"/>
        <w:spacing w:after="0"/>
        <w:ind w:left="1416"/>
        <w:rPr>
          <w:rFonts w:ascii="Arial" w:eastAsiaTheme="minorHAnsi" w:hAnsi="Arial" w:cs="Arial"/>
          <w:kern w:val="0"/>
          <w:lang w:val="en-US"/>
        </w:rPr>
      </w:pPr>
    </w:p>
    <w:p w14:paraId="0B14BB4A" w14:textId="77777777" w:rsidR="00FF31EC" w:rsidRPr="00C07F4C" w:rsidRDefault="00FF31EC" w:rsidP="00FF31EC">
      <w:pPr>
        <w:autoSpaceDE w:val="0"/>
        <w:autoSpaceDN w:val="0"/>
        <w:adjustRightInd w:val="0"/>
        <w:spacing w:after="0"/>
        <w:ind w:left="1416"/>
        <w:rPr>
          <w:rFonts w:ascii="Arial" w:eastAsiaTheme="minorHAnsi" w:hAnsi="Arial" w:cs="Arial"/>
          <w:i/>
          <w:iCs/>
          <w:color w:val="000000"/>
          <w:kern w:val="0"/>
          <w:lang w:val="en-US"/>
        </w:rPr>
      </w:pPr>
    </w:p>
    <w:p w14:paraId="3561BF0E" w14:textId="77777777" w:rsidR="00FF31EC" w:rsidRPr="00C07F4C" w:rsidRDefault="00FF31EC" w:rsidP="00FF31EC">
      <w:pPr>
        <w:autoSpaceDE w:val="0"/>
        <w:autoSpaceDN w:val="0"/>
        <w:adjustRightInd w:val="0"/>
        <w:spacing w:after="0"/>
        <w:ind w:left="1416"/>
        <w:rPr>
          <w:rFonts w:ascii="Arial" w:eastAsiaTheme="minorHAnsi" w:hAnsi="Arial" w:cs="Arial"/>
          <w:i/>
          <w:iCs/>
          <w:kern w:val="0"/>
          <w:lang w:val="en-US"/>
        </w:rPr>
      </w:pPr>
    </w:p>
    <w:p w14:paraId="01EB4645" w14:textId="77777777" w:rsidR="00FF31EC" w:rsidRPr="004328F7" w:rsidRDefault="00FF31EC" w:rsidP="00FF31EC">
      <w:pPr>
        <w:ind w:left="1416"/>
        <w:rPr>
          <w:rFonts w:ascii="Arial" w:hAnsi="Arial" w:cs="Arial"/>
          <w:i/>
          <w:iCs/>
          <w:kern w:val="0"/>
          <w:lang w:val="en-US"/>
        </w:rPr>
      </w:pPr>
    </w:p>
    <w:p w14:paraId="494AA571" w14:textId="77777777" w:rsidR="0098244C" w:rsidRDefault="0098244C"/>
    <w:sectPr w:rsidR="009824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1EC"/>
    <w:rsid w:val="00000EF7"/>
    <w:rsid w:val="00016A3E"/>
    <w:rsid w:val="00021B6F"/>
    <w:rsid w:val="00026896"/>
    <w:rsid w:val="00051BA1"/>
    <w:rsid w:val="00054AB1"/>
    <w:rsid w:val="000629BB"/>
    <w:rsid w:val="00063E08"/>
    <w:rsid w:val="0007186D"/>
    <w:rsid w:val="000756DC"/>
    <w:rsid w:val="00075DE9"/>
    <w:rsid w:val="00080183"/>
    <w:rsid w:val="000A4CD4"/>
    <w:rsid w:val="000A6C38"/>
    <w:rsid w:val="000B2A89"/>
    <w:rsid w:val="000B3DCB"/>
    <w:rsid w:val="000C057C"/>
    <w:rsid w:val="000D06FA"/>
    <w:rsid w:val="000F0BF6"/>
    <w:rsid w:val="000F19A9"/>
    <w:rsid w:val="001110FD"/>
    <w:rsid w:val="00122142"/>
    <w:rsid w:val="00140CAB"/>
    <w:rsid w:val="00141DBA"/>
    <w:rsid w:val="0015233F"/>
    <w:rsid w:val="00165619"/>
    <w:rsid w:val="001814F6"/>
    <w:rsid w:val="00181BA8"/>
    <w:rsid w:val="00192A5A"/>
    <w:rsid w:val="00193B63"/>
    <w:rsid w:val="001A6A0C"/>
    <w:rsid w:val="001C0CD6"/>
    <w:rsid w:val="001C1173"/>
    <w:rsid w:val="001D44CC"/>
    <w:rsid w:val="001D738E"/>
    <w:rsid w:val="001F7E4C"/>
    <w:rsid w:val="002065F5"/>
    <w:rsid w:val="00221E30"/>
    <w:rsid w:val="00232D0B"/>
    <w:rsid w:val="0023497C"/>
    <w:rsid w:val="0023524B"/>
    <w:rsid w:val="0024751E"/>
    <w:rsid w:val="00250FE1"/>
    <w:rsid w:val="00253AA2"/>
    <w:rsid w:val="00257D46"/>
    <w:rsid w:val="00260DEB"/>
    <w:rsid w:val="00280BEB"/>
    <w:rsid w:val="002847F8"/>
    <w:rsid w:val="00286D28"/>
    <w:rsid w:val="00292C31"/>
    <w:rsid w:val="0029389C"/>
    <w:rsid w:val="002A0522"/>
    <w:rsid w:val="002A2583"/>
    <w:rsid w:val="002A744C"/>
    <w:rsid w:val="002A7F3D"/>
    <w:rsid w:val="002B1952"/>
    <w:rsid w:val="002B5A04"/>
    <w:rsid w:val="002B6F1E"/>
    <w:rsid w:val="002C02DE"/>
    <w:rsid w:val="002C2285"/>
    <w:rsid w:val="002D696D"/>
    <w:rsid w:val="002D7E14"/>
    <w:rsid w:val="002F191C"/>
    <w:rsid w:val="002F32A0"/>
    <w:rsid w:val="002F524B"/>
    <w:rsid w:val="002F55EE"/>
    <w:rsid w:val="00313434"/>
    <w:rsid w:val="003168A2"/>
    <w:rsid w:val="00323AB1"/>
    <w:rsid w:val="00344877"/>
    <w:rsid w:val="00375188"/>
    <w:rsid w:val="00386582"/>
    <w:rsid w:val="00394E64"/>
    <w:rsid w:val="00395C94"/>
    <w:rsid w:val="003B47F1"/>
    <w:rsid w:val="003C34FF"/>
    <w:rsid w:val="003C622D"/>
    <w:rsid w:val="003E00A7"/>
    <w:rsid w:val="00403205"/>
    <w:rsid w:val="004115F4"/>
    <w:rsid w:val="00417DB8"/>
    <w:rsid w:val="004413AA"/>
    <w:rsid w:val="00447366"/>
    <w:rsid w:val="0046728A"/>
    <w:rsid w:val="0047349C"/>
    <w:rsid w:val="00484D01"/>
    <w:rsid w:val="00490F44"/>
    <w:rsid w:val="00491FF9"/>
    <w:rsid w:val="004A4EFD"/>
    <w:rsid w:val="004B4519"/>
    <w:rsid w:val="004B7CC2"/>
    <w:rsid w:val="004D35C3"/>
    <w:rsid w:val="004D71CE"/>
    <w:rsid w:val="004E3D68"/>
    <w:rsid w:val="004E41C5"/>
    <w:rsid w:val="00504528"/>
    <w:rsid w:val="005127BF"/>
    <w:rsid w:val="00517B62"/>
    <w:rsid w:val="00520312"/>
    <w:rsid w:val="005263ED"/>
    <w:rsid w:val="005325B5"/>
    <w:rsid w:val="00534566"/>
    <w:rsid w:val="00587679"/>
    <w:rsid w:val="005A0A01"/>
    <w:rsid w:val="005A14BC"/>
    <w:rsid w:val="005A5DF9"/>
    <w:rsid w:val="005B0785"/>
    <w:rsid w:val="005B154F"/>
    <w:rsid w:val="005B233B"/>
    <w:rsid w:val="005B2D9D"/>
    <w:rsid w:val="005C0590"/>
    <w:rsid w:val="005D27B0"/>
    <w:rsid w:val="005D3FBE"/>
    <w:rsid w:val="005D5EE5"/>
    <w:rsid w:val="005D690D"/>
    <w:rsid w:val="005E5271"/>
    <w:rsid w:val="005F0A5E"/>
    <w:rsid w:val="005F0C0E"/>
    <w:rsid w:val="005F18C0"/>
    <w:rsid w:val="005F488F"/>
    <w:rsid w:val="005F6D74"/>
    <w:rsid w:val="00607F80"/>
    <w:rsid w:val="00612531"/>
    <w:rsid w:val="00616393"/>
    <w:rsid w:val="006209CB"/>
    <w:rsid w:val="00631702"/>
    <w:rsid w:val="006522DC"/>
    <w:rsid w:val="00675DEF"/>
    <w:rsid w:val="00677FC9"/>
    <w:rsid w:val="006900C3"/>
    <w:rsid w:val="00690F46"/>
    <w:rsid w:val="00692508"/>
    <w:rsid w:val="006C2134"/>
    <w:rsid w:val="006D4843"/>
    <w:rsid w:val="006D5801"/>
    <w:rsid w:val="006D6C16"/>
    <w:rsid w:val="006E42F8"/>
    <w:rsid w:val="006E6558"/>
    <w:rsid w:val="006E6C53"/>
    <w:rsid w:val="006E759D"/>
    <w:rsid w:val="0070039F"/>
    <w:rsid w:val="007123DF"/>
    <w:rsid w:val="00712DE8"/>
    <w:rsid w:val="00715D55"/>
    <w:rsid w:val="00721E7B"/>
    <w:rsid w:val="007328F5"/>
    <w:rsid w:val="007424B3"/>
    <w:rsid w:val="007556F5"/>
    <w:rsid w:val="0076284E"/>
    <w:rsid w:val="00764159"/>
    <w:rsid w:val="00780A09"/>
    <w:rsid w:val="00784635"/>
    <w:rsid w:val="007A03E7"/>
    <w:rsid w:val="007D2820"/>
    <w:rsid w:val="007D2AB9"/>
    <w:rsid w:val="007E0F8F"/>
    <w:rsid w:val="007F2A6A"/>
    <w:rsid w:val="007F4B9A"/>
    <w:rsid w:val="00800118"/>
    <w:rsid w:val="00803CCD"/>
    <w:rsid w:val="00811853"/>
    <w:rsid w:val="00820504"/>
    <w:rsid w:val="008345CC"/>
    <w:rsid w:val="00837B14"/>
    <w:rsid w:val="00861A32"/>
    <w:rsid w:val="008737BE"/>
    <w:rsid w:val="00885264"/>
    <w:rsid w:val="008857E2"/>
    <w:rsid w:val="00887A38"/>
    <w:rsid w:val="0089095D"/>
    <w:rsid w:val="00895BA9"/>
    <w:rsid w:val="008A588D"/>
    <w:rsid w:val="008B12C8"/>
    <w:rsid w:val="008B5A1D"/>
    <w:rsid w:val="008D102D"/>
    <w:rsid w:val="008D2C5C"/>
    <w:rsid w:val="008D717B"/>
    <w:rsid w:val="008E06B9"/>
    <w:rsid w:val="008F7A25"/>
    <w:rsid w:val="0090636B"/>
    <w:rsid w:val="009070E5"/>
    <w:rsid w:val="0091321F"/>
    <w:rsid w:val="00913BAB"/>
    <w:rsid w:val="00914B24"/>
    <w:rsid w:val="00920B14"/>
    <w:rsid w:val="0092171B"/>
    <w:rsid w:val="0094449A"/>
    <w:rsid w:val="009478ED"/>
    <w:rsid w:val="009673FB"/>
    <w:rsid w:val="00970F5A"/>
    <w:rsid w:val="0098244C"/>
    <w:rsid w:val="00983EA3"/>
    <w:rsid w:val="00985DCD"/>
    <w:rsid w:val="00990546"/>
    <w:rsid w:val="009A11A2"/>
    <w:rsid w:val="009A318D"/>
    <w:rsid w:val="009B7636"/>
    <w:rsid w:val="009F4D64"/>
    <w:rsid w:val="00A01E89"/>
    <w:rsid w:val="00A07D17"/>
    <w:rsid w:val="00A103ED"/>
    <w:rsid w:val="00A110BA"/>
    <w:rsid w:val="00A13353"/>
    <w:rsid w:val="00A14D0E"/>
    <w:rsid w:val="00A26C3D"/>
    <w:rsid w:val="00A30752"/>
    <w:rsid w:val="00A312E5"/>
    <w:rsid w:val="00A41E4D"/>
    <w:rsid w:val="00A4729B"/>
    <w:rsid w:val="00A52D00"/>
    <w:rsid w:val="00A71AD9"/>
    <w:rsid w:val="00A75E20"/>
    <w:rsid w:val="00A8313A"/>
    <w:rsid w:val="00A85D67"/>
    <w:rsid w:val="00A97E2F"/>
    <w:rsid w:val="00AA3C8B"/>
    <w:rsid w:val="00AA529F"/>
    <w:rsid w:val="00AA5394"/>
    <w:rsid w:val="00AB7272"/>
    <w:rsid w:val="00AC634B"/>
    <w:rsid w:val="00AD016A"/>
    <w:rsid w:val="00AD2B72"/>
    <w:rsid w:val="00AE4149"/>
    <w:rsid w:val="00AF356F"/>
    <w:rsid w:val="00B05FA1"/>
    <w:rsid w:val="00B241AD"/>
    <w:rsid w:val="00B26454"/>
    <w:rsid w:val="00B32953"/>
    <w:rsid w:val="00B36A27"/>
    <w:rsid w:val="00B42402"/>
    <w:rsid w:val="00B61336"/>
    <w:rsid w:val="00B62C93"/>
    <w:rsid w:val="00B7296E"/>
    <w:rsid w:val="00B734FF"/>
    <w:rsid w:val="00B77071"/>
    <w:rsid w:val="00B8038E"/>
    <w:rsid w:val="00B80D8C"/>
    <w:rsid w:val="00B80F5B"/>
    <w:rsid w:val="00B870A5"/>
    <w:rsid w:val="00B925D4"/>
    <w:rsid w:val="00B96D59"/>
    <w:rsid w:val="00BA2828"/>
    <w:rsid w:val="00BA37BA"/>
    <w:rsid w:val="00BA5370"/>
    <w:rsid w:val="00BC36C1"/>
    <w:rsid w:val="00BD0C71"/>
    <w:rsid w:val="00BD6574"/>
    <w:rsid w:val="00BE0935"/>
    <w:rsid w:val="00BE3C44"/>
    <w:rsid w:val="00BE5F7B"/>
    <w:rsid w:val="00BF0E47"/>
    <w:rsid w:val="00BF5AE9"/>
    <w:rsid w:val="00C130A9"/>
    <w:rsid w:val="00C24982"/>
    <w:rsid w:val="00C259F1"/>
    <w:rsid w:val="00C3323B"/>
    <w:rsid w:val="00C377AF"/>
    <w:rsid w:val="00C4768F"/>
    <w:rsid w:val="00C55B1A"/>
    <w:rsid w:val="00C66421"/>
    <w:rsid w:val="00C76110"/>
    <w:rsid w:val="00C80722"/>
    <w:rsid w:val="00C80C0B"/>
    <w:rsid w:val="00C91386"/>
    <w:rsid w:val="00C91738"/>
    <w:rsid w:val="00C96226"/>
    <w:rsid w:val="00CA088B"/>
    <w:rsid w:val="00CA6FCD"/>
    <w:rsid w:val="00CB09F6"/>
    <w:rsid w:val="00CB34B0"/>
    <w:rsid w:val="00CC7603"/>
    <w:rsid w:val="00CD600C"/>
    <w:rsid w:val="00CD6159"/>
    <w:rsid w:val="00CE5E80"/>
    <w:rsid w:val="00CE61AB"/>
    <w:rsid w:val="00CE7EF5"/>
    <w:rsid w:val="00CF033A"/>
    <w:rsid w:val="00CF354F"/>
    <w:rsid w:val="00CF6A62"/>
    <w:rsid w:val="00D00DA1"/>
    <w:rsid w:val="00D06D38"/>
    <w:rsid w:val="00D078CD"/>
    <w:rsid w:val="00D11C44"/>
    <w:rsid w:val="00D170E4"/>
    <w:rsid w:val="00D33843"/>
    <w:rsid w:val="00D3634A"/>
    <w:rsid w:val="00D46A41"/>
    <w:rsid w:val="00D47DCE"/>
    <w:rsid w:val="00D52763"/>
    <w:rsid w:val="00D55A38"/>
    <w:rsid w:val="00D70923"/>
    <w:rsid w:val="00D72417"/>
    <w:rsid w:val="00D92A75"/>
    <w:rsid w:val="00D96843"/>
    <w:rsid w:val="00DA08E0"/>
    <w:rsid w:val="00DA549F"/>
    <w:rsid w:val="00DC0DA6"/>
    <w:rsid w:val="00DC4E72"/>
    <w:rsid w:val="00DC7EF6"/>
    <w:rsid w:val="00DE3E7B"/>
    <w:rsid w:val="00DE4BBE"/>
    <w:rsid w:val="00DF256C"/>
    <w:rsid w:val="00DF25B2"/>
    <w:rsid w:val="00E054C1"/>
    <w:rsid w:val="00E13026"/>
    <w:rsid w:val="00E15D15"/>
    <w:rsid w:val="00E21846"/>
    <w:rsid w:val="00E26CA2"/>
    <w:rsid w:val="00E30208"/>
    <w:rsid w:val="00E31AAE"/>
    <w:rsid w:val="00E461DE"/>
    <w:rsid w:val="00E47F08"/>
    <w:rsid w:val="00E607A6"/>
    <w:rsid w:val="00E6453D"/>
    <w:rsid w:val="00E70170"/>
    <w:rsid w:val="00EA5507"/>
    <w:rsid w:val="00ED2FA0"/>
    <w:rsid w:val="00ED4A85"/>
    <w:rsid w:val="00EE61DD"/>
    <w:rsid w:val="00F0257D"/>
    <w:rsid w:val="00F04124"/>
    <w:rsid w:val="00F06DC0"/>
    <w:rsid w:val="00F35D6F"/>
    <w:rsid w:val="00F40B34"/>
    <w:rsid w:val="00F5092C"/>
    <w:rsid w:val="00F5662A"/>
    <w:rsid w:val="00F65EEF"/>
    <w:rsid w:val="00F66D96"/>
    <w:rsid w:val="00F848BB"/>
    <w:rsid w:val="00F8545A"/>
    <w:rsid w:val="00F935C8"/>
    <w:rsid w:val="00FA294C"/>
    <w:rsid w:val="00FA722C"/>
    <w:rsid w:val="00FB2ABC"/>
    <w:rsid w:val="00FB3E95"/>
    <w:rsid w:val="00FB54CB"/>
    <w:rsid w:val="00FB6531"/>
    <w:rsid w:val="00FC009C"/>
    <w:rsid w:val="00FC1D98"/>
    <w:rsid w:val="00FC4DB5"/>
    <w:rsid w:val="00FC69F8"/>
    <w:rsid w:val="00FF210A"/>
    <w:rsid w:val="00FF31EC"/>
  </w:rsids>
  <m:mathPr>
    <m:mathFont m:val="Cambria Math"/>
    <m:brkBin m:val="before"/>
    <m:brkBinSub m:val="--"/>
    <m:smallFrac m:val="0"/>
    <m:dispDef/>
    <m:lMargin m:val="0"/>
    <m:rMargin m:val="0"/>
    <m:defJc m:val="centerGroup"/>
    <m:wrapIndent m:val="1440"/>
    <m:intLim m:val="subSup"/>
    <m:naryLim m:val="undOvr"/>
  </m:mathPr>
  <w:themeFontLang w:val="it-GB"/>
  <w:clrSchemeMapping w:bg1="light1" w:t1="dark1" w:bg2="light2" w:t2="dark2" w:accent1="accent1" w:accent2="accent2" w:accent3="accent3" w:accent4="accent4" w:accent5="accent5" w:accent6="accent6" w:hyperlink="hyperlink" w:followedHyperlink="followedHyperlink"/>
  <w:decimalSymbol w:val="."/>
  <w:listSeparator w:val=";"/>
  <w14:docId w14:val="2D977B3B"/>
  <w15:chartTrackingRefBased/>
  <w15:docId w15:val="{D492E5DD-ED58-8040-8D1B-EE44D6159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F31EC"/>
    <w:pPr>
      <w:spacing w:after="120" w:line="360" w:lineRule="auto"/>
    </w:pPr>
    <w:rPr>
      <w:rFonts w:ascii="Aptos" w:eastAsia="Aptos" w:hAnsi="Aptos" w:cs="Times New Roman"/>
      <w:sz w:val="22"/>
      <w:szCs w:val="22"/>
      <w:lang w:val="it-IT"/>
    </w:rPr>
  </w:style>
  <w:style w:type="paragraph" w:styleId="Titolo1">
    <w:name w:val="heading 1"/>
    <w:basedOn w:val="Normale"/>
    <w:next w:val="Normale"/>
    <w:link w:val="Titolo1Carattere"/>
    <w:uiPriority w:val="9"/>
    <w:qFormat/>
    <w:rsid w:val="00FF31EC"/>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lang w:val="it-GB"/>
    </w:rPr>
  </w:style>
  <w:style w:type="paragraph" w:styleId="Titolo2">
    <w:name w:val="heading 2"/>
    <w:basedOn w:val="Normale"/>
    <w:next w:val="Normale"/>
    <w:link w:val="Titolo2Carattere"/>
    <w:uiPriority w:val="9"/>
    <w:semiHidden/>
    <w:unhideWhenUsed/>
    <w:qFormat/>
    <w:rsid w:val="00FF31EC"/>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lang w:val="it-GB"/>
    </w:rPr>
  </w:style>
  <w:style w:type="paragraph" w:styleId="Titolo3">
    <w:name w:val="heading 3"/>
    <w:basedOn w:val="Normale"/>
    <w:next w:val="Normale"/>
    <w:link w:val="Titolo3Carattere"/>
    <w:uiPriority w:val="9"/>
    <w:semiHidden/>
    <w:unhideWhenUsed/>
    <w:qFormat/>
    <w:rsid w:val="00FF31EC"/>
    <w:pPr>
      <w:keepNext/>
      <w:keepLines/>
      <w:spacing w:before="160" w:after="80" w:line="240" w:lineRule="auto"/>
      <w:outlineLvl w:val="2"/>
    </w:pPr>
    <w:rPr>
      <w:rFonts w:asciiTheme="minorHAnsi" w:eastAsiaTheme="majorEastAsia" w:hAnsiTheme="minorHAnsi" w:cstheme="majorBidi"/>
      <w:color w:val="2F5496" w:themeColor="accent1" w:themeShade="BF"/>
      <w:sz w:val="28"/>
      <w:szCs w:val="28"/>
      <w:lang w:val="it-GB"/>
    </w:rPr>
  </w:style>
  <w:style w:type="paragraph" w:styleId="Titolo4">
    <w:name w:val="heading 4"/>
    <w:basedOn w:val="Normale"/>
    <w:next w:val="Normale"/>
    <w:link w:val="Titolo4Carattere"/>
    <w:uiPriority w:val="9"/>
    <w:semiHidden/>
    <w:unhideWhenUsed/>
    <w:qFormat/>
    <w:rsid w:val="00FF31EC"/>
    <w:pPr>
      <w:keepNext/>
      <w:keepLines/>
      <w:spacing w:before="80" w:after="40" w:line="240" w:lineRule="auto"/>
      <w:outlineLvl w:val="3"/>
    </w:pPr>
    <w:rPr>
      <w:rFonts w:asciiTheme="minorHAnsi" w:eastAsiaTheme="majorEastAsia" w:hAnsiTheme="minorHAnsi" w:cstheme="majorBidi"/>
      <w:i/>
      <w:iCs/>
      <w:color w:val="2F5496" w:themeColor="accent1" w:themeShade="BF"/>
      <w:sz w:val="24"/>
      <w:szCs w:val="24"/>
      <w:lang w:val="it-GB"/>
    </w:rPr>
  </w:style>
  <w:style w:type="paragraph" w:styleId="Titolo5">
    <w:name w:val="heading 5"/>
    <w:basedOn w:val="Normale"/>
    <w:next w:val="Normale"/>
    <w:link w:val="Titolo5Carattere"/>
    <w:uiPriority w:val="9"/>
    <w:semiHidden/>
    <w:unhideWhenUsed/>
    <w:qFormat/>
    <w:rsid w:val="00FF31EC"/>
    <w:pPr>
      <w:keepNext/>
      <w:keepLines/>
      <w:spacing w:before="80" w:after="40" w:line="240" w:lineRule="auto"/>
      <w:outlineLvl w:val="4"/>
    </w:pPr>
    <w:rPr>
      <w:rFonts w:asciiTheme="minorHAnsi" w:eastAsiaTheme="majorEastAsia" w:hAnsiTheme="minorHAnsi" w:cstheme="majorBidi"/>
      <w:color w:val="2F5496" w:themeColor="accent1" w:themeShade="BF"/>
      <w:sz w:val="24"/>
      <w:szCs w:val="24"/>
      <w:lang w:val="it-GB"/>
    </w:rPr>
  </w:style>
  <w:style w:type="paragraph" w:styleId="Titolo6">
    <w:name w:val="heading 6"/>
    <w:basedOn w:val="Normale"/>
    <w:next w:val="Normale"/>
    <w:link w:val="Titolo6Carattere"/>
    <w:uiPriority w:val="9"/>
    <w:semiHidden/>
    <w:unhideWhenUsed/>
    <w:qFormat/>
    <w:rsid w:val="00FF31EC"/>
    <w:pPr>
      <w:keepNext/>
      <w:keepLines/>
      <w:spacing w:before="40" w:after="0" w:line="240" w:lineRule="auto"/>
      <w:outlineLvl w:val="5"/>
    </w:pPr>
    <w:rPr>
      <w:rFonts w:asciiTheme="minorHAnsi" w:eastAsiaTheme="majorEastAsia" w:hAnsiTheme="minorHAnsi" w:cstheme="majorBidi"/>
      <w:i/>
      <w:iCs/>
      <w:color w:val="595959" w:themeColor="text1" w:themeTint="A6"/>
      <w:sz w:val="24"/>
      <w:szCs w:val="24"/>
      <w:lang w:val="it-GB"/>
    </w:rPr>
  </w:style>
  <w:style w:type="paragraph" w:styleId="Titolo7">
    <w:name w:val="heading 7"/>
    <w:basedOn w:val="Normale"/>
    <w:next w:val="Normale"/>
    <w:link w:val="Titolo7Carattere"/>
    <w:uiPriority w:val="9"/>
    <w:semiHidden/>
    <w:unhideWhenUsed/>
    <w:qFormat/>
    <w:rsid w:val="00FF31EC"/>
    <w:pPr>
      <w:keepNext/>
      <w:keepLines/>
      <w:spacing w:before="40" w:after="0" w:line="240" w:lineRule="auto"/>
      <w:outlineLvl w:val="6"/>
    </w:pPr>
    <w:rPr>
      <w:rFonts w:asciiTheme="minorHAnsi" w:eastAsiaTheme="majorEastAsia" w:hAnsiTheme="minorHAnsi" w:cstheme="majorBidi"/>
      <w:color w:val="595959" w:themeColor="text1" w:themeTint="A6"/>
      <w:sz w:val="24"/>
      <w:szCs w:val="24"/>
      <w:lang w:val="it-GB"/>
    </w:rPr>
  </w:style>
  <w:style w:type="paragraph" w:styleId="Titolo8">
    <w:name w:val="heading 8"/>
    <w:basedOn w:val="Normale"/>
    <w:next w:val="Normale"/>
    <w:link w:val="Titolo8Carattere"/>
    <w:uiPriority w:val="9"/>
    <w:semiHidden/>
    <w:unhideWhenUsed/>
    <w:qFormat/>
    <w:rsid w:val="00FF31EC"/>
    <w:pPr>
      <w:keepNext/>
      <w:keepLines/>
      <w:spacing w:after="0" w:line="240" w:lineRule="auto"/>
      <w:outlineLvl w:val="7"/>
    </w:pPr>
    <w:rPr>
      <w:rFonts w:asciiTheme="minorHAnsi" w:eastAsiaTheme="majorEastAsia" w:hAnsiTheme="minorHAnsi" w:cstheme="majorBidi"/>
      <w:i/>
      <w:iCs/>
      <w:color w:val="272727" w:themeColor="text1" w:themeTint="D8"/>
      <w:sz w:val="24"/>
      <w:szCs w:val="24"/>
      <w:lang w:val="it-GB"/>
    </w:rPr>
  </w:style>
  <w:style w:type="paragraph" w:styleId="Titolo9">
    <w:name w:val="heading 9"/>
    <w:basedOn w:val="Normale"/>
    <w:next w:val="Normale"/>
    <w:link w:val="Titolo9Carattere"/>
    <w:uiPriority w:val="9"/>
    <w:semiHidden/>
    <w:unhideWhenUsed/>
    <w:qFormat/>
    <w:rsid w:val="00FF31EC"/>
    <w:pPr>
      <w:keepNext/>
      <w:keepLines/>
      <w:spacing w:after="0" w:line="240" w:lineRule="auto"/>
      <w:outlineLvl w:val="8"/>
    </w:pPr>
    <w:rPr>
      <w:rFonts w:asciiTheme="minorHAnsi" w:eastAsiaTheme="majorEastAsia" w:hAnsiTheme="minorHAnsi" w:cstheme="majorBidi"/>
      <w:color w:val="272727" w:themeColor="text1" w:themeTint="D8"/>
      <w:sz w:val="24"/>
      <w:szCs w:val="24"/>
      <w:lang w:val="it-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evisione">
    <w:name w:val="Revision"/>
    <w:hidden/>
    <w:uiPriority w:val="99"/>
    <w:semiHidden/>
    <w:rsid w:val="00BD6574"/>
  </w:style>
  <w:style w:type="character" w:customStyle="1" w:styleId="Titolo1Carattere">
    <w:name w:val="Titolo 1 Carattere"/>
    <w:basedOn w:val="Carpredefinitoparagrafo"/>
    <w:link w:val="Titolo1"/>
    <w:uiPriority w:val="9"/>
    <w:rsid w:val="00FF31EC"/>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FF31EC"/>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FF31EC"/>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FF31EC"/>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FF31EC"/>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FF31E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F31E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F31E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F31EC"/>
    <w:rPr>
      <w:rFonts w:eastAsiaTheme="majorEastAsia" w:cstheme="majorBidi"/>
      <w:color w:val="272727" w:themeColor="text1" w:themeTint="D8"/>
    </w:rPr>
  </w:style>
  <w:style w:type="paragraph" w:styleId="Titolo">
    <w:name w:val="Title"/>
    <w:basedOn w:val="Normale"/>
    <w:next w:val="Normale"/>
    <w:link w:val="TitoloCarattere"/>
    <w:uiPriority w:val="10"/>
    <w:qFormat/>
    <w:rsid w:val="00FF31EC"/>
    <w:pPr>
      <w:spacing w:after="80" w:line="240" w:lineRule="auto"/>
      <w:contextualSpacing/>
    </w:pPr>
    <w:rPr>
      <w:rFonts w:asciiTheme="majorHAnsi" w:eastAsiaTheme="majorEastAsia" w:hAnsiTheme="majorHAnsi" w:cstheme="majorBidi"/>
      <w:spacing w:val="-10"/>
      <w:kern w:val="28"/>
      <w:sz w:val="56"/>
      <w:szCs w:val="56"/>
      <w:lang w:val="it-GB"/>
    </w:rPr>
  </w:style>
  <w:style w:type="character" w:customStyle="1" w:styleId="TitoloCarattere">
    <w:name w:val="Titolo Carattere"/>
    <w:basedOn w:val="Carpredefinitoparagrafo"/>
    <w:link w:val="Titolo"/>
    <w:uiPriority w:val="10"/>
    <w:rsid w:val="00FF31E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F31EC"/>
    <w:pPr>
      <w:numPr>
        <w:ilvl w:val="1"/>
      </w:numPr>
      <w:spacing w:after="160" w:line="240" w:lineRule="auto"/>
    </w:pPr>
    <w:rPr>
      <w:rFonts w:asciiTheme="minorHAnsi" w:eastAsiaTheme="majorEastAsia" w:hAnsiTheme="minorHAnsi" w:cstheme="majorBidi"/>
      <w:color w:val="595959" w:themeColor="text1" w:themeTint="A6"/>
      <w:spacing w:val="15"/>
      <w:sz w:val="28"/>
      <w:szCs w:val="28"/>
      <w:lang w:val="it-GB"/>
    </w:rPr>
  </w:style>
  <w:style w:type="character" w:customStyle="1" w:styleId="SottotitoloCarattere">
    <w:name w:val="Sottotitolo Carattere"/>
    <w:basedOn w:val="Carpredefinitoparagrafo"/>
    <w:link w:val="Sottotitolo"/>
    <w:uiPriority w:val="11"/>
    <w:rsid w:val="00FF31E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F31EC"/>
    <w:pPr>
      <w:spacing w:before="160" w:after="160" w:line="240" w:lineRule="auto"/>
      <w:jc w:val="center"/>
    </w:pPr>
    <w:rPr>
      <w:rFonts w:asciiTheme="minorHAnsi" w:eastAsiaTheme="minorHAnsi" w:hAnsiTheme="minorHAnsi" w:cstheme="minorBidi"/>
      <w:i/>
      <w:iCs/>
      <w:color w:val="404040" w:themeColor="text1" w:themeTint="BF"/>
      <w:sz w:val="24"/>
      <w:szCs w:val="24"/>
      <w:lang w:val="it-GB"/>
    </w:rPr>
  </w:style>
  <w:style w:type="character" w:customStyle="1" w:styleId="CitazioneCarattere">
    <w:name w:val="Citazione Carattere"/>
    <w:basedOn w:val="Carpredefinitoparagrafo"/>
    <w:link w:val="Citazione"/>
    <w:uiPriority w:val="29"/>
    <w:rsid w:val="00FF31EC"/>
    <w:rPr>
      <w:i/>
      <w:iCs/>
      <w:color w:val="404040" w:themeColor="text1" w:themeTint="BF"/>
    </w:rPr>
  </w:style>
  <w:style w:type="paragraph" w:styleId="Paragrafoelenco">
    <w:name w:val="List Paragraph"/>
    <w:basedOn w:val="Normale"/>
    <w:uiPriority w:val="34"/>
    <w:qFormat/>
    <w:rsid w:val="00FF31EC"/>
    <w:pPr>
      <w:spacing w:after="0" w:line="240" w:lineRule="auto"/>
      <w:ind w:left="720"/>
      <w:contextualSpacing/>
    </w:pPr>
    <w:rPr>
      <w:rFonts w:asciiTheme="minorHAnsi" w:eastAsiaTheme="minorHAnsi" w:hAnsiTheme="minorHAnsi" w:cstheme="minorBidi"/>
      <w:sz w:val="24"/>
      <w:szCs w:val="24"/>
      <w:lang w:val="it-GB"/>
    </w:rPr>
  </w:style>
  <w:style w:type="character" w:styleId="Enfasiintensa">
    <w:name w:val="Intense Emphasis"/>
    <w:basedOn w:val="Carpredefinitoparagrafo"/>
    <w:uiPriority w:val="21"/>
    <w:qFormat/>
    <w:rsid w:val="00FF31EC"/>
    <w:rPr>
      <w:i/>
      <w:iCs/>
      <w:color w:val="2F5496" w:themeColor="accent1" w:themeShade="BF"/>
    </w:rPr>
  </w:style>
  <w:style w:type="paragraph" w:styleId="Citazioneintensa">
    <w:name w:val="Intense Quote"/>
    <w:basedOn w:val="Normale"/>
    <w:next w:val="Normale"/>
    <w:link w:val="CitazioneintensaCarattere"/>
    <w:uiPriority w:val="30"/>
    <w:qFormat/>
    <w:rsid w:val="00FF31EC"/>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heme="minorHAnsi" w:eastAsiaTheme="minorHAnsi" w:hAnsiTheme="minorHAnsi" w:cstheme="minorBidi"/>
      <w:i/>
      <w:iCs/>
      <w:color w:val="2F5496" w:themeColor="accent1" w:themeShade="BF"/>
      <w:sz w:val="24"/>
      <w:szCs w:val="24"/>
      <w:lang w:val="it-GB"/>
    </w:rPr>
  </w:style>
  <w:style w:type="character" w:customStyle="1" w:styleId="CitazioneintensaCarattere">
    <w:name w:val="Citazione intensa Carattere"/>
    <w:basedOn w:val="Carpredefinitoparagrafo"/>
    <w:link w:val="Citazioneintensa"/>
    <w:uiPriority w:val="30"/>
    <w:rsid w:val="00FF31EC"/>
    <w:rPr>
      <w:i/>
      <w:iCs/>
      <w:color w:val="2F5496" w:themeColor="accent1" w:themeShade="BF"/>
    </w:rPr>
  </w:style>
  <w:style w:type="character" w:styleId="Riferimentointenso">
    <w:name w:val="Intense Reference"/>
    <w:basedOn w:val="Carpredefinitoparagrafo"/>
    <w:uiPriority w:val="32"/>
    <w:qFormat/>
    <w:rsid w:val="00FF31EC"/>
    <w:rPr>
      <w:b/>
      <w:bCs/>
      <w:smallCaps/>
      <w:color w:val="2F5496" w:themeColor="accent1" w:themeShade="BF"/>
      <w:spacing w:val="5"/>
    </w:rPr>
  </w:style>
  <w:style w:type="character" w:styleId="Rimandocommento">
    <w:name w:val="annotation reference"/>
    <w:basedOn w:val="Carpredefinitoparagrafo"/>
    <w:uiPriority w:val="99"/>
    <w:semiHidden/>
    <w:unhideWhenUsed/>
    <w:rsid w:val="00FF31EC"/>
    <w:rPr>
      <w:sz w:val="16"/>
      <w:szCs w:val="16"/>
    </w:rPr>
  </w:style>
  <w:style w:type="character" w:styleId="Collegamentoipertestuale">
    <w:name w:val="Hyperlink"/>
    <w:basedOn w:val="Carpredefinitoparagrafo"/>
    <w:uiPriority w:val="99"/>
    <w:unhideWhenUsed/>
    <w:rsid w:val="00FF31EC"/>
    <w:rPr>
      <w:color w:val="0563C1" w:themeColor="hyperlink"/>
      <w:u w:val="single"/>
    </w:r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rFonts w:ascii="Aptos" w:eastAsia="Aptos" w:hAnsi="Aptos" w:cs="Times New Roman"/>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ILT-09-2022-2088" TargetMode="External"/><Relationship Id="rId3" Type="http://schemas.openxmlformats.org/officeDocument/2006/relationships/webSettings" Target="webSettings.xml"/><Relationship Id="rId7" Type="http://schemas.openxmlformats.org/officeDocument/2006/relationships/hyperlink" Target="https://www.emerald.com/insight/publication/issn/0036-879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merald.com/insight/search?q=Imren%20Meydan" TargetMode="External"/><Relationship Id="rId11" Type="http://schemas.openxmlformats.org/officeDocument/2006/relationships/theme" Target="theme/theme1.xml"/><Relationship Id="rId5" Type="http://schemas.openxmlformats.org/officeDocument/2006/relationships/hyperlink" Target="https://www.emerald.com/insight/search?q=Basar%20Uyar" TargetMode="External"/><Relationship Id="rId10" Type="http://schemas.openxmlformats.org/officeDocument/2006/relationships/fontTable" Target="fontTable.xml"/><Relationship Id="rId4" Type="http://schemas.openxmlformats.org/officeDocument/2006/relationships/hyperlink" Target="https://www.intechopen.com/profiles/63600" TargetMode="External"/><Relationship Id="rId9" Type="http://schemas.openxmlformats.org/officeDocument/2006/relationships/hyperlink" Target="https://www.intechopen.com/profiles/63600" TargetMode="External"/></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1018</Words>
  <Characters>5803</Characters>
  <Application>Microsoft Office Word</Application>
  <DocSecurity>0</DocSecurity>
  <Lines>48</Lines>
  <Paragraphs>13</Paragraphs>
  <ScaleCrop>false</ScaleCrop>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Enrico Berrino</dc:creator>
  <cp:keywords/>
  <dc:description/>
  <cp:lastModifiedBy>Enrico Berrino</cp:lastModifiedBy>
  <cp:revision>2</cp:revision>
  <dcterms:created xsi:type="dcterms:W3CDTF">2026-02-04T07:10:00Z</dcterms:created>
  <dcterms:modified xsi:type="dcterms:W3CDTF">2026-02-04T07:10:00Z</dcterms:modified>
</cp:coreProperties>
</file>