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5C8F18" w14:textId="7195B14A" w:rsidR="009A4229" w:rsidRPr="00216500" w:rsidRDefault="009F513F">
      <w:pPr>
        <w:rPr>
          <w:rFonts w:ascii="Calibri" w:hAnsi="Calibri" w:cs="Calibri"/>
        </w:rPr>
      </w:pPr>
      <w:r w:rsidRPr="00216500">
        <w:rPr>
          <w:rFonts w:ascii="Calibri" w:hAnsi="Calibri" w:cs="Calibri"/>
        </w:rPr>
        <w:t>Table 2. Comparison of hem</w:t>
      </w:r>
      <w:r w:rsidR="006D7ADB" w:rsidRPr="00216500">
        <w:rPr>
          <w:rFonts w:ascii="Calibri" w:hAnsi="Calibri" w:cs="Calibri"/>
        </w:rPr>
        <w:t xml:space="preserve">atologic parameters between </w:t>
      </w:r>
      <w:r w:rsidRPr="00216500">
        <w:rPr>
          <w:rFonts w:ascii="Calibri" w:hAnsi="Calibri" w:cs="Calibri"/>
        </w:rPr>
        <w:t>patients with GBS and healthy controls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693"/>
        <w:gridCol w:w="1650"/>
      </w:tblGrid>
      <w:tr w:rsidR="009F513F" w:rsidRPr="00216500" w14:paraId="7BC7C924" w14:textId="77777777" w:rsidTr="009F51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3AF271A" w14:textId="219187E5" w:rsidR="009F513F" w:rsidRPr="00216500" w:rsidRDefault="009F513F" w:rsidP="009F513F">
            <w:pPr>
              <w:jc w:val="center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Variables</w:t>
            </w:r>
          </w:p>
        </w:tc>
        <w:tc>
          <w:tcPr>
            <w:tcW w:w="2268" w:type="dxa"/>
          </w:tcPr>
          <w:p w14:paraId="21903809" w14:textId="77777777" w:rsidR="00C90F52" w:rsidRPr="00216500" w:rsidRDefault="009F513F" w:rsidP="009F5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 xml:space="preserve">GBS patients </w:t>
            </w:r>
          </w:p>
          <w:p w14:paraId="417BC798" w14:textId="34C26F03" w:rsidR="009F513F" w:rsidRPr="00216500" w:rsidRDefault="009F513F" w:rsidP="009F5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(n=126)</w:t>
            </w:r>
          </w:p>
        </w:tc>
        <w:tc>
          <w:tcPr>
            <w:tcW w:w="2693" w:type="dxa"/>
          </w:tcPr>
          <w:p w14:paraId="44A4E012" w14:textId="4E3F1CC5" w:rsidR="009F513F" w:rsidRPr="00216500" w:rsidRDefault="009F513F" w:rsidP="009F5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Healthy controls (n=2910)</w:t>
            </w:r>
          </w:p>
        </w:tc>
        <w:tc>
          <w:tcPr>
            <w:tcW w:w="1650" w:type="dxa"/>
          </w:tcPr>
          <w:p w14:paraId="0434E1D1" w14:textId="5BACAE85" w:rsidR="009F513F" w:rsidRPr="00216500" w:rsidRDefault="009F513F" w:rsidP="009F51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p-value</w:t>
            </w:r>
          </w:p>
        </w:tc>
      </w:tr>
      <w:tr w:rsidR="009F513F" w:rsidRPr="00216500" w14:paraId="650417F0" w14:textId="77777777" w:rsidTr="009F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A7C6F73" w14:textId="56D2F993" w:rsidR="009F513F" w:rsidRPr="00216500" w:rsidRDefault="009F513F">
            <w:pPr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WBC (10</w:t>
            </w:r>
            <w:r w:rsidRPr="00216500">
              <w:rPr>
                <w:rFonts w:ascii="Calibri" w:hAnsi="Calibri" w:cs="Calibri"/>
                <w:szCs w:val="22"/>
                <w:vertAlign w:val="superscript"/>
              </w:rPr>
              <w:t>3</w:t>
            </w:r>
            <w:r w:rsidRPr="00216500">
              <w:rPr>
                <w:rFonts w:ascii="Calibri" w:hAnsi="Calibri" w:cs="Calibri"/>
                <w:szCs w:val="22"/>
              </w:rPr>
              <w:t>/uL)</w:t>
            </w:r>
          </w:p>
        </w:tc>
        <w:tc>
          <w:tcPr>
            <w:tcW w:w="2268" w:type="dxa"/>
          </w:tcPr>
          <w:p w14:paraId="52CC74E7" w14:textId="1759CAB8" w:rsidR="009F513F" w:rsidRPr="00216500" w:rsidRDefault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8.76±3.15</w:t>
            </w:r>
          </w:p>
        </w:tc>
        <w:tc>
          <w:tcPr>
            <w:tcW w:w="2693" w:type="dxa"/>
          </w:tcPr>
          <w:p w14:paraId="08ADB1DD" w14:textId="18B10C77" w:rsidR="009F513F" w:rsidRPr="00216500" w:rsidRDefault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5.80±1.70</w:t>
            </w:r>
          </w:p>
        </w:tc>
        <w:tc>
          <w:tcPr>
            <w:tcW w:w="1650" w:type="dxa"/>
          </w:tcPr>
          <w:p w14:paraId="0A8D2D00" w14:textId="3E893A0F" w:rsidR="009F513F" w:rsidRPr="00216500" w:rsidRDefault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0.000**</w:t>
            </w:r>
          </w:p>
        </w:tc>
      </w:tr>
      <w:tr w:rsidR="009F513F" w:rsidRPr="00216500" w14:paraId="154F16A3" w14:textId="77777777" w:rsidTr="009F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9174234" w14:textId="6427ACDB" w:rsidR="009F513F" w:rsidRPr="00216500" w:rsidRDefault="009F513F" w:rsidP="009F513F">
            <w:pPr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Neutrophil (10</w:t>
            </w:r>
            <w:r w:rsidRPr="00216500">
              <w:rPr>
                <w:rFonts w:ascii="Calibri" w:hAnsi="Calibri" w:cs="Calibri"/>
                <w:szCs w:val="22"/>
                <w:vertAlign w:val="superscript"/>
              </w:rPr>
              <w:t>3</w:t>
            </w:r>
            <w:r w:rsidRPr="00216500">
              <w:rPr>
                <w:rFonts w:ascii="Calibri" w:hAnsi="Calibri" w:cs="Calibri"/>
                <w:szCs w:val="22"/>
              </w:rPr>
              <w:t>/uL)</w:t>
            </w:r>
          </w:p>
        </w:tc>
        <w:tc>
          <w:tcPr>
            <w:tcW w:w="2268" w:type="dxa"/>
          </w:tcPr>
          <w:p w14:paraId="3C53B3EF" w14:textId="0EE41186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5.90±2.82</w:t>
            </w:r>
          </w:p>
        </w:tc>
        <w:tc>
          <w:tcPr>
            <w:tcW w:w="2693" w:type="dxa"/>
          </w:tcPr>
          <w:p w14:paraId="722AB901" w14:textId="14DC4853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3.30±1.35</w:t>
            </w:r>
          </w:p>
        </w:tc>
        <w:tc>
          <w:tcPr>
            <w:tcW w:w="1650" w:type="dxa"/>
          </w:tcPr>
          <w:p w14:paraId="6C084BC1" w14:textId="067EC7F6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0.000**</w:t>
            </w:r>
          </w:p>
        </w:tc>
      </w:tr>
      <w:tr w:rsidR="009F513F" w:rsidRPr="00216500" w14:paraId="35E5402F" w14:textId="77777777" w:rsidTr="009F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62437DF" w14:textId="4386A4A6" w:rsidR="009F513F" w:rsidRPr="00216500" w:rsidRDefault="009F513F" w:rsidP="009F513F">
            <w:pPr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Lymphocyte (10</w:t>
            </w:r>
            <w:r w:rsidRPr="00216500">
              <w:rPr>
                <w:rFonts w:ascii="Calibri" w:hAnsi="Calibri" w:cs="Calibri"/>
                <w:szCs w:val="22"/>
                <w:vertAlign w:val="superscript"/>
              </w:rPr>
              <w:t>3</w:t>
            </w:r>
            <w:r w:rsidRPr="00216500">
              <w:rPr>
                <w:rFonts w:ascii="Calibri" w:hAnsi="Calibri" w:cs="Calibri"/>
                <w:szCs w:val="22"/>
              </w:rPr>
              <w:t>/uL)</w:t>
            </w:r>
          </w:p>
        </w:tc>
        <w:tc>
          <w:tcPr>
            <w:tcW w:w="2268" w:type="dxa"/>
          </w:tcPr>
          <w:p w14:paraId="06801286" w14:textId="41FE4967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2.08±0.76</w:t>
            </w:r>
          </w:p>
        </w:tc>
        <w:tc>
          <w:tcPr>
            <w:tcW w:w="2693" w:type="dxa"/>
          </w:tcPr>
          <w:p w14:paraId="7A534E1B" w14:textId="2A020122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1.90±0.60</w:t>
            </w:r>
          </w:p>
        </w:tc>
        <w:tc>
          <w:tcPr>
            <w:tcW w:w="1650" w:type="dxa"/>
          </w:tcPr>
          <w:p w14:paraId="68E8612F" w14:textId="761C342B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0.007**</w:t>
            </w:r>
          </w:p>
        </w:tc>
      </w:tr>
      <w:tr w:rsidR="009F513F" w:rsidRPr="00216500" w14:paraId="3FD1C8D7" w14:textId="77777777" w:rsidTr="009F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6DC2B6F" w14:textId="2AF35B9B" w:rsidR="009F513F" w:rsidRPr="00216500" w:rsidRDefault="009F513F" w:rsidP="009F513F">
            <w:pPr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Monocyte (10</w:t>
            </w:r>
            <w:r w:rsidRPr="00216500">
              <w:rPr>
                <w:rFonts w:ascii="Calibri" w:hAnsi="Calibri" w:cs="Calibri"/>
                <w:szCs w:val="22"/>
                <w:vertAlign w:val="superscript"/>
              </w:rPr>
              <w:t>3</w:t>
            </w:r>
            <w:r w:rsidRPr="00216500">
              <w:rPr>
                <w:rFonts w:ascii="Calibri" w:hAnsi="Calibri" w:cs="Calibri"/>
                <w:szCs w:val="22"/>
              </w:rPr>
              <w:t>/uL)</w:t>
            </w:r>
          </w:p>
        </w:tc>
        <w:tc>
          <w:tcPr>
            <w:tcW w:w="2268" w:type="dxa"/>
          </w:tcPr>
          <w:p w14:paraId="377B0B6E" w14:textId="00D9164A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0.55±0.27</w:t>
            </w:r>
          </w:p>
        </w:tc>
        <w:tc>
          <w:tcPr>
            <w:tcW w:w="2693" w:type="dxa"/>
          </w:tcPr>
          <w:p w14:paraId="06724718" w14:textId="038AA4F8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0.41±0.14</w:t>
            </w:r>
          </w:p>
        </w:tc>
        <w:tc>
          <w:tcPr>
            <w:tcW w:w="1650" w:type="dxa"/>
          </w:tcPr>
          <w:p w14:paraId="691E05CF" w14:textId="55739A98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0.000**</w:t>
            </w:r>
          </w:p>
        </w:tc>
      </w:tr>
      <w:tr w:rsidR="009F513F" w:rsidRPr="00216500" w14:paraId="3CC7C84B" w14:textId="77777777" w:rsidTr="009F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E12B67F" w14:textId="18DBADE3" w:rsidR="009F513F" w:rsidRPr="00216500" w:rsidRDefault="009F513F" w:rsidP="009F513F">
            <w:pPr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NLR</w:t>
            </w:r>
          </w:p>
        </w:tc>
        <w:tc>
          <w:tcPr>
            <w:tcW w:w="2268" w:type="dxa"/>
          </w:tcPr>
          <w:p w14:paraId="5EF01089" w14:textId="5609FFB1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3.22±1.94</w:t>
            </w:r>
          </w:p>
        </w:tc>
        <w:tc>
          <w:tcPr>
            <w:tcW w:w="2693" w:type="dxa"/>
          </w:tcPr>
          <w:p w14:paraId="3AB72EE9" w14:textId="598984C9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1.88±1.06</w:t>
            </w:r>
          </w:p>
        </w:tc>
        <w:tc>
          <w:tcPr>
            <w:tcW w:w="1650" w:type="dxa"/>
          </w:tcPr>
          <w:p w14:paraId="208F8400" w14:textId="46E7AF47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0.000**</w:t>
            </w:r>
          </w:p>
        </w:tc>
      </w:tr>
      <w:tr w:rsidR="009F513F" w:rsidRPr="00216500" w14:paraId="6F17D1B6" w14:textId="77777777" w:rsidTr="009F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5BCC59" w14:textId="6D118CE8" w:rsidR="009F513F" w:rsidRPr="00216500" w:rsidRDefault="009F513F" w:rsidP="009F513F">
            <w:pPr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MLR</w:t>
            </w:r>
          </w:p>
        </w:tc>
        <w:tc>
          <w:tcPr>
            <w:tcW w:w="2268" w:type="dxa"/>
          </w:tcPr>
          <w:p w14:paraId="77BB49C5" w14:textId="35F80591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0.29±0.17</w:t>
            </w:r>
          </w:p>
        </w:tc>
        <w:tc>
          <w:tcPr>
            <w:tcW w:w="2693" w:type="dxa"/>
          </w:tcPr>
          <w:p w14:paraId="670A09CB" w14:textId="4274E357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0.23±0.09</w:t>
            </w:r>
          </w:p>
        </w:tc>
        <w:tc>
          <w:tcPr>
            <w:tcW w:w="1650" w:type="dxa"/>
          </w:tcPr>
          <w:p w14:paraId="07269B13" w14:textId="56286B50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0.000**</w:t>
            </w:r>
          </w:p>
        </w:tc>
      </w:tr>
      <w:tr w:rsidR="009F513F" w:rsidRPr="00216500" w14:paraId="6E864CF7" w14:textId="77777777" w:rsidTr="009F51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FD51A97" w14:textId="22299358" w:rsidR="009F513F" w:rsidRPr="00216500" w:rsidRDefault="009F513F" w:rsidP="009F513F">
            <w:pPr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A</w:t>
            </w:r>
            <w:r w:rsidR="00C90F52" w:rsidRPr="00216500">
              <w:rPr>
                <w:rFonts w:ascii="Calibri" w:hAnsi="Calibri" w:cs="Calibri"/>
                <w:szCs w:val="22"/>
              </w:rPr>
              <w:t>l</w:t>
            </w:r>
            <w:r w:rsidRPr="00216500">
              <w:rPr>
                <w:rFonts w:ascii="Calibri" w:hAnsi="Calibri" w:cs="Calibri"/>
                <w:szCs w:val="22"/>
              </w:rPr>
              <w:t>bumin (g/dL)</w:t>
            </w:r>
          </w:p>
        </w:tc>
        <w:tc>
          <w:tcPr>
            <w:tcW w:w="2268" w:type="dxa"/>
          </w:tcPr>
          <w:p w14:paraId="2D6A0D37" w14:textId="6B746D43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4.08±0.42</w:t>
            </w:r>
          </w:p>
        </w:tc>
        <w:tc>
          <w:tcPr>
            <w:tcW w:w="2693" w:type="dxa"/>
          </w:tcPr>
          <w:p w14:paraId="5889C248" w14:textId="2AEB4678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4.58±0.37</w:t>
            </w:r>
          </w:p>
        </w:tc>
        <w:tc>
          <w:tcPr>
            <w:tcW w:w="1650" w:type="dxa"/>
          </w:tcPr>
          <w:p w14:paraId="37EF330D" w14:textId="4A69EBEA" w:rsidR="009F513F" w:rsidRPr="00216500" w:rsidRDefault="009F513F" w:rsidP="009F51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Cs w:val="22"/>
              </w:rPr>
            </w:pPr>
            <w:r w:rsidRPr="00216500">
              <w:rPr>
                <w:rFonts w:ascii="Calibri" w:hAnsi="Calibri" w:cs="Calibri"/>
                <w:szCs w:val="22"/>
              </w:rPr>
              <w:t>0.000**</w:t>
            </w:r>
          </w:p>
        </w:tc>
      </w:tr>
    </w:tbl>
    <w:p w14:paraId="266EB6AD" w14:textId="77777777" w:rsidR="009F513F" w:rsidRPr="00BC3B42" w:rsidRDefault="009F513F">
      <w:pPr>
        <w:rPr>
          <w:sz w:val="20"/>
        </w:rPr>
      </w:pPr>
    </w:p>
    <w:p w14:paraId="19799D2C" w14:textId="77777777" w:rsidR="00216500" w:rsidRDefault="00216500" w:rsidP="009F513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Propensity score matching was used to compare mean values ± standard deviations of laboratory parameters between patients with GBS and unmatched healthy controls. WBC, white blood cell; NLR, neutrophil-lymphocyte ratio; MLR, monocyte-lymphocyte ratio.</w:t>
      </w:r>
    </w:p>
    <w:p w14:paraId="7F0A8EBE" w14:textId="3A014C0A" w:rsidR="009F513F" w:rsidRPr="00216500" w:rsidRDefault="00216500" w:rsidP="009F513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**, p value &lt; 0.01</w:t>
      </w:r>
      <w:bookmarkStart w:id="0" w:name="_GoBack"/>
      <w:bookmarkEnd w:id="0"/>
    </w:p>
    <w:p w14:paraId="237FE2BD" w14:textId="77777777" w:rsidR="009F513F" w:rsidRPr="00216500" w:rsidRDefault="009F513F">
      <w:pPr>
        <w:rPr>
          <w:rFonts w:ascii="Calibri" w:hAnsi="Calibri" w:cs="Calibri"/>
          <w:sz w:val="20"/>
        </w:rPr>
      </w:pPr>
    </w:p>
    <w:sectPr w:rsidR="009F513F" w:rsidRPr="002165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1B53C4" w14:textId="77777777" w:rsidR="000B5D34" w:rsidRDefault="000B5D34" w:rsidP="00BC3B42">
      <w:pPr>
        <w:spacing w:after="0"/>
      </w:pPr>
      <w:r>
        <w:separator/>
      </w:r>
    </w:p>
  </w:endnote>
  <w:endnote w:type="continuationSeparator" w:id="0">
    <w:p w14:paraId="743295BE" w14:textId="77777777" w:rsidR="000B5D34" w:rsidRDefault="000B5D34" w:rsidP="00BC3B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C6282" w14:textId="77777777" w:rsidR="000B5D34" w:rsidRDefault="000B5D34" w:rsidP="00BC3B42">
      <w:pPr>
        <w:spacing w:after="0"/>
      </w:pPr>
      <w:r>
        <w:separator/>
      </w:r>
    </w:p>
  </w:footnote>
  <w:footnote w:type="continuationSeparator" w:id="0">
    <w:p w14:paraId="30939AA9" w14:textId="77777777" w:rsidR="000B5D34" w:rsidRDefault="000B5D34" w:rsidP="00BC3B4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3F"/>
    <w:rsid w:val="000B5D34"/>
    <w:rsid w:val="0010601B"/>
    <w:rsid w:val="00216500"/>
    <w:rsid w:val="0054370A"/>
    <w:rsid w:val="006D7ADB"/>
    <w:rsid w:val="008B305B"/>
    <w:rsid w:val="009A4229"/>
    <w:rsid w:val="009F513F"/>
    <w:rsid w:val="00BC3B42"/>
    <w:rsid w:val="00C90F52"/>
    <w:rsid w:val="00E6014E"/>
    <w:rsid w:val="00F33EB3"/>
    <w:rsid w:val="00FB7F08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4369C5"/>
  <w15:chartTrackingRefBased/>
  <w15:docId w15:val="{F36E733D-07E8-426D-BA0E-4D44DF6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9F51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F5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F51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51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F51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F51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F51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F51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9F51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9F51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9F51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9F5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9F5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9F5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9F5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9F51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9F51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9F51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9F5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F51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9F5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F5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9F513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F513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F513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F5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9F513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F51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513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Grid Table 1 Light"/>
    <w:basedOn w:val="a1"/>
    <w:uiPriority w:val="46"/>
    <w:rsid w:val="009F513F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b">
    <w:name w:val="header"/>
    <w:basedOn w:val="a"/>
    <w:link w:val="Char3"/>
    <w:uiPriority w:val="99"/>
    <w:unhideWhenUsed/>
    <w:rsid w:val="00BC3B4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BC3B42"/>
  </w:style>
  <w:style w:type="paragraph" w:styleId="ac">
    <w:name w:val="footer"/>
    <w:basedOn w:val="a"/>
    <w:link w:val="Char4"/>
    <w:uiPriority w:val="99"/>
    <w:unhideWhenUsed/>
    <w:rsid w:val="00BC3B4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BC3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9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LeeEunkyoung</dc:creator>
  <cp:keywords/>
  <dc:description/>
  <cp:lastModifiedBy>User</cp:lastModifiedBy>
  <cp:revision>4</cp:revision>
  <dcterms:created xsi:type="dcterms:W3CDTF">2026-02-04T08:00:00Z</dcterms:created>
  <dcterms:modified xsi:type="dcterms:W3CDTF">2026-02-04T08:25:00Z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5bf12f29-af19-418b-ad05-1d5e6a509540</vt:lpwstr>
  </property>
</Properties>
</file>