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5DA9A" w14:textId="77777777" w:rsidR="00FD334F" w:rsidRDefault="00000000">
      <w:pPr>
        <w:jc w:val="lef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Supplementary Table 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Baseline Characteristics of Lung Transplant Recipients with Acute Respiratory Events</w:t>
      </w:r>
    </w:p>
    <w:p w14:paraId="53301871" w14:textId="77777777" w:rsidR="00FD334F" w:rsidRDefault="00FD334F">
      <w:pPr>
        <w:jc w:val="lef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Style w:val="aa"/>
        <w:tblW w:w="83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70"/>
        <w:gridCol w:w="3686"/>
      </w:tblGrid>
      <w:tr w:rsidR="00FD334F" w14:paraId="6A672EBA" w14:textId="77777777">
        <w:trPr>
          <w:trHeight w:val="227"/>
        </w:trPr>
        <w:tc>
          <w:tcPr>
            <w:tcW w:w="46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6805D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75D68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Cases (n = 21)</w:t>
            </w:r>
          </w:p>
        </w:tc>
      </w:tr>
      <w:tr w:rsidR="00FD334F" w14:paraId="7A2133F0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88E82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Sex, n (%)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FCB26" w14:textId="77777777" w:rsidR="00FD334F" w:rsidRDefault="00FD334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34F" w14:paraId="15D38B42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274CC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7A4A1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(29)</w:t>
            </w:r>
          </w:p>
        </w:tc>
      </w:tr>
      <w:tr w:rsidR="00FD334F" w14:paraId="4283CAED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2237D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85B4F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(71)</w:t>
            </w:r>
          </w:p>
        </w:tc>
      </w:tr>
      <w:tr w:rsidR="00FD334F" w14:paraId="5C71681D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CCF25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Age, mean (SD), years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3B19B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44.9 (12.5)</w:t>
            </w:r>
          </w:p>
        </w:tc>
      </w:tr>
      <w:tr w:rsidR="00FD334F" w14:paraId="4554F433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41474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Underlying disease, n (%)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1598A" w14:textId="77777777" w:rsidR="00FD334F" w:rsidRDefault="00FD334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34F" w14:paraId="491C3352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92609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Interstitial lung diseases (IIPs)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51B7C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(33)</w:t>
            </w:r>
          </w:p>
        </w:tc>
      </w:tr>
      <w:tr w:rsidR="00FD334F" w14:paraId="29249C72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9B15F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COPD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66885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(5)</w:t>
            </w:r>
          </w:p>
        </w:tc>
      </w:tr>
      <w:tr w:rsidR="00FD334F" w14:paraId="70A51786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28B11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GVHD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DFA39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(19)</w:t>
            </w:r>
          </w:p>
        </w:tc>
      </w:tr>
      <w:tr w:rsidR="00FD334F" w14:paraId="4BFEF864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46013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IPAH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67E0F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(14)</w:t>
            </w:r>
          </w:p>
        </w:tc>
      </w:tr>
      <w:tr w:rsidR="00FD334F" w14:paraId="43745BF9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BE03C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Others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6115A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(29)</w:t>
            </w:r>
          </w:p>
        </w:tc>
      </w:tr>
      <w:tr w:rsidR="00FD334F" w14:paraId="36BC6A37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934B9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Donor type, n (%)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8922C" w14:textId="77777777" w:rsidR="00FD334F" w:rsidRDefault="00FD334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34F" w14:paraId="1473DF13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39DB6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Living donor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6583D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(19)</w:t>
            </w:r>
          </w:p>
        </w:tc>
      </w:tr>
      <w:tr w:rsidR="00FD334F" w14:paraId="25692B8E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1973F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Brain-dead donor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42055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 (81)</w:t>
            </w:r>
          </w:p>
        </w:tc>
      </w:tr>
      <w:tr w:rsidR="00FD334F" w14:paraId="12385EFC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8B5C9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Operative procedure, n (%)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22B9A3" w14:textId="77777777" w:rsidR="00FD334F" w:rsidRDefault="00FD334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34F" w14:paraId="3A130933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0A8F0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Single lung transplantation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DCC4B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(52)</w:t>
            </w:r>
          </w:p>
        </w:tc>
      </w:tr>
      <w:tr w:rsidR="00FD334F" w14:paraId="67F549AE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4CCF6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Bilateral lung transplantation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7AE44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(48)</w:t>
            </w:r>
          </w:p>
        </w:tc>
      </w:tr>
      <w:tr w:rsidR="00FD334F" w14:paraId="41534F0D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89664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Time from transplantation to study enrolment, n (%)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E4FAB" w14:textId="77777777" w:rsidR="00FD334F" w:rsidRDefault="00FD334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34F" w14:paraId="0B51D8AB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C9032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 1 year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4AC46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 (43)</w:t>
            </w:r>
          </w:p>
        </w:tc>
      </w:tr>
      <w:tr w:rsidR="00FD334F" w14:paraId="4729D28C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1C66D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1–3 years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6272E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(29)</w:t>
            </w:r>
          </w:p>
        </w:tc>
      </w:tr>
      <w:tr w:rsidR="00FD334F" w14:paraId="1F27C51B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F1F99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&gt; 3 years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C0925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(29)</w:t>
            </w:r>
          </w:p>
        </w:tc>
      </w:tr>
      <w:tr w:rsidR="00FD334F" w14:paraId="450BF799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16F87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Acute respiratory events for the hospitalization, n (%)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07C43" w14:textId="77777777" w:rsidR="00FD334F" w:rsidRDefault="00FD334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34F" w14:paraId="6779E092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67994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Pneumonia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30A2B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(33%)</w:t>
            </w:r>
          </w:p>
        </w:tc>
      </w:tr>
      <w:tr w:rsidR="00FD334F" w14:paraId="260F2C08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92FC8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Acute rejection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AF753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(33%)</w:t>
            </w:r>
          </w:p>
        </w:tc>
      </w:tr>
      <w:tr w:rsidR="00FD334F" w14:paraId="0C07FE35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8F291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CLAD or RAS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E7F56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(19%)</w:t>
            </w:r>
          </w:p>
        </w:tc>
      </w:tr>
      <w:tr w:rsidR="00FD334F" w14:paraId="02D05F6B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FE363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Pleural effusion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32647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(9.5%)</w:t>
            </w:r>
          </w:p>
        </w:tc>
      </w:tr>
      <w:tr w:rsidR="00FD334F" w14:paraId="748E124B" w14:textId="77777777">
        <w:trPr>
          <w:trHeight w:val="227"/>
        </w:trPr>
        <w:tc>
          <w:tcPr>
            <w:tcW w:w="4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93562" w14:textId="77777777" w:rsidR="00FD334F" w:rsidRDefault="00000000">
            <w:pPr>
              <w:ind w:left="23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Stent obstruction</w:t>
            </w:r>
          </w:p>
        </w:tc>
        <w:tc>
          <w:tcPr>
            <w:tcW w:w="3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1BC35" w14:textId="77777777" w:rsidR="00FD334F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(4.8%)</w:t>
            </w:r>
          </w:p>
        </w:tc>
      </w:tr>
    </w:tbl>
    <w:p w14:paraId="0960CDAC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BEEDB7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4B26217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A69F9AC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9C3C49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C19FA6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16890E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94D18C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37E48B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B47658F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102094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BE8A62" w14:textId="77777777" w:rsidR="00FD334F" w:rsidRDefault="00FD334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CFA96B" w14:textId="77777777" w:rsidR="00FD334F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br w:type="page"/>
      </w:r>
    </w:p>
    <w:p w14:paraId="0FA34338" w14:textId="77777777" w:rsidR="00FD334F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Supplementary Figure 1. Schema of Case-Crossover study</w:t>
      </w:r>
    </w:p>
    <w:p w14:paraId="05566A8D" w14:textId="77777777" w:rsidR="00FD334F" w:rsidRDefault="0000000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3F3A7C18" wp14:editId="41B779FD">
            <wp:extent cx="5997821" cy="2833210"/>
            <wp:effectExtent l="0" t="0" r="0" b="0"/>
            <wp:docPr id="1874995530" name="image1.png" descr="ダイアグラム, タイムライン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ダイアグラム, タイムライン&#10;&#10;AI 生成コンテンツは誤りを含む可能性があります。"/>
                    <pic:cNvPicPr preferRelativeResize="0"/>
                  </pic:nvPicPr>
                  <pic:blipFill>
                    <a:blip r:embed="rId5"/>
                    <a:srcRect t="6328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5997821" cy="2833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Schematic representation of the case-crossover study design. For each acute respiratory event (index date), the case window was defined as the 7-day period immediately preceding the event. The control window was defined as the 7-day period located 90 days before the event. Within </w:t>
      </w:r>
      <w:proofErr w:type="gramStart"/>
      <w:r>
        <w:rPr>
          <w:rFonts w:ascii="Times New Roman" w:eastAsia="Times New Roman" w:hAnsi="Times New Roman" w:cs="Times New Roman"/>
        </w:rPr>
        <w:t>each individual</w:t>
      </w:r>
      <w:proofErr w:type="gramEnd"/>
      <w:r>
        <w:rPr>
          <w:rFonts w:ascii="Times New Roman" w:eastAsia="Times New Roman" w:hAnsi="Times New Roman" w:cs="Times New Roman"/>
        </w:rPr>
        <w:t>, measurements during the case window were compared with those during the control window to assess within-person differences in algorithm-detected abnormalities while controlling for time-invariant confounders.</w:t>
      </w:r>
    </w:p>
    <w:p w14:paraId="5F426755" w14:textId="77777777" w:rsidR="00FD334F" w:rsidRDefault="00FD334F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118305FE" w14:textId="77777777" w:rsidR="00FD334F" w:rsidRDefault="00FD334F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6A899A24" w14:textId="77777777" w:rsidR="00FD334F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Supplementary Figure 2. Flow Chart of participants</w:t>
      </w:r>
    </w:p>
    <w:p w14:paraId="3BEB521C" w14:textId="77777777" w:rsidR="00FD334F" w:rsidRDefault="00FD334F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4DB9DFC0" w14:textId="77777777" w:rsidR="00FD334F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36CFAD83" wp14:editId="584042D2">
            <wp:extent cx="5838559" cy="3284113"/>
            <wp:effectExtent l="0" t="0" r="0" b="0"/>
            <wp:docPr id="1874995531" name="image2.png" descr="ダイアグラム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ダイアグラム&#10;&#10;AI 生成コンテンツは誤りを含む可能性があります。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59" cy="328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C9B1F2" w14:textId="77777777" w:rsidR="00FD334F" w:rsidRDefault="00FD334F">
      <w:pPr>
        <w:spacing w:line="276" w:lineRule="auto"/>
        <w:rPr>
          <w:rFonts w:ascii="Times New Roman" w:eastAsia="Times New Roman" w:hAnsi="Times New Roman" w:cs="Times New Roman"/>
        </w:rPr>
      </w:pPr>
    </w:p>
    <w:p w14:paraId="4ABC9204" w14:textId="77777777" w:rsidR="00FD334F" w:rsidRDefault="00000000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Flow chart illustrating the selection of lung transplant recipients included in the analysis. Among patients enrolled in the LT-</w:t>
      </w:r>
      <w:proofErr w:type="spellStart"/>
      <w:r>
        <w:rPr>
          <w:rFonts w:ascii="Times New Roman" w:eastAsia="Times New Roman" w:hAnsi="Times New Roman" w:cs="Times New Roman"/>
        </w:rPr>
        <w:t>FollowUp</w:t>
      </w:r>
      <w:proofErr w:type="spellEnd"/>
      <w:r>
        <w:rPr>
          <w:rFonts w:ascii="Times New Roman" w:eastAsia="Times New Roman" w:hAnsi="Times New Roman" w:cs="Times New Roman"/>
        </w:rPr>
        <w:t xml:space="preserve"> home spirometry program, those with at least 90 days of post-transplant follow-up data were screened. Episodes with incomplete spirometry records or insufficient baseline data were excluded. Acute respiratory events were identified based on predefined clinical criteria.</w:t>
      </w:r>
    </w:p>
    <w:sectPr w:rsidR="00FD334F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FA5997-4B45-E040-879E-907A893897A9}"/>
    <w:embedBold r:id="rId2" w:fontKey="{B23FD205-3DD4-6F45-8BF2-56076D81DA2B}"/>
    <w:embedItalic r:id="rId3" w:fontKey="{CFB8C519-91E9-9145-A3B0-FE6046763C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34F"/>
    <w:rsid w:val="000E4F2B"/>
    <w:rsid w:val="001D7B60"/>
    <w:rsid w:val="00FD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BCACB"/>
  <w15:docId w15:val="{E0AE9A94-68C6-334A-A454-5FAB310B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link w:val="70"/>
    <w:uiPriority w:val="9"/>
    <w:semiHidden/>
    <w:unhideWhenUsed/>
    <w:qFormat/>
    <w:rsid w:val="009F7A1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0"/>
    <w:uiPriority w:val="9"/>
    <w:semiHidden/>
    <w:unhideWhenUsed/>
    <w:qFormat/>
    <w:rsid w:val="009F7A1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0"/>
    <w:uiPriority w:val="9"/>
    <w:semiHidden/>
    <w:unhideWhenUsed/>
    <w:qFormat/>
    <w:rsid w:val="009F7A1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character" w:customStyle="1" w:styleId="10">
    <w:name w:val="見出し 1 (文字)"/>
    <w:basedOn w:val="a0"/>
    <w:uiPriority w:val="9"/>
    <w:rsid w:val="009F7A1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uiPriority w:val="9"/>
    <w:semiHidden/>
    <w:rsid w:val="009F7A1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uiPriority w:val="9"/>
    <w:semiHidden/>
    <w:rsid w:val="009F7A1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uiPriority w:val="9"/>
    <w:semiHidden/>
    <w:rsid w:val="009F7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uiPriority w:val="9"/>
    <w:semiHidden/>
    <w:rsid w:val="009F7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uiPriority w:val="9"/>
    <w:semiHidden/>
    <w:rsid w:val="009F7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F7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F7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F7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uiPriority w:val="10"/>
    <w:rsid w:val="009F7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題 (文字)"/>
    <w:basedOn w:val="a0"/>
    <w:uiPriority w:val="11"/>
    <w:rsid w:val="009F7A1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9F7A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7">
    <w:name w:val="引用文 (文字)"/>
    <w:basedOn w:val="a0"/>
    <w:link w:val="a6"/>
    <w:uiPriority w:val="29"/>
    <w:rsid w:val="009F7A1F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9F7A1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F7A1F"/>
    <w:rPr>
      <w:i/>
      <w:iCs/>
      <w:color w:val="0F4761" w:themeColor="accent1" w:themeShade="BF"/>
    </w:rPr>
  </w:style>
  <w:style w:type="paragraph" w:styleId="22">
    <w:name w:val="Intense Quote"/>
    <w:link w:val="23"/>
    <w:uiPriority w:val="30"/>
    <w:qFormat/>
    <w:rsid w:val="009F7A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F7A1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F7A1F"/>
    <w:rPr>
      <w:b/>
      <w:bCs/>
      <w:smallCaps/>
      <w:color w:val="0F4761" w:themeColor="accent1" w:themeShade="BF"/>
      <w:spacing w:val="5"/>
    </w:rPr>
  </w:style>
  <w:style w:type="paragraph" w:styleId="a9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9qsat6eiO5wSnl4S4sOub/Fk8A==">CgMxLjA4AHIhMXJFdlFiWVkxVTFid1lFSm04enpHS1JRdnZaTWM0NGxr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1515</Characters>
  <Application>Microsoft Office Word</Application>
  <DocSecurity>0</DocSecurity>
  <Lines>87</Lines>
  <Paragraphs>53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 Luo</dc:creator>
  <cp:lastModifiedBy>Yan Luo</cp:lastModifiedBy>
  <cp:revision>2</cp:revision>
  <dcterms:created xsi:type="dcterms:W3CDTF">2026-01-29T03:15:00Z</dcterms:created>
  <dcterms:modified xsi:type="dcterms:W3CDTF">2026-02-04T04:42:00Z</dcterms:modified>
</cp:coreProperties>
</file>