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9DBE0D" w14:textId="77777777" w:rsidR="00182B4B" w:rsidRPr="00AA1694" w:rsidRDefault="00182B4B" w:rsidP="00182B4B">
      <w:pPr>
        <w:spacing w:line="360" w:lineRule="auto"/>
        <w:rPr>
          <w:rFonts w:ascii="Arial" w:hAnsi="Arial" w:cs="Arial"/>
        </w:rPr>
      </w:pPr>
      <w:r w:rsidRPr="00AA1694">
        <w:rPr>
          <w:rFonts w:ascii="Arial" w:hAnsi="Arial" w:cs="Arial"/>
          <w:noProof/>
        </w:rPr>
        <w:drawing>
          <wp:inline distT="0" distB="0" distL="0" distR="0" wp14:anchorId="20778B62" wp14:editId="252AEC32">
            <wp:extent cx="5935980" cy="2583180"/>
            <wp:effectExtent l="0" t="0" r="0" b="0"/>
            <wp:docPr id="34821227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63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2583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90BC03" w14:textId="77777777" w:rsidR="00182B4B" w:rsidRPr="00AA1694" w:rsidRDefault="00182B4B" w:rsidP="00182B4B">
      <w:pPr>
        <w:spacing w:line="360" w:lineRule="auto"/>
        <w:rPr>
          <w:rFonts w:ascii="Arial" w:hAnsi="Arial" w:cs="Arial"/>
          <w:b/>
          <w:bCs/>
        </w:rPr>
      </w:pPr>
      <w:r w:rsidRPr="00AA1694">
        <w:rPr>
          <w:rFonts w:ascii="Arial" w:hAnsi="Arial" w:cs="Arial"/>
          <w:b/>
          <w:bCs/>
        </w:rPr>
        <w:t xml:space="preserve">Extended Data Figure 1. </w:t>
      </w:r>
    </w:p>
    <w:p w14:paraId="4A8976E9" w14:textId="77777777" w:rsidR="00182B4B" w:rsidRPr="00AA1694" w:rsidRDefault="00182B4B" w:rsidP="00182B4B">
      <w:pPr>
        <w:spacing w:line="360" w:lineRule="auto"/>
        <w:rPr>
          <w:rFonts w:ascii="Arial" w:hAnsi="Arial" w:cs="Arial"/>
        </w:rPr>
      </w:pPr>
      <w:r w:rsidRPr="00AA1694">
        <w:rPr>
          <w:rFonts w:ascii="Arial" w:hAnsi="Arial" w:cs="Arial"/>
          <w:b/>
        </w:rPr>
        <w:t>a,</w:t>
      </w:r>
      <w:r w:rsidRPr="00AA1694">
        <w:rPr>
          <w:rFonts w:ascii="Arial" w:hAnsi="Arial" w:cs="Arial"/>
        </w:rPr>
        <w:t xml:space="preserve"> Kymograph of endogenous GFP::FLPon::TBA-1 dynamics. Yellow arrows indicate severing events. Scale bar, 10 μm (horizontal) and 60 sec (vertical). </w:t>
      </w:r>
      <w:r w:rsidRPr="00AA1694">
        <w:rPr>
          <w:rFonts w:ascii="Arial" w:hAnsi="Arial" w:cs="Arial"/>
          <w:b/>
        </w:rPr>
        <w:t>b,</w:t>
      </w:r>
      <w:r w:rsidRPr="00AA1694">
        <w:rPr>
          <w:rFonts w:ascii="Arial" w:hAnsi="Arial" w:cs="Arial"/>
        </w:rPr>
        <w:t xml:space="preserve"> Quantification of severing frequency in worms expressing transgenic GFP::TBA-1 and endogenous GFP::FLPon::TBA-1. Data shown as mean ± s.e.m. n represents number of animals. Two-tailed unpaired </w:t>
      </w:r>
      <w:r w:rsidRPr="00AA1694">
        <w:rPr>
          <w:rFonts w:ascii="Arial" w:hAnsi="Arial" w:cs="Arial"/>
          <w:i/>
          <w:iCs/>
        </w:rPr>
        <w:t>t</w:t>
      </w:r>
      <w:r w:rsidRPr="00AA1694">
        <w:rPr>
          <w:rFonts w:ascii="Arial" w:hAnsi="Arial" w:cs="Arial"/>
        </w:rPr>
        <w:t>-test with Welch’s correction.</w:t>
      </w:r>
    </w:p>
    <w:p w14:paraId="5AB501C8" w14:textId="77777777" w:rsidR="00182B4B" w:rsidRDefault="00182B4B" w:rsidP="00182B4B">
      <w:pPr>
        <w:spacing w:line="360" w:lineRule="auto"/>
        <w:rPr>
          <w:rFonts w:ascii="Arial" w:hAnsi="Arial" w:cs="Arial"/>
        </w:rPr>
      </w:pPr>
    </w:p>
    <w:p w14:paraId="72103AA1" w14:textId="77777777" w:rsidR="00182B4B" w:rsidRDefault="00182B4B" w:rsidP="00182B4B">
      <w:pPr>
        <w:spacing w:line="360" w:lineRule="auto"/>
        <w:rPr>
          <w:rFonts w:ascii="Arial" w:hAnsi="Arial" w:cs="Arial"/>
        </w:rPr>
      </w:pPr>
    </w:p>
    <w:p w14:paraId="73A61850" w14:textId="77777777" w:rsidR="00182B4B" w:rsidRPr="00AA1694" w:rsidRDefault="00182B4B" w:rsidP="00182B4B">
      <w:pPr>
        <w:spacing w:line="360" w:lineRule="auto"/>
        <w:rPr>
          <w:rFonts w:ascii="Arial" w:hAnsi="Arial" w:cs="Arial"/>
        </w:rPr>
      </w:pPr>
      <w:r w:rsidRPr="00AA1694">
        <w:rPr>
          <w:rFonts w:ascii="Arial" w:hAnsi="Arial" w:cs="Arial"/>
          <w:noProof/>
        </w:rPr>
        <w:drawing>
          <wp:inline distT="0" distB="0" distL="0" distR="0" wp14:anchorId="04738090" wp14:editId="5E17C71D">
            <wp:extent cx="5935980" cy="2324100"/>
            <wp:effectExtent l="0" t="0" r="0" b="0"/>
            <wp:docPr id="120213455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97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FFAF92" w14:textId="77777777" w:rsidR="00182B4B" w:rsidRPr="00AA1694" w:rsidRDefault="00182B4B" w:rsidP="00182B4B">
      <w:pPr>
        <w:spacing w:line="360" w:lineRule="auto"/>
        <w:rPr>
          <w:rFonts w:ascii="Arial" w:hAnsi="Arial" w:cs="Arial"/>
          <w:b/>
          <w:bCs/>
          <w:i/>
          <w:iCs/>
        </w:rPr>
      </w:pPr>
      <w:r w:rsidRPr="00AA1694">
        <w:rPr>
          <w:rFonts w:ascii="Arial" w:hAnsi="Arial" w:cs="Arial"/>
          <w:b/>
          <w:bCs/>
        </w:rPr>
        <w:t xml:space="preserve">Extended Data Figure 2. Temperature sensitivity of </w:t>
      </w:r>
      <w:r w:rsidRPr="00AA1694">
        <w:rPr>
          <w:rFonts w:ascii="Arial" w:hAnsi="Arial" w:cs="Arial"/>
          <w:b/>
          <w:bCs/>
          <w:i/>
          <w:iCs/>
        </w:rPr>
        <w:t>mei-1 and mei-2 alleles.</w:t>
      </w:r>
    </w:p>
    <w:p w14:paraId="7CFF4D46" w14:textId="77777777" w:rsidR="00182B4B" w:rsidRPr="00AA1694" w:rsidRDefault="00182B4B" w:rsidP="00182B4B">
      <w:pPr>
        <w:spacing w:line="360" w:lineRule="auto"/>
        <w:rPr>
          <w:rFonts w:ascii="Arial" w:hAnsi="Arial" w:cs="Arial"/>
          <w:b/>
          <w:bCs/>
        </w:rPr>
      </w:pPr>
      <w:r w:rsidRPr="00AA1694">
        <w:rPr>
          <w:rFonts w:ascii="Arial" w:hAnsi="Arial" w:cs="Arial"/>
          <w:b/>
        </w:rPr>
        <w:t>a,</w:t>
      </w:r>
      <w:r w:rsidRPr="00AA1694">
        <w:rPr>
          <w:rFonts w:ascii="Arial" w:hAnsi="Arial" w:cs="Arial"/>
        </w:rPr>
        <w:t xml:space="preserve"> Quantification of severing frequency in wild-type and the </w:t>
      </w:r>
      <w:r w:rsidRPr="00AA1694">
        <w:rPr>
          <w:rFonts w:ascii="Arial" w:hAnsi="Arial" w:cs="Arial"/>
          <w:i/>
          <w:iCs/>
        </w:rPr>
        <w:t xml:space="preserve">mei-1 </w:t>
      </w:r>
      <w:r w:rsidRPr="00AA1694">
        <w:rPr>
          <w:rFonts w:ascii="Arial" w:hAnsi="Arial" w:cs="Arial"/>
        </w:rPr>
        <w:t xml:space="preserve">ts mutant across temperatures. The data for genotypes at 20° are the same as used in Figure 2B. Data shown as mean ± s.e.m. n represents number of animals. Brown–Forsythe and Welch one-way ANOVA with Dunnett's test. </w:t>
      </w:r>
      <w:r w:rsidRPr="00AA1694">
        <w:rPr>
          <w:rFonts w:ascii="Arial" w:hAnsi="Arial" w:cs="Arial"/>
          <w:b/>
          <w:bCs/>
        </w:rPr>
        <w:t xml:space="preserve">b, </w:t>
      </w:r>
      <w:r w:rsidRPr="00AA1694">
        <w:rPr>
          <w:rFonts w:ascii="Arial" w:hAnsi="Arial" w:cs="Arial"/>
        </w:rPr>
        <w:t xml:space="preserve">Quantification of microtubule density in the outgrowing </w:t>
      </w:r>
      <w:r w:rsidRPr="00AA1694">
        <w:rPr>
          <w:rFonts w:ascii="Arial" w:hAnsi="Arial" w:cs="Arial"/>
        </w:rPr>
        <w:lastRenderedPageBreak/>
        <w:t>posterior dendrite (L2 stage) across various mutants. Microtubule density is calculated based on the number of dynamic microtubule plus-ends.</w:t>
      </w:r>
      <w:r w:rsidRPr="00AA1694">
        <w:rPr>
          <w:rFonts w:ascii="Arial" w:hAnsi="Arial" w:cs="Arial"/>
          <w:b/>
          <w:bCs/>
        </w:rPr>
        <w:t xml:space="preserve"> </w:t>
      </w:r>
      <w:r w:rsidRPr="00AA1694">
        <w:rPr>
          <w:rFonts w:ascii="Arial" w:hAnsi="Arial" w:cs="Arial"/>
        </w:rPr>
        <w:t>Data shown as mean ± s.e.m. n represents number of animals. Brown–Forsythe and Welch one-way ANOVA with Dunnett's test.</w:t>
      </w:r>
    </w:p>
    <w:p w14:paraId="313D58F9" w14:textId="77777777" w:rsidR="00182B4B" w:rsidRPr="00AA1694" w:rsidRDefault="00182B4B" w:rsidP="00182B4B">
      <w:pPr>
        <w:spacing w:line="360" w:lineRule="auto"/>
        <w:rPr>
          <w:rFonts w:ascii="Arial" w:hAnsi="Arial" w:cs="Arial"/>
        </w:rPr>
      </w:pPr>
      <w:r w:rsidRPr="00AA1694">
        <w:rPr>
          <w:rFonts w:ascii="Arial" w:hAnsi="Arial" w:cs="Arial"/>
          <w:noProof/>
        </w:rPr>
        <w:drawing>
          <wp:inline distT="0" distB="0" distL="0" distR="0" wp14:anchorId="1CE49380" wp14:editId="07FB624E">
            <wp:extent cx="5935980" cy="5516880"/>
            <wp:effectExtent l="0" t="0" r="0" b="0"/>
            <wp:docPr id="61293055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80" b="255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551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8B21DA" w14:textId="77777777" w:rsidR="00182B4B" w:rsidRPr="00AA1694" w:rsidRDefault="00182B4B" w:rsidP="00182B4B">
      <w:pPr>
        <w:spacing w:line="360" w:lineRule="auto"/>
        <w:rPr>
          <w:rFonts w:ascii="Arial" w:hAnsi="Arial" w:cs="Arial"/>
          <w:b/>
          <w:bCs/>
        </w:rPr>
      </w:pPr>
      <w:r w:rsidRPr="00AA1694">
        <w:rPr>
          <w:rFonts w:ascii="Arial" w:hAnsi="Arial" w:cs="Arial"/>
          <w:b/>
          <w:bCs/>
        </w:rPr>
        <w:t>Extended Data Figure 3. Kymograph analysis of PTRN-1 and NMTN-1 dynamics in severing mutants.</w:t>
      </w:r>
    </w:p>
    <w:p w14:paraId="099E6710" w14:textId="77777777" w:rsidR="00182B4B" w:rsidRPr="00AA1694" w:rsidRDefault="00182B4B" w:rsidP="00182B4B">
      <w:pPr>
        <w:spacing w:line="360" w:lineRule="auto"/>
        <w:rPr>
          <w:rFonts w:ascii="Arial" w:hAnsi="Arial" w:cs="Arial"/>
        </w:rPr>
      </w:pPr>
      <w:r w:rsidRPr="00AA1694">
        <w:rPr>
          <w:rFonts w:ascii="Arial" w:hAnsi="Arial" w:cs="Arial"/>
          <w:b/>
        </w:rPr>
        <w:t>a,</w:t>
      </w:r>
      <w:r w:rsidRPr="00AA1694">
        <w:rPr>
          <w:rFonts w:ascii="Arial" w:hAnsi="Arial" w:cs="Arial"/>
        </w:rPr>
        <w:t xml:space="preserve"> Quantification of severing frequency in wild-type and PTRN-1/NMTN-1 knock-in strains. Wild-type data is the same as used in Figure 2b. Data shown as mean ± s.e.m. n represents number of animals. Brown–Forsythe and Welch one-way ANOVA with Dunnett's test. </w:t>
      </w:r>
      <w:r w:rsidRPr="00AA1694">
        <w:rPr>
          <w:rFonts w:ascii="Arial" w:hAnsi="Arial" w:cs="Arial"/>
          <w:b/>
        </w:rPr>
        <w:t>b,</w:t>
      </w:r>
      <w:r w:rsidRPr="00AA1694">
        <w:rPr>
          <w:rFonts w:ascii="Arial" w:hAnsi="Arial" w:cs="Arial"/>
        </w:rPr>
        <w:t xml:space="preserve"> Kymographs of GFP-TBA-1 and mScarlet::FLPon::PTRN-1 dynamics in L2 stage PVD posterior dendrite in severing mutants. Scale bar, 10 μm (horizontal) and 60 sec (vertical). </w:t>
      </w:r>
      <w:r w:rsidRPr="00AA1694">
        <w:rPr>
          <w:rFonts w:ascii="Arial" w:hAnsi="Arial" w:cs="Arial"/>
          <w:b/>
        </w:rPr>
        <w:t>c,</w:t>
      </w:r>
      <w:r w:rsidRPr="00AA1694">
        <w:rPr>
          <w:rFonts w:ascii="Arial" w:hAnsi="Arial" w:cs="Arial"/>
        </w:rPr>
        <w:t xml:space="preserve"> </w:t>
      </w:r>
      <w:r w:rsidRPr="00AA1694">
        <w:rPr>
          <w:rFonts w:ascii="Arial" w:hAnsi="Arial" w:cs="Arial"/>
        </w:rPr>
        <w:lastRenderedPageBreak/>
        <w:t>Kymographs of GFP-TBA-1 and mScarlet::FLPon::NMTN-1 dynamics in L2 stage PVD posterior dendrite in severing mutants. Scale bar, 10 μm (horizontal) and 60 sec (vertical).</w:t>
      </w:r>
    </w:p>
    <w:p w14:paraId="6087198B" w14:textId="77777777" w:rsidR="00182B4B" w:rsidRPr="00AA1694" w:rsidRDefault="00182B4B" w:rsidP="00182B4B">
      <w:pPr>
        <w:spacing w:line="360" w:lineRule="auto"/>
        <w:rPr>
          <w:rFonts w:ascii="Arial" w:hAnsi="Arial" w:cs="Arial"/>
        </w:rPr>
      </w:pPr>
      <w:r w:rsidRPr="00AA1694">
        <w:rPr>
          <w:rFonts w:ascii="Arial" w:hAnsi="Arial" w:cs="Arial"/>
        </w:rPr>
        <w:br w:type="page"/>
      </w:r>
      <w:r w:rsidRPr="00AA1694">
        <w:rPr>
          <w:rFonts w:ascii="Arial" w:hAnsi="Arial" w:cs="Arial"/>
          <w:noProof/>
        </w:rPr>
        <w:lastRenderedPageBreak/>
        <w:drawing>
          <wp:inline distT="0" distB="0" distL="0" distR="0" wp14:anchorId="79BA72D9" wp14:editId="00D4F33C">
            <wp:extent cx="5935980" cy="7680960"/>
            <wp:effectExtent l="0" t="0" r="0" b="0"/>
            <wp:docPr id="1662921117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7680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EBD086" w14:textId="77777777" w:rsidR="00182B4B" w:rsidRPr="00AA1694" w:rsidRDefault="00182B4B" w:rsidP="00182B4B">
      <w:pPr>
        <w:spacing w:line="360" w:lineRule="auto"/>
        <w:rPr>
          <w:rFonts w:ascii="Arial" w:hAnsi="Arial" w:cs="Arial"/>
          <w:b/>
          <w:bCs/>
        </w:rPr>
      </w:pPr>
      <w:r w:rsidRPr="00AA1694">
        <w:rPr>
          <w:rFonts w:ascii="Arial" w:hAnsi="Arial" w:cs="Arial"/>
          <w:b/>
          <w:bCs/>
        </w:rPr>
        <w:t>Extended Data Figure 4. Localization of mitochondria, Rab-5, and Rab-7 endosomes in PVD posterior dendrite.</w:t>
      </w:r>
    </w:p>
    <w:p w14:paraId="26AB7528" w14:textId="77777777" w:rsidR="00182B4B" w:rsidRPr="00AA1694" w:rsidRDefault="00182B4B" w:rsidP="00182B4B">
      <w:pPr>
        <w:spacing w:line="360" w:lineRule="auto"/>
        <w:rPr>
          <w:rFonts w:ascii="Arial" w:hAnsi="Arial" w:cs="Arial"/>
        </w:rPr>
      </w:pPr>
      <w:r w:rsidRPr="00AA1694">
        <w:rPr>
          <w:rFonts w:ascii="Arial" w:hAnsi="Arial" w:cs="Arial"/>
          <w:b/>
        </w:rPr>
        <w:t>a,</w:t>
      </w:r>
      <w:r w:rsidRPr="00AA1694">
        <w:rPr>
          <w:rFonts w:ascii="Arial" w:hAnsi="Arial" w:cs="Arial"/>
        </w:rPr>
        <w:t xml:space="preserve"> Tomm-20 localization in L4 stage PVD posterior primary dendrite in wild-type and </w:t>
      </w:r>
      <w:r w:rsidRPr="00AA1694">
        <w:rPr>
          <w:rFonts w:ascii="Arial" w:hAnsi="Arial" w:cs="Arial"/>
          <w:i/>
          <w:iCs/>
        </w:rPr>
        <w:t xml:space="preserve">mei-1(lof) </w:t>
      </w:r>
      <w:r w:rsidRPr="00AA1694">
        <w:rPr>
          <w:rFonts w:ascii="Arial" w:hAnsi="Arial" w:cs="Arial"/>
        </w:rPr>
        <w:t xml:space="preserve">mutants. Yellow triangles indicate TOMM-20::GFP puncta. </w:t>
      </w:r>
      <w:r w:rsidRPr="00AA1694">
        <w:rPr>
          <w:rFonts w:ascii="Arial" w:hAnsi="Arial" w:cs="Arial"/>
          <w:b/>
        </w:rPr>
        <w:t>b,</w:t>
      </w:r>
      <w:r w:rsidRPr="00AA1694">
        <w:rPr>
          <w:rFonts w:ascii="Arial" w:hAnsi="Arial" w:cs="Arial"/>
        </w:rPr>
        <w:t xml:space="preserve"> Quantification of </w:t>
      </w:r>
      <w:r w:rsidRPr="00AA1694">
        <w:rPr>
          <w:rFonts w:ascii="Arial" w:hAnsi="Arial" w:cs="Arial"/>
        </w:rPr>
        <w:lastRenderedPageBreak/>
        <w:t xml:space="preserve">mitochondria density in wild-type and </w:t>
      </w:r>
      <w:r w:rsidRPr="00AA1694">
        <w:rPr>
          <w:rFonts w:ascii="Arial" w:hAnsi="Arial" w:cs="Arial"/>
          <w:i/>
          <w:iCs/>
        </w:rPr>
        <w:t xml:space="preserve">mei-1(lof) </w:t>
      </w:r>
      <w:r w:rsidRPr="00AA1694">
        <w:rPr>
          <w:rFonts w:ascii="Arial" w:hAnsi="Arial" w:cs="Arial"/>
        </w:rPr>
        <w:t xml:space="preserve">mutants. </w:t>
      </w:r>
      <w:r w:rsidRPr="00AA1694">
        <w:rPr>
          <w:rFonts w:ascii="Arial" w:hAnsi="Arial" w:cs="Arial"/>
          <w:b/>
        </w:rPr>
        <w:t>c,</w:t>
      </w:r>
      <w:r w:rsidRPr="00AA1694">
        <w:rPr>
          <w:rFonts w:ascii="Arial" w:hAnsi="Arial" w:cs="Arial"/>
        </w:rPr>
        <w:t xml:space="preserve"> Rab-5 localization in L4 stage PVD posterior primary dendrite in wild-type and </w:t>
      </w:r>
      <w:r w:rsidRPr="00AA1694">
        <w:rPr>
          <w:rFonts w:ascii="Arial" w:hAnsi="Arial" w:cs="Arial"/>
          <w:i/>
          <w:iCs/>
        </w:rPr>
        <w:t xml:space="preserve">mei-1(lof) </w:t>
      </w:r>
      <w:r w:rsidRPr="00AA1694">
        <w:rPr>
          <w:rFonts w:ascii="Arial" w:hAnsi="Arial" w:cs="Arial"/>
        </w:rPr>
        <w:t xml:space="preserve">mutants. Yellow triangles indicate GFP::FLPon::RAB-5 puncta. </w:t>
      </w:r>
      <w:r w:rsidRPr="00AA1694">
        <w:rPr>
          <w:rFonts w:ascii="Arial" w:hAnsi="Arial" w:cs="Arial"/>
          <w:b/>
        </w:rPr>
        <w:t>d,</w:t>
      </w:r>
      <w:r w:rsidRPr="00AA1694">
        <w:rPr>
          <w:rFonts w:ascii="Arial" w:hAnsi="Arial" w:cs="Arial"/>
        </w:rPr>
        <w:t xml:space="preserve"> Quantification of Rab-5 density in wild-type and </w:t>
      </w:r>
      <w:r w:rsidRPr="00AA1694">
        <w:rPr>
          <w:rFonts w:ascii="Arial" w:hAnsi="Arial" w:cs="Arial"/>
          <w:i/>
          <w:iCs/>
        </w:rPr>
        <w:t xml:space="preserve">mei-1(lof) </w:t>
      </w:r>
      <w:r w:rsidRPr="00AA1694">
        <w:rPr>
          <w:rFonts w:ascii="Arial" w:hAnsi="Arial" w:cs="Arial"/>
        </w:rPr>
        <w:t xml:space="preserve">mutants. </w:t>
      </w:r>
      <w:r w:rsidRPr="00AA1694">
        <w:rPr>
          <w:rFonts w:ascii="Arial" w:hAnsi="Arial" w:cs="Arial"/>
          <w:b/>
        </w:rPr>
        <w:t>e,</w:t>
      </w:r>
      <w:r w:rsidRPr="00AA1694">
        <w:rPr>
          <w:rFonts w:ascii="Arial" w:hAnsi="Arial" w:cs="Arial"/>
        </w:rPr>
        <w:t xml:space="preserve"> Rab-7 localization in L4 stage PVD posterior primary dendrite in wild-type and </w:t>
      </w:r>
      <w:r w:rsidRPr="00AA1694">
        <w:rPr>
          <w:rFonts w:ascii="Arial" w:hAnsi="Arial" w:cs="Arial"/>
          <w:i/>
          <w:iCs/>
        </w:rPr>
        <w:t xml:space="preserve">mei-1(lof) </w:t>
      </w:r>
      <w:r w:rsidRPr="00AA1694">
        <w:rPr>
          <w:rFonts w:ascii="Arial" w:hAnsi="Arial" w:cs="Arial"/>
        </w:rPr>
        <w:t xml:space="preserve">mutants. Yellow triangles indicate GFP::FLPon::RAB-7 puncta. </w:t>
      </w:r>
      <w:r w:rsidRPr="00AA1694">
        <w:rPr>
          <w:rFonts w:ascii="Arial" w:hAnsi="Arial" w:cs="Arial"/>
          <w:b/>
        </w:rPr>
        <w:t>f,</w:t>
      </w:r>
      <w:r w:rsidRPr="00AA1694">
        <w:rPr>
          <w:rFonts w:ascii="Arial" w:hAnsi="Arial" w:cs="Arial"/>
        </w:rPr>
        <w:t xml:space="preserve"> Quantification of Rab-7 density in wild-type and </w:t>
      </w:r>
      <w:r w:rsidRPr="00AA1694">
        <w:rPr>
          <w:rFonts w:ascii="Arial" w:hAnsi="Arial" w:cs="Arial"/>
          <w:i/>
          <w:iCs/>
        </w:rPr>
        <w:t xml:space="preserve">mei-1(lof) </w:t>
      </w:r>
      <w:r w:rsidRPr="00AA1694">
        <w:rPr>
          <w:rFonts w:ascii="Arial" w:hAnsi="Arial" w:cs="Arial"/>
        </w:rPr>
        <w:t xml:space="preserve">mutants. Data shown as mean ± s.e.m. n represents number of animals. Two-tailed unpaired </w:t>
      </w:r>
      <w:r w:rsidRPr="00AA1694">
        <w:rPr>
          <w:rFonts w:ascii="Arial" w:hAnsi="Arial" w:cs="Arial"/>
          <w:i/>
          <w:iCs/>
        </w:rPr>
        <w:t>t</w:t>
      </w:r>
      <w:r w:rsidRPr="00AA1694">
        <w:rPr>
          <w:rFonts w:ascii="Arial" w:hAnsi="Arial" w:cs="Arial"/>
        </w:rPr>
        <w:t xml:space="preserve">-test with Welch’s correction used in </w:t>
      </w:r>
      <w:r w:rsidRPr="00AA1694">
        <w:rPr>
          <w:rFonts w:ascii="Arial" w:hAnsi="Arial" w:cs="Arial"/>
          <w:b/>
          <w:bCs/>
        </w:rPr>
        <w:t>b</w:t>
      </w:r>
      <w:r w:rsidRPr="00AA1694">
        <w:rPr>
          <w:rFonts w:ascii="Arial" w:hAnsi="Arial" w:cs="Arial"/>
        </w:rPr>
        <w:t xml:space="preserve">, </w:t>
      </w:r>
      <w:r w:rsidRPr="00AA1694">
        <w:rPr>
          <w:rFonts w:ascii="Arial" w:hAnsi="Arial" w:cs="Arial"/>
          <w:b/>
          <w:bCs/>
        </w:rPr>
        <w:t>d</w:t>
      </w:r>
      <w:r w:rsidRPr="00AA1694">
        <w:rPr>
          <w:rFonts w:ascii="Arial" w:hAnsi="Arial" w:cs="Arial"/>
        </w:rPr>
        <w:t xml:space="preserve">, and </w:t>
      </w:r>
      <w:r w:rsidRPr="00AA1694">
        <w:rPr>
          <w:rFonts w:ascii="Arial" w:hAnsi="Arial" w:cs="Arial"/>
          <w:b/>
          <w:bCs/>
        </w:rPr>
        <w:t>f</w:t>
      </w:r>
      <w:r w:rsidRPr="00AA1694">
        <w:rPr>
          <w:rFonts w:ascii="Arial" w:hAnsi="Arial" w:cs="Arial"/>
        </w:rPr>
        <w:t xml:space="preserve">. </w:t>
      </w:r>
      <w:r w:rsidRPr="00AA1694">
        <w:rPr>
          <w:rFonts w:ascii="Arial" w:hAnsi="Arial" w:cs="Arial"/>
          <w:b/>
        </w:rPr>
        <w:t>g,</w:t>
      </w:r>
      <w:r w:rsidRPr="00AA1694">
        <w:rPr>
          <w:rFonts w:ascii="Arial" w:hAnsi="Arial" w:cs="Arial"/>
        </w:rPr>
        <w:t xml:space="preserve"> Quantification of average anterograde and retrograde speed for RAB-10 positive cargo. Data shown as mean ± quartile, n represents number of cargo tracks. Brown–Forsythe and Welch one-way ANOVA with Dunnett's test.</w:t>
      </w:r>
    </w:p>
    <w:p w14:paraId="1ABA3628" w14:textId="77777777" w:rsidR="00182B4B" w:rsidRPr="00AA1694" w:rsidRDefault="00182B4B" w:rsidP="00182B4B">
      <w:pPr>
        <w:spacing w:line="360" w:lineRule="auto"/>
        <w:rPr>
          <w:rFonts w:ascii="Arial" w:hAnsi="Arial" w:cs="Arial"/>
        </w:rPr>
      </w:pPr>
      <w:r w:rsidRPr="00AA1694">
        <w:rPr>
          <w:rFonts w:ascii="Arial" w:hAnsi="Arial" w:cs="Arial"/>
        </w:rPr>
        <w:br w:type="page"/>
      </w:r>
    </w:p>
    <w:p w14:paraId="69448371" w14:textId="74BC5FF7" w:rsidR="00182B4B" w:rsidRDefault="00182B4B" w:rsidP="00182B4B">
      <w:pPr>
        <w:spacing w:line="360" w:lineRule="auto"/>
        <w:rPr>
          <w:rFonts w:ascii="Arial" w:hAnsi="Arial" w:cs="Arial"/>
        </w:rPr>
      </w:pPr>
    </w:p>
    <w:p w14:paraId="62CEA207" w14:textId="77777777" w:rsidR="00182B4B" w:rsidRDefault="00182B4B" w:rsidP="00182B4B">
      <w:pPr>
        <w:spacing w:line="360" w:lineRule="auto"/>
        <w:rPr>
          <w:rFonts w:ascii="Arial" w:hAnsi="Arial" w:cs="Arial"/>
        </w:rPr>
      </w:pPr>
    </w:p>
    <w:p w14:paraId="02EBF5B2" w14:textId="77777777" w:rsidR="00182B4B" w:rsidRPr="00AA1694" w:rsidRDefault="00182B4B" w:rsidP="00182B4B">
      <w:pPr>
        <w:spacing w:line="360" w:lineRule="auto"/>
        <w:rPr>
          <w:rFonts w:ascii="Arial" w:hAnsi="Arial" w:cs="Arial"/>
        </w:rPr>
      </w:pPr>
    </w:p>
    <w:p w14:paraId="16A3AED9" w14:textId="6D124C91" w:rsidR="00182B4B" w:rsidRPr="00AA1694" w:rsidRDefault="00182B4B" w:rsidP="00182B4B">
      <w:pPr>
        <w:spacing w:line="360" w:lineRule="auto"/>
        <w:rPr>
          <w:rFonts w:ascii="Arial" w:hAnsi="Arial" w:cs="Arial"/>
        </w:rPr>
      </w:pPr>
      <w:r w:rsidRPr="00AA1694">
        <w:rPr>
          <w:rFonts w:ascii="Arial" w:hAnsi="Arial" w:cs="Arial"/>
        </w:rPr>
        <w:br w:type="page"/>
      </w:r>
    </w:p>
    <w:p w14:paraId="1B714909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B4B"/>
    <w:rsid w:val="00013D6D"/>
    <w:rsid w:val="000C4033"/>
    <w:rsid w:val="00182B4B"/>
    <w:rsid w:val="004B42CB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5C920"/>
  <w15:chartTrackingRefBased/>
  <w15:docId w15:val="{DA05BCF0-8748-44E9-9010-CC6C8A12A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2B4B"/>
    <w:pPr>
      <w:spacing w:line="259" w:lineRule="auto"/>
    </w:pPr>
    <w:rPr>
      <w:sz w:val="22"/>
      <w:szCs w:val="22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182B4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2B4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2B4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2B4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2B4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2B4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2B4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2B4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2B4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2B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2B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2B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2B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2B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2B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2B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2B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2B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2B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182B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2B4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182B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2B4B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182B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2B4B"/>
    <w:pPr>
      <w:spacing w:line="278" w:lineRule="auto"/>
      <w:ind w:left="720"/>
      <w:contextualSpacing/>
    </w:pPr>
    <w:rPr>
      <w:sz w:val="24"/>
      <w:szCs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182B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2B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2B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2B4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437</Words>
  <Characters>2500</Characters>
  <Application>Microsoft Office Word</Application>
  <DocSecurity>0</DocSecurity>
  <Lines>55</Lines>
  <Paragraphs>11</Paragraphs>
  <ScaleCrop>false</ScaleCrop>
  <Company/>
  <LinksUpToDate>false</LinksUpToDate>
  <CharactersWithSpaces>2926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2026-02-10T08:27:00Z</dcterms:created>
  <dcterms:modified xsi:type="dcterms:W3CDTF">2026-02-10T08:28:00Z</dcterms:modified>
</cp:coreProperties>
</file>