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C49C4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both"/>
        <w:textAlignment w:val="auto"/>
        <w:rPr>
          <w:rFonts w:hint="default" w:ascii="Times New Roman" w:hAnsi="Times New Roman" w:eastAsia="仿宋" w:cs="Times New Roman"/>
          <w:b/>
          <w:bCs/>
          <w:kern w:val="0"/>
          <w:sz w:val="24"/>
          <w:szCs w:val="24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4"/>
          <w:szCs w:val="24"/>
          <w:lang w:val="en-US" w:eastAsia="zh-CN"/>
        </w:rPr>
        <w:t>Supplementary Materials</w:t>
      </w:r>
      <w:r>
        <w:rPr>
          <w:rFonts w:hint="eastAsia" w:ascii="Times New Roman" w:hAnsi="Times New Roman" w:eastAsia="仿宋" w:cs="Times New Roman"/>
          <w:b/>
          <w:bCs/>
          <w:kern w:val="0"/>
          <w:sz w:val="24"/>
          <w:szCs w:val="24"/>
          <w:lang w:val="en-US" w:eastAsia="zh-CN"/>
        </w:rPr>
        <w:t xml:space="preserve"> 1.</w:t>
      </w:r>
      <w:bookmarkStart w:id="0" w:name="_GoBack"/>
      <w:bookmarkEnd w:id="0"/>
    </w:p>
    <w:p w14:paraId="37EF09C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both"/>
        <w:textAlignment w:val="auto"/>
        <w:rPr>
          <w:rFonts w:hint="default" w:ascii="Times New Roman" w:hAnsi="Times New Roman" w:eastAsia="仿宋" w:cs="Times New Roman"/>
          <w:b/>
          <w:bCs/>
          <w:kern w:val="0"/>
          <w:sz w:val="24"/>
          <w:szCs w:val="24"/>
          <w:lang w:val="en-US" w:eastAsia="zh-CN"/>
        </w:rPr>
      </w:pPr>
    </w:p>
    <w:p w14:paraId="11E484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lang w:eastAsia="zh-CN"/>
        </w:rPr>
      </w:pPr>
      <w:r>
        <w:rPr>
          <w:rFonts w:hint="default" w:ascii="Times New Roman" w:hAnsi="Times New Roman" w:cs="Times New Roman" w:eastAsiaTheme="minorEastAsia"/>
          <w:lang w:eastAsia="zh-CN"/>
        </w:rPr>
        <w:drawing>
          <wp:inline distT="0" distB="0" distL="114300" distR="114300">
            <wp:extent cx="4320540" cy="4136390"/>
            <wp:effectExtent l="0" t="0" r="3810" b="16510"/>
            <wp:docPr id="2" name="图片 2" descr="Figure.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. S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413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9C44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Fig. S1</w:t>
      </w:r>
      <w:r>
        <w:rPr>
          <w:rFonts w:hint="default" w:ascii="Times New Roman" w:hAnsi="Times New Roman" w:eastAsia="宋体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>Distribution of TK and NTK genomic variation sites on chromosomes, where the colour represent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s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 the number of mutation sites. </w:t>
      </w:r>
    </w:p>
    <w:p w14:paraId="22373B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 w:eastAsiaTheme="minorEastAsia"/>
          <w:sz w:val="18"/>
          <w:szCs w:val="18"/>
          <w:lang w:val="en-US" w:eastAsia="zh-CN"/>
        </w:rPr>
      </w:pPr>
    </w:p>
    <w:p w14:paraId="32E295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lang w:eastAsia="zh-CN"/>
        </w:rPr>
      </w:pPr>
      <w:r>
        <w:rPr>
          <w:rFonts w:hint="default" w:ascii="Times New Roman" w:hAnsi="Times New Roman" w:cs="Times New Roman" w:eastAsiaTheme="minorEastAsia"/>
          <w:lang w:eastAsia="zh-CN"/>
        </w:rPr>
        <w:drawing>
          <wp:inline distT="0" distB="0" distL="114300" distR="114300">
            <wp:extent cx="5269230" cy="6159500"/>
            <wp:effectExtent l="0" t="0" r="7620" b="12700"/>
            <wp:docPr id="3" name="图片 3" descr="Figure.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. S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15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084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Fig. S2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 Comparison of genomic variation characteristics and number of genetic loci between TK and NTK.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A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Comparison of genomic variation characteristics between TK and NTK.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B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The number of genetic and nongenetic variant loci in TK and NTK single group samples.</w:t>
      </w:r>
    </w:p>
    <w:p w14:paraId="4F3EE7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18"/>
          <w:szCs w:val="18"/>
          <w:lang w:val="en-US" w:eastAsia="zh-CN"/>
        </w:rPr>
      </w:pPr>
    </w:p>
    <w:p w14:paraId="518534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18"/>
          <w:szCs w:val="18"/>
          <w:lang w:val="en-US" w:eastAsia="zh-CN"/>
        </w:rPr>
      </w:pPr>
    </w:p>
    <w:p w14:paraId="45AB11E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both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4D4F26A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  <w:r>
        <w:rPr>
          <w:rFonts w:hint="default" w:ascii="Times New Roman" w:hAnsi="Times New Roman" w:cs="Times New Roman" w:eastAsiaTheme="minorEastAsia"/>
          <w:sz w:val="22"/>
          <w:lang w:eastAsia="zh-CN"/>
        </w:rPr>
        <w:drawing>
          <wp:inline distT="0" distB="0" distL="114300" distR="114300">
            <wp:extent cx="5269230" cy="2057400"/>
            <wp:effectExtent l="0" t="0" r="7620" b="0"/>
            <wp:docPr id="4" name="图片 4" descr="Figure.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. S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659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 xml:space="preserve">Fig. </w:t>
      </w:r>
      <w:r>
        <w:rPr>
          <w:rFonts w:hint="eastAsia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S3</w:t>
      </w:r>
      <w:r>
        <w:rPr>
          <w:rFonts w:hint="default" w:ascii="Times New Roman" w:hAnsi="Times New Roman" w:eastAsia="宋体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Enrichment analysis of genes containing genetic loci and genes containing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nongenetic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 loci.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A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GO enrichment with genetic loci and nongenetic loci, selecting the top 10 biological processes with the highest significance,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where the circle size represents the ratio of target genes enriched in the biological process to background genes enriched in the biological process, and the colour represents the significance level.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B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Enrichment of KEGG genes containing genetic loci and genes containing nongenetic loci, selecting the top 10 pathways with the highest significance,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where the circle size represents the ratio of target genes enriched in the pathway to background genes enriched in the pathway, and the colour represents the significance level.</w:t>
      </w:r>
    </w:p>
    <w:p w14:paraId="411D4B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671D44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1F1234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0A1AA9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6EA3F1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4FAFCE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0BFD2C5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364808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7B57016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0F7C51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  <w:r>
        <w:rPr>
          <w:rFonts w:hint="default" w:ascii="Times New Roman" w:hAnsi="Times New Roman" w:cs="Times New Roman" w:eastAsiaTheme="minorEastAsia"/>
          <w:sz w:val="22"/>
          <w:lang w:eastAsia="zh-CN"/>
        </w:rPr>
        <w:drawing>
          <wp:inline distT="0" distB="0" distL="114300" distR="114300">
            <wp:extent cx="5269230" cy="2327910"/>
            <wp:effectExtent l="0" t="0" r="7620" b="15240"/>
            <wp:docPr id="5" name="图片 5" descr="Figure.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ure. S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CE8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 xml:space="preserve">Fig. </w:t>
      </w:r>
      <w:r>
        <w:rPr>
          <w:rFonts w:hint="eastAsia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S4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 Comparison of methylation rates of TK and NTK methylation types on the genome.</w:t>
      </w:r>
    </w:p>
    <w:p w14:paraId="6B2D21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661C12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3258FB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1E2E14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3E5129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1B1F01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352042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  <w:r>
        <w:rPr>
          <w:rFonts w:hint="default" w:ascii="Times New Roman" w:hAnsi="Times New Roman" w:cs="Times New Roman" w:eastAsiaTheme="minorEastAsia"/>
          <w:sz w:val="22"/>
          <w:lang w:eastAsia="zh-CN"/>
        </w:rPr>
        <w:drawing>
          <wp:inline distT="0" distB="0" distL="114300" distR="114300">
            <wp:extent cx="5269230" cy="5041265"/>
            <wp:effectExtent l="0" t="0" r="7620" b="6985"/>
            <wp:docPr id="6" name="图片 6" descr="Figure.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ure. S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04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BB8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 xml:space="preserve">Fig. </w:t>
      </w:r>
      <w:r>
        <w:rPr>
          <w:rFonts w:hint="eastAsia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S5</w:t>
      </w:r>
      <w:r>
        <w:rPr>
          <w:rFonts w:hint="default" w:ascii="Times New Roman" w:hAnsi="Times New Roman" w:eastAsia="宋体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Distribution of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d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>ifferentially methylated cytosines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 xml:space="preserve"> (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>DMCs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)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 and differentially methylated regions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 xml:space="preserve"> (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>DMRs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)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 on chromosomes.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A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 The distribution of genetic and nongenetic DMCs on chromosomes, where the colour represents the density of DMC.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B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 The distribution of three types of DMRs on chromosomes, where the colour represents the density of DMR.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C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 The distribution of genetic and nongenetic DMRs of CG type on chromosomes, where the colour represents the density of DMR.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D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 The distribution of genetic and nongenetic DMRs of CHG type on chromosomes, where the colour represents the density of DMR. </w:t>
      </w:r>
    </w:p>
    <w:p w14:paraId="78E136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623063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  <w:r>
        <w:rPr>
          <w:rFonts w:hint="default" w:ascii="Times New Roman" w:hAnsi="Times New Roman" w:cs="Times New Roman" w:eastAsiaTheme="minorEastAsia"/>
          <w:sz w:val="22"/>
          <w:lang w:eastAsia="zh-CN"/>
        </w:rPr>
        <w:drawing>
          <wp:inline distT="0" distB="0" distL="114300" distR="114300">
            <wp:extent cx="5269230" cy="3008630"/>
            <wp:effectExtent l="0" t="0" r="7620" b="1270"/>
            <wp:docPr id="7" name="图片 7" descr="Figure.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ure. S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0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608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 xml:space="preserve">Fig. </w:t>
      </w:r>
      <w:r>
        <w:rPr>
          <w:rFonts w:hint="eastAsia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S6</w:t>
      </w:r>
      <w:r>
        <w:rPr>
          <w:rFonts w:hint="default" w:ascii="Times New Roman" w:hAnsi="Times New Roman" w:eastAsia="宋体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R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>epresentative mutants.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A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Nitrogen-efficient mutant K125. The vertical bar represents 20 cm.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B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Comparison of chlorate sensitivity between K125 and WT. The vertical bar represents 5 cm.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C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Drought-tolerant mutant K12. The vertical bar represents 20 cm.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D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Comparison of germination rates of K12 and WT under drought treatment. The vertical bar represents 1 cm.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E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Cold-tolerant mutant K82. The vertical bar represents 20 cm.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F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Comparison of germination rates between K82 and WT under cold treatment. The vertical bar represents 1 cm.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G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Grain-type mutant K44. 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H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Comparison of grain type between K44 and WT. The vertical bar represents 1 cm.</w:t>
      </w:r>
    </w:p>
    <w:p w14:paraId="3A6995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26CB9E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0EC08C3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57FF09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3C1601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4CC93E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69D2FA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50A30B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  <w:r>
        <w:rPr>
          <w:rFonts w:hint="default" w:ascii="Times New Roman" w:hAnsi="Times New Roman" w:cs="Times New Roman" w:eastAsiaTheme="minorEastAsia"/>
          <w:sz w:val="22"/>
          <w:lang w:eastAsia="zh-CN"/>
        </w:rPr>
        <w:drawing>
          <wp:inline distT="0" distB="0" distL="114300" distR="114300">
            <wp:extent cx="5269230" cy="2623185"/>
            <wp:effectExtent l="0" t="0" r="7620" b="5715"/>
            <wp:docPr id="8" name="图片 8" descr="Figure. 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ure. S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2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529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 xml:space="preserve">Fig. </w:t>
      </w:r>
      <w:r>
        <w:rPr>
          <w:rFonts w:hint="eastAsia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S7</w:t>
      </w:r>
      <w:r>
        <w:rPr>
          <w:rFonts w:hint="default" w:ascii="Times New Roman" w:hAnsi="Times New Roman" w:eastAsia="宋体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Enrichment analysis of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differentially expressed genes (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>DEGs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)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 with different treatments at K125.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A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GO enrichment of DEGs in different treatments, selecting the top 10 biological processes with significant differences,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where the circle size represents the ratio of target genes enriched in the biological process to background genes enriched in the biological process, and the colour represents the significance level.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B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KEGG enrichment of DEGs in different treatments, selecting the top 10 pathways with significant differences,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where the circle size represents the ratio of target genes enriched in the pathway to background genes enriched in the pathway, and the colour represents the significance level.</w:t>
      </w:r>
    </w:p>
    <w:p w14:paraId="2A0CB6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 w14:paraId="62A540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12923A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077D3D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428A4C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4EDCCD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37589C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7EB6156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6009E9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  <w:r>
        <w:rPr>
          <w:rFonts w:hint="default" w:ascii="Times New Roman" w:hAnsi="Times New Roman" w:cs="Times New Roman" w:eastAsiaTheme="minorEastAsia"/>
          <w:sz w:val="22"/>
          <w:lang w:eastAsia="zh-CN"/>
        </w:rPr>
        <w:drawing>
          <wp:inline distT="0" distB="0" distL="114300" distR="114300">
            <wp:extent cx="5269230" cy="2301875"/>
            <wp:effectExtent l="0" t="0" r="7620" b="3175"/>
            <wp:docPr id="9" name="图片 9" descr="Figure. 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igure. S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DECB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 xml:space="preserve">Fig. </w:t>
      </w:r>
      <w:r>
        <w:rPr>
          <w:rFonts w:hint="eastAsia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S8</w:t>
      </w:r>
      <w:r>
        <w:rPr>
          <w:rFonts w:hint="default" w:ascii="Times New Roman" w:hAnsi="Times New Roman" w:eastAsia="宋体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Enrichment analysis of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differentially expressed genes (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>DEGs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)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 with different treatments at K12.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 xml:space="preserve"> A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GO enrichment of DEGs in different treatments, selecting the top 10 biological processes with significant differences,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 xml:space="preserve">where the circle size represents the ratio of target genes enriched in the biological process to background genes enriched in the biological process, and the colour represents the significance level.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B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KEGG enrichment of DEGs in different treatments, selecting the top 10 pathways with significant differences,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where the circle size represents the ratio of target genes enriched in the pathway to background genes enriched in the pathway, and the colour represents the significance level.</w:t>
      </w:r>
    </w:p>
    <w:p w14:paraId="1BB1D5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 w14:paraId="4710EE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425079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5B3B4C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175182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346137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3D3362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1C1954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4663191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</w:rPr>
      </w:pPr>
    </w:p>
    <w:p w14:paraId="46FF64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  <w:r>
        <w:rPr>
          <w:rFonts w:hint="default" w:ascii="Times New Roman" w:hAnsi="Times New Roman" w:cs="Times New Roman" w:eastAsiaTheme="minorEastAsia"/>
          <w:sz w:val="22"/>
          <w:lang w:eastAsia="zh-CN"/>
        </w:rPr>
        <w:drawing>
          <wp:inline distT="0" distB="0" distL="114300" distR="114300">
            <wp:extent cx="5269230" cy="2443480"/>
            <wp:effectExtent l="0" t="0" r="7620" b="13970"/>
            <wp:docPr id="10" name="图片 10" descr="Figure. 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ure. S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E48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 xml:space="preserve">Fig. </w:t>
      </w:r>
      <w:r>
        <w:rPr>
          <w:rFonts w:hint="eastAsia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S9</w:t>
      </w:r>
      <w:r>
        <w:rPr>
          <w:rFonts w:hint="default" w:ascii="Times New Roman" w:hAnsi="Times New Roman" w:eastAsia="宋体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Enrichment analysis of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differentially expressed genes (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>DEGs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)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 with different treatments at K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44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>.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A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GO enrichment of DEGs in different treatments, selecting the top 10 biological processes with significant differences,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where the circle size represents the ratio of target genes enriched in the biological process to background genes enriched in the biological process, and the colour represents the significance level.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B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KEGG enrichment of DEGs in different treatments, selecting the top 10 pathways with significant differences,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where the circle size represents the ratio of target genes enriched in the pathway to background genes enriched in the pathway, and the colour represents the significance level.</w:t>
      </w:r>
    </w:p>
    <w:p w14:paraId="00185FD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 w14:paraId="3806E87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 w14:paraId="20226A0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 w14:paraId="797FCB6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 w14:paraId="681EDA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 w14:paraId="5388B0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 w14:paraId="01A8B05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 w14:paraId="23C8A3D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 w14:paraId="0C80E0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 w14:paraId="407530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  <w:r>
        <w:rPr>
          <w:rFonts w:hint="default" w:ascii="Times New Roman" w:hAnsi="Times New Roman" w:cs="Times New Roman" w:eastAsiaTheme="minorEastAsia"/>
          <w:sz w:val="22"/>
          <w:lang w:eastAsia="zh-CN"/>
        </w:rPr>
        <w:drawing>
          <wp:inline distT="0" distB="0" distL="114300" distR="114300">
            <wp:extent cx="5269230" cy="1864360"/>
            <wp:effectExtent l="0" t="0" r="7620" b="2540"/>
            <wp:docPr id="11" name="图片 11" descr="Figure. 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igure. S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6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6B6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 xml:space="preserve">Fig. </w:t>
      </w:r>
      <w:r>
        <w:rPr>
          <w:rFonts w:hint="eastAsia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S</w:t>
      </w: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10</w:t>
      </w:r>
      <w:r>
        <w:rPr>
          <w:rFonts w:hint="default" w:ascii="Times New Roman" w:hAnsi="Times New Roman" w:eastAsia="宋体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Differentially expressed genes (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>DEGs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)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 enrichment analysis of K82.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 xml:space="preserve"> A 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GO enrichment of DEGs in different treatments, selecting the top 10 biological processes with significant differences,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where the circle size represents the number of target genes enriched in the biological process, and the colour represents the significance level.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B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KEGG enrichment of DEGs in different treatments, selecting the top 10 pathways with significant differences,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where the circle size represents the number of target genes enriched in the pathway, and the colour represents the significance level.</w:t>
      </w:r>
    </w:p>
    <w:p w14:paraId="4948071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</w:p>
    <w:p w14:paraId="38752A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13"/>
          <w:szCs w:val="13"/>
          <w:lang w:val="en-US" w:eastAsia="zh-CN"/>
        </w:rPr>
      </w:pPr>
    </w:p>
    <w:p w14:paraId="4481B6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13"/>
          <w:szCs w:val="13"/>
          <w:lang w:val="en-US" w:eastAsia="zh-CN"/>
        </w:rPr>
      </w:pPr>
    </w:p>
    <w:p w14:paraId="449024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13"/>
          <w:szCs w:val="13"/>
          <w:lang w:val="en-US" w:eastAsia="zh-CN"/>
        </w:rPr>
      </w:pPr>
    </w:p>
    <w:p w14:paraId="17126C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13"/>
          <w:szCs w:val="13"/>
          <w:lang w:val="en-US" w:eastAsia="zh-CN"/>
        </w:rPr>
      </w:pPr>
    </w:p>
    <w:p w14:paraId="651FFA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13"/>
          <w:szCs w:val="13"/>
          <w:lang w:val="en-US" w:eastAsia="zh-CN"/>
        </w:rPr>
      </w:pPr>
    </w:p>
    <w:p w14:paraId="3B867A7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13"/>
          <w:szCs w:val="13"/>
          <w:lang w:val="en-US" w:eastAsia="zh-CN"/>
        </w:rPr>
      </w:pPr>
    </w:p>
    <w:p w14:paraId="0B3259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13"/>
          <w:szCs w:val="13"/>
          <w:lang w:val="en-US" w:eastAsia="zh-CN"/>
        </w:rPr>
      </w:pPr>
    </w:p>
    <w:p w14:paraId="147A81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13"/>
          <w:szCs w:val="13"/>
          <w:lang w:val="en-US" w:eastAsia="zh-CN"/>
        </w:rPr>
      </w:pPr>
    </w:p>
    <w:p w14:paraId="033D1B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13"/>
          <w:szCs w:val="13"/>
          <w:lang w:val="en-US" w:eastAsia="zh-CN"/>
        </w:rPr>
      </w:pPr>
    </w:p>
    <w:p w14:paraId="048D2F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13"/>
          <w:szCs w:val="13"/>
          <w:lang w:val="en-US" w:eastAsia="zh-CN"/>
        </w:rPr>
      </w:pPr>
    </w:p>
    <w:p w14:paraId="7C9F8F6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  <w:r>
        <w:rPr>
          <w:rFonts w:hint="default" w:ascii="Times New Roman" w:hAnsi="Times New Roman" w:cs="Times New Roman" w:eastAsiaTheme="minorEastAsia"/>
          <w:sz w:val="22"/>
          <w:lang w:eastAsia="zh-CN"/>
        </w:rPr>
        <w:drawing>
          <wp:inline distT="0" distB="0" distL="114300" distR="114300">
            <wp:extent cx="5269230" cy="3793490"/>
            <wp:effectExtent l="0" t="0" r="7620" b="16510"/>
            <wp:docPr id="12" name="图片 12" descr="Figure. S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igure. S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9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8B1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/>
          <w:sz w:val="20"/>
          <w:szCs w:val="20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 xml:space="preserve">Fig. </w:t>
      </w:r>
      <w:r>
        <w:rPr>
          <w:rFonts w:hint="eastAsia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S11</w:t>
      </w:r>
      <w:r>
        <w:rPr>
          <w:rFonts w:hint="default" w:ascii="Times New Roman" w:hAnsi="Times New Roman" w:eastAsia="宋体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>GO and KEGG enrichment of intersecting genes.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A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GO enrichment of differentially expressed genes (</w:t>
      </w:r>
      <w:r>
        <w:rPr>
          <w:rFonts w:hint="default" w:ascii="Times New Roman" w:hAnsi="Times New Roman" w:cs="Times New Roman" w:eastAsiaTheme="minorEastAsia"/>
          <w:sz w:val="20"/>
          <w:szCs w:val="20"/>
          <w:lang w:val="en-US" w:eastAsia="zh-CN"/>
        </w:rPr>
        <w:t>DEGs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) in different treatments, selecting the top 10 biological processes with significant differences,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where the circle size represents the ratio of target genes enriched in the biological process to background genes enriched in the biological process, and the colour represents the significance level.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B</w:t>
      </w:r>
      <w:r>
        <w:rPr>
          <w:rFonts w:hint="default" w:ascii="Times New Roman" w:hAnsi="Times New Roman" w:cs="Times New Roman"/>
          <w:sz w:val="20"/>
          <w:szCs w:val="20"/>
          <w:lang w:val="en-US" w:eastAsia="zh-CN"/>
        </w:rPr>
        <w:t xml:space="preserve"> KEGG enrichment of DEGs in different treatments, selecting the top 10 pathways with significant differences, </w:t>
      </w: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en-US" w:eastAsia="zh-CN"/>
        </w:rPr>
        <w:t>where the circle size represents the number of target genes enriched in the pathway, and the colour represents the significance level.</w:t>
      </w:r>
    </w:p>
    <w:p w14:paraId="65FEF2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0CE27B5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01D47F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68E2CE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6A5D67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both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p w14:paraId="25F560C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  <w:r>
        <w:rPr>
          <w:rFonts w:hint="default" w:ascii="Times New Roman" w:hAnsi="Times New Roman" w:cs="Times New Roman" w:eastAsiaTheme="minorEastAsia"/>
          <w:sz w:val="22"/>
          <w:lang w:eastAsia="zh-CN"/>
        </w:rPr>
        <w:drawing>
          <wp:inline distT="0" distB="0" distL="114300" distR="114300">
            <wp:extent cx="5269230" cy="2405380"/>
            <wp:effectExtent l="0" t="0" r="7620" b="13970"/>
            <wp:docPr id="13" name="图片 13" descr="Figure. S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igure. S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F759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left"/>
        <w:textAlignment w:val="auto"/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 xml:space="preserve">Fig. </w:t>
      </w:r>
      <w:r>
        <w:rPr>
          <w:rFonts w:hint="eastAsia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S</w:t>
      </w:r>
      <w:r>
        <w:rPr>
          <w:rFonts w:hint="default" w:ascii="Times New Roman" w:hAnsi="Times New Roman" w:eastAsia="仿宋" w:cs="Times New Roman"/>
          <w:b/>
          <w:bCs/>
          <w:kern w:val="0"/>
          <w:sz w:val="20"/>
          <w:szCs w:val="20"/>
          <w:lang w:val="en-US" w:eastAsia="zh-CN"/>
        </w:rPr>
        <w:t>12</w:t>
      </w:r>
      <w:r>
        <w:rPr>
          <w:rFonts w:hint="default" w:ascii="Times New Roman" w:hAnsi="Times New Roman" w:eastAsia="宋体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>Q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 xml:space="preserve">uantitative reverse transcription polymerase chain reaction (qRT-PCR) validation of </w:t>
      </w:r>
      <w:r>
        <w:rPr>
          <w:rFonts w:hint="default" w:ascii="Times New Roman" w:hAnsi="Times New Roman" w:cs="Times New Roman"/>
          <w:b/>
          <w:bCs/>
          <w:sz w:val="20"/>
          <w:szCs w:val="20"/>
          <w:lang w:val="en-US" w:eastAsia="zh-CN"/>
        </w:rPr>
        <w:t xml:space="preserve">9 </w:t>
      </w:r>
      <w:r>
        <w:rPr>
          <w:rFonts w:hint="default" w:ascii="Times New Roman" w:hAnsi="Times New Roman" w:cs="Times New Roman" w:eastAsiaTheme="minorEastAsia"/>
          <w:b/>
          <w:bCs/>
          <w:sz w:val="20"/>
          <w:szCs w:val="20"/>
          <w:lang w:val="en-US" w:eastAsia="zh-CN"/>
        </w:rPr>
        <w:t>candidate genes.</w:t>
      </w:r>
    </w:p>
    <w:p w14:paraId="07F127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default" w:ascii="Times New Roman" w:hAnsi="Times New Roman" w:cs="Times New Roman" w:eastAsiaTheme="minorEastAsia"/>
          <w:sz w:val="22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5F93861"/>
    <w:rsid w:val="05F93861"/>
    <w:rsid w:val="51AB6549"/>
    <w:rsid w:val="5C21465A"/>
    <w:rsid w:val="66B7634B"/>
    <w:rsid w:val="70D1413C"/>
    <w:rsid w:val="72181CB5"/>
    <w:rsid w:val="7CA37C99"/>
    <w:rsid w:val="7D3731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901</Words>
  <Characters>5098</Characters>
  <Lines>0</Lines>
  <Paragraphs>0</Paragraphs>
  <TotalTime>6</TotalTime>
  <ScaleCrop>false</ScaleCrop>
  <LinksUpToDate>false</LinksUpToDate>
  <CharactersWithSpaces>5990</CharactersWithSpaces>
  <Application>WPS Office_12.1.0.24655_F1E327BC-269C-435d-A152-05C5408002CA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2025-12-11T14:05:00Z</dcterms:created>
  <dc:creator>Aaron</dc:creator>
  <cp:lastModifiedBy>Administrator</cp:lastModifiedBy>
  <dcterms:modified xsi:type="dcterms:W3CDTF">2026-02-03T13:22:03Z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2052-12.1.0.24655</vt:lpwstr>
  </property>
  <property fmtid="{D5CDD505-2E9C-101B-9397-08002B2CF9AE}" pid="3" name="ICV">
    <vt:lpwstr>7978EF4D5CC9470DB35D3787AD0F16C0_11</vt:lpwstr>
  </property>
  <property fmtid="{D5CDD505-2E9C-101B-9397-08002B2CF9AE}" pid="4" name="KSOTemplateDocerSaveRecord">
    <vt:lpwstr>eyJoZGlkIjoiY2U5OGFhY2QwMzgyZjNlNGEzMGFiMGE3MDY2YjJmNTYiLCJ1c2VySWQiOiIyNTc4Nzk4NTUifQ==</vt:lpwstr>
  </property>
</Properties>
</file>