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F8C3F" w14:textId="77777777" w:rsidR="00E1681F" w:rsidRPr="003E121E" w:rsidRDefault="00E1681F" w:rsidP="00E1681F">
      <w:pPr>
        <w:spacing w:after="0" w:line="360" w:lineRule="auto"/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</w:pPr>
      <w:r>
        <w:rPr>
          <w:rFonts w:ascii="Arial" w:hAnsi="Arial" w:cs="Arial"/>
          <w:b/>
          <w:bCs/>
          <w:color w:val="000000" w:themeColor="text1"/>
          <w:sz w:val="24"/>
          <w:szCs w:val="24"/>
          <w:lang w:val="en-GB"/>
        </w:rPr>
        <w:t>APPENDICES</w:t>
      </w:r>
    </w:p>
    <w:p w14:paraId="06C40323" w14:textId="77777777" w:rsidR="00E1681F" w:rsidRPr="00CB7DCA" w:rsidRDefault="00E1681F" w:rsidP="00E1681F">
      <w:pPr>
        <w:spacing w:after="0" w:line="240" w:lineRule="auto"/>
        <w:rPr>
          <w:rFonts w:ascii="Arial" w:hAnsi="Arial" w:cs="Arial"/>
          <w:color w:val="000000" w:themeColor="text1"/>
          <w:sz w:val="24"/>
          <w:szCs w:val="24"/>
          <w:lang w:val="en-GB"/>
        </w:rPr>
      </w:pPr>
      <w:r w:rsidRPr="00CB7DCA">
        <w:rPr>
          <w:rFonts w:ascii="Arial" w:hAnsi="Arial" w:cs="Arial"/>
          <w:color w:val="000000" w:themeColor="text1"/>
          <w:sz w:val="24"/>
          <w:szCs w:val="24"/>
          <w:lang w:val="en-GB"/>
        </w:rPr>
        <w:t xml:space="preserve">Step-by-step counselling guide in using </w:t>
      </w:r>
      <w:r>
        <w:rPr>
          <w:rFonts w:ascii="Arial" w:hAnsi="Arial" w:cs="Arial"/>
          <w:color w:val="000000" w:themeColor="text1"/>
          <w:sz w:val="24"/>
          <w:szCs w:val="24"/>
          <w:lang w:val="en-GB"/>
        </w:rPr>
        <w:t xml:space="preserve">a </w:t>
      </w:r>
      <w:r w:rsidRPr="00CB7DCA">
        <w:rPr>
          <w:rFonts w:ascii="Arial" w:hAnsi="Arial" w:cs="Arial"/>
          <w:color w:val="000000" w:themeColor="text1"/>
          <w:sz w:val="24"/>
          <w:szCs w:val="24"/>
          <w:lang w:val="en-GB"/>
        </w:rPr>
        <w:t>pressuri</w:t>
      </w:r>
      <w:r>
        <w:rPr>
          <w:rFonts w:ascii="Arial" w:hAnsi="Arial" w:cs="Arial"/>
          <w:color w:val="000000" w:themeColor="text1"/>
          <w:sz w:val="24"/>
          <w:szCs w:val="24"/>
          <w:lang w:val="en-GB"/>
        </w:rPr>
        <w:t>s</w:t>
      </w:r>
      <w:r w:rsidRPr="00CB7DCA">
        <w:rPr>
          <w:rFonts w:ascii="Arial" w:hAnsi="Arial" w:cs="Arial"/>
          <w:color w:val="000000" w:themeColor="text1"/>
          <w:sz w:val="24"/>
          <w:szCs w:val="24"/>
          <w:lang w:val="en-GB"/>
        </w:rPr>
        <w:t>ed metered-dose inhaler and facemask chamber</w:t>
      </w:r>
      <w:r w:rsidRPr="00CB7DCA">
        <w:rPr>
          <w:rFonts w:ascii="Arial" w:hAnsi="Arial" w:cs="Arial"/>
          <w:color w:val="000000" w:themeColor="text1"/>
          <w:sz w:val="24"/>
          <w:szCs w:val="24"/>
          <w:lang w:val="en-GB"/>
        </w:rPr>
        <w:fldChar w:fldCharType="begin"/>
      </w:r>
      <w:r>
        <w:rPr>
          <w:rFonts w:ascii="Arial" w:hAnsi="Arial" w:cs="Arial"/>
          <w:color w:val="000000" w:themeColor="text1"/>
          <w:sz w:val="24"/>
          <w:szCs w:val="24"/>
          <w:lang w:val="en-GB"/>
        </w:rPr>
        <w:instrText xml:space="preserve"> ADDIN EN.CITE &lt;EndNote&gt;&lt;Cite&gt;&lt;Year&gt;2019&lt;/Year&gt;&lt;RecNum&gt;13&lt;/RecNum&gt;&lt;DisplayText&gt;&lt;style face="superscript"&gt;17&lt;/style&gt;&lt;/DisplayText&gt;&lt;record&gt;&lt;rec-number&gt;13&lt;/rec-number&gt;&lt;foreign-keys&gt;&lt;key app="EN" db-id="tvttae92tewvd6e2rw85ewtv2f59df5vadxr" timestamp="1584106297"&gt;13&lt;/key&gt;&lt;/foreign-keys&gt;&lt;ref-type name="Government Document"&gt;46&lt;/ref-type&gt;&lt;contributors&gt;&lt;/contributors&gt;&lt;titles&gt;&lt;title&gt;Medication Counseling Guideline 3rd Edition&lt;/title&gt;&lt;/titles&gt;&lt;dates&gt;&lt;year&gt;2019&lt;/year&gt;&lt;/dates&gt;&lt;publisher&gt;Pharmaceutical Services Program, Ministry of Health, Malaysia&lt;/publisher&gt;&lt;urls&gt;&lt;/urls&gt;&lt;/record&gt;&lt;/Cite&gt;&lt;Cite&gt;&lt;Year&gt;2019&lt;/Year&gt;&lt;RecNum&gt;13&lt;/RecNum&gt;&lt;record&gt;&lt;rec-number&gt;13&lt;/rec-number&gt;&lt;foreign-keys&gt;&lt;key app="EN" db-id="tvttae92tewvd6e2rw85ewtv2f59df5vadxr" timestamp="1584106297"&gt;13&lt;/key&gt;&lt;/foreign-keys&gt;&lt;ref-type name="Government Document"&gt;46&lt;/ref-type&gt;&lt;contributors&gt;&lt;/contributors&gt;&lt;titles&gt;&lt;title&gt;Medication Counseling Guideline 3rd Edition&lt;/title&gt;&lt;/titles&gt;&lt;dates&gt;&lt;year&gt;2019&lt;/year&gt;&lt;/dates&gt;&lt;publisher&gt;Pharmaceutical Services Program, Ministry of Health, Malaysia&lt;/publisher&gt;&lt;urls&gt;&lt;/urls&gt;&lt;/record&gt;&lt;/Cite&gt;&lt;Cite&gt;&lt;Year&gt;2019&lt;/Year&gt;&lt;RecNum&gt;13&lt;/RecNum&gt;&lt;record&gt;&lt;rec-number&gt;13&lt;/rec-number&gt;&lt;foreign-keys&gt;&lt;key app="EN" db-id="tvttae92tewvd6e2rw85ewtv2f59df5vadxr" timestamp="1584106297"&gt;13&lt;/key&gt;&lt;/foreign-keys&gt;&lt;ref-type name="Government Document"&gt;46&lt;/ref-type&gt;&lt;contributors&gt;&lt;/contributors&gt;&lt;titles&gt;&lt;title&gt;Medication Counseling Guideline 3rd Edition&lt;/title&gt;&lt;/titles&gt;&lt;dates&gt;&lt;year&gt;2019&lt;/year&gt;&lt;/dates&gt;&lt;publisher&gt;Pharmaceutical Services Program, Ministry of Health, Malaysia&lt;/publisher&gt;&lt;urls&gt;&lt;/urls&gt;&lt;/record&gt;&lt;/Cite&gt;&lt;/EndNote&gt;</w:instrText>
      </w:r>
      <w:r w:rsidRPr="00CB7DCA">
        <w:rPr>
          <w:rFonts w:ascii="Arial" w:hAnsi="Arial" w:cs="Arial"/>
          <w:color w:val="000000" w:themeColor="text1"/>
          <w:sz w:val="24"/>
          <w:szCs w:val="24"/>
          <w:lang w:val="en-GB"/>
        </w:rPr>
        <w:fldChar w:fldCharType="separate"/>
      </w:r>
      <w:r w:rsidRPr="00417E9B">
        <w:rPr>
          <w:rFonts w:ascii="Arial" w:hAnsi="Arial" w:cs="Arial"/>
          <w:noProof/>
          <w:color w:val="000000" w:themeColor="text1"/>
          <w:sz w:val="24"/>
          <w:szCs w:val="24"/>
          <w:vertAlign w:val="superscript"/>
          <w:lang w:val="en-GB"/>
        </w:rPr>
        <w:t>17</w:t>
      </w:r>
      <w:r w:rsidRPr="00CB7DCA">
        <w:rPr>
          <w:rFonts w:ascii="Arial" w:hAnsi="Arial" w:cs="Arial"/>
          <w:color w:val="000000" w:themeColor="text1"/>
          <w:sz w:val="24"/>
          <w:szCs w:val="24"/>
          <w:lang w:val="en-GB"/>
        </w:rPr>
        <w:fldChar w:fldCharType="end"/>
      </w:r>
      <w:r w:rsidRPr="00CB7DCA">
        <w:rPr>
          <w:rFonts w:ascii="Arial" w:hAnsi="Arial" w:cs="Arial"/>
          <w:color w:val="000000" w:themeColor="text1"/>
          <w:sz w:val="24"/>
          <w:szCs w:val="24"/>
          <w:lang w:val="en-GB"/>
        </w:rPr>
        <w:t>:</w:t>
      </w:r>
    </w:p>
    <w:tbl>
      <w:tblPr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6"/>
      </w:tblGrid>
      <w:tr w:rsidR="00E1681F" w:rsidRPr="00CB7DCA" w14:paraId="608DDB39" w14:textId="77777777" w:rsidTr="00777982">
        <w:trPr>
          <w:trHeight w:val="448"/>
        </w:trPr>
        <w:tc>
          <w:tcPr>
            <w:tcW w:w="9776" w:type="dxa"/>
            <w:shd w:val="clear" w:color="auto" w:fill="D0CECE"/>
            <w:vAlign w:val="center"/>
          </w:tcPr>
          <w:p w14:paraId="28B91CAD" w14:textId="77777777" w:rsidR="00E1681F" w:rsidRPr="00533918" w:rsidRDefault="00E1681F" w:rsidP="00777982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  <w:t xml:space="preserve">Improvised </w:t>
            </w:r>
            <w:r w:rsidRPr="00533918">
              <w:rPr>
                <w:rFonts w:ascii="Arial" w:hAnsi="Arial" w:cs="Arial"/>
                <w:b/>
                <w:bCs/>
                <w:color w:val="000000" w:themeColor="text1"/>
                <w:lang w:val="en-GB"/>
              </w:rPr>
              <w:t>Counselling Check-list</w:t>
            </w:r>
          </w:p>
        </w:tc>
      </w:tr>
      <w:tr w:rsidR="00E1681F" w:rsidRPr="00CB7DCA" w14:paraId="13B83EB0" w14:textId="77777777" w:rsidTr="00777982">
        <w:trPr>
          <w:trHeight w:val="1320"/>
        </w:trPr>
        <w:tc>
          <w:tcPr>
            <w:tcW w:w="9776" w:type="dxa"/>
            <w:vAlign w:val="center"/>
          </w:tcPr>
          <w:p w14:paraId="3D20081D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MEDICATION DELIVERY DEVICES </w:t>
            </w:r>
          </w:p>
          <w:p w14:paraId="10E41FFF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Inhaled medication using an inhaler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device is the preferred route of delivery </w:t>
            </w:r>
          </w:p>
          <w:p w14:paraId="1AAC3CDA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Direct and faster delivery of the medication into the airways</w:t>
            </w:r>
          </w:p>
          <w:p w14:paraId="5CA7280C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The likelihood of systemic side effects is also reduced</w:t>
            </w:r>
          </w:p>
        </w:tc>
      </w:tr>
      <w:tr w:rsidR="00E1681F" w:rsidRPr="00CB7DCA" w14:paraId="14464FC0" w14:textId="77777777" w:rsidTr="00777982">
        <w:trPr>
          <w:trHeight w:val="2061"/>
        </w:trPr>
        <w:tc>
          <w:tcPr>
            <w:tcW w:w="9776" w:type="dxa"/>
            <w:vAlign w:val="center"/>
          </w:tcPr>
          <w:p w14:paraId="1E498FC0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>DIFFERENTIATE THE RELIEVER AND CONTROLLER MEDICINES</w:t>
            </w:r>
          </w:p>
          <w:p w14:paraId="071C79DE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                                    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Reverse the airway bronchoconstriction</w:t>
            </w:r>
          </w:p>
          <w:p w14:paraId="6A7BE734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>RELIEVER MEDICINE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To relieve symptoms of shortness of breath &amp; wheezing</w:t>
            </w:r>
          </w:p>
          <w:p w14:paraId="2E61A084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                                    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To bring reliever medicine everywhere they go</w:t>
            </w:r>
          </w:p>
          <w:p w14:paraId="7257ADA2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cr/>
              <w:t xml:space="preserve"> </w:t>
            </w: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CONTROLLER MEDICINE 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Reduce inflammation in the airways</w:t>
            </w:r>
          </w:p>
          <w:p w14:paraId="28AD1D35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                                             Must be used regularly as directed by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the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doctor</w:t>
            </w:r>
          </w:p>
        </w:tc>
      </w:tr>
      <w:tr w:rsidR="00E1681F" w:rsidRPr="00CB7DCA" w14:paraId="75799CDF" w14:textId="77777777" w:rsidTr="00777982">
        <w:trPr>
          <w:trHeight w:val="5946"/>
        </w:trPr>
        <w:tc>
          <w:tcPr>
            <w:tcW w:w="9776" w:type="dxa"/>
            <w:vAlign w:val="center"/>
          </w:tcPr>
          <w:p w14:paraId="686E35E4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>AEROHAMBER WITH FACEMASK</w:t>
            </w:r>
          </w:p>
          <w:p w14:paraId="67164E0F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Visually check the chamber to ensure no foreign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objects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and all parts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are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intact</w:t>
            </w:r>
          </w:p>
          <w:p w14:paraId="5DBD744F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Remove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the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cap of the </w:t>
            </w:r>
            <w:proofErr w:type="spellStart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pMDI</w:t>
            </w:r>
            <w:proofErr w:type="spellEnd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and shake 3-5 times before use</w:t>
            </w:r>
          </w:p>
          <w:p w14:paraId="4823D2E4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Attach the mouthpiece of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the </w:t>
            </w:r>
            <w:proofErr w:type="spellStart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pMDI</w:t>
            </w:r>
            <w:proofErr w:type="spellEnd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to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the back of the facemask chamber</w:t>
            </w:r>
          </w:p>
          <w:p w14:paraId="215E46A7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Enclose the mask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around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the face and ensure a good seal</w:t>
            </w:r>
          </w:p>
          <w:p w14:paraId="38C935A2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  </w:t>
            </w:r>
          </w:p>
          <w:p w14:paraId="1A1B4DD6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  </w:t>
            </w:r>
            <w:r w:rsidRPr="00533918">
              <w:rPr>
                <w:rFonts w:ascii="Arial" w:hAnsi="Arial" w:cs="Arial"/>
                <w:i/>
                <w:iCs/>
                <w:color w:val="000000" w:themeColor="text1"/>
                <w:u w:val="single"/>
                <w:lang w:val="en-GB"/>
              </w:rPr>
              <w:t>Conventional method</w:t>
            </w: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     </w:t>
            </w:r>
          </w:p>
          <w:p w14:paraId="2485D73F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Hold tightly on to the </w:t>
            </w:r>
            <w:proofErr w:type="spellStart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pMDI</w:t>
            </w:r>
            <w:proofErr w:type="spellEnd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and the back of the valved holding chamber</w:t>
            </w:r>
          </w:p>
          <w:p w14:paraId="3D9F50D2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Press the facemask gently against the child to ensure a good seal</w:t>
            </w:r>
          </w:p>
          <w:p w14:paraId="23EC6653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The other hand supports the child’s head to prevent it from moving</w:t>
            </w:r>
          </w:p>
          <w:p w14:paraId="3F1E566B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</w:pPr>
          </w:p>
          <w:p w14:paraId="09E61FAA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  </w:t>
            </w:r>
            <w:r w:rsidRPr="00920AEA">
              <w:rPr>
                <w:rFonts w:ascii="Arial" w:hAnsi="Arial" w:cs="Arial"/>
                <w:i/>
                <w:iCs/>
                <w:color w:val="000000" w:themeColor="text1"/>
                <w:u w:val="single"/>
                <w:lang w:val="en-GB"/>
              </w:rPr>
              <w:t>Alternative method: Palm</w:t>
            </w:r>
            <w:r w:rsidRPr="00533918">
              <w:rPr>
                <w:rFonts w:ascii="Arial" w:hAnsi="Arial" w:cs="Arial"/>
                <w:i/>
                <w:iCs/>
                <w:color w:val="000000" w:themeColor="text1"/>
                <w:u w:val="single"/>
                <w:lang w:val="en-GB"/>
              </w:rPr>
              <w:t>-seal method</w:t>
            </w: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 </w:t>
            </w:r>
          </w:p>
          <w:p w14:paraId="5C597999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Place your arm around the back of the child’s neck</w:t>
            </w:r>
          </w:p>
          <w:p w14:paraId="6F9ACF4D" w14:textId="77777777" w:rsidR="00E1681F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Hold and grip the lower part of the facemask using the thumb, index and middle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fingers w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hile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the </w:t>
            </w:r>
          </w:p>
          <w:p w14:paraId="210FAC51" w14:textId="77777777" w:rsidR="00E1681F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palm, ring and little fingers support the chin and cheeks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of the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child to prevent the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facemask from</w:t>
            </w:r>
          </w:p>
          <w:p w14:paraId="71527644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 dislodging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when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the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child’s head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moves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</w:p>
          <w:p w14:paraId="038FFC8D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On the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other hand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>,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be ready to press the </w:t>
            </w:r>
            <w:proofErr w:type="spellStart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pMDI</w:t>
            </w:r>
            <w:proofErr w:type="spellEnd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.</w:t>
            </w:r>
          </w:p>
          <w:p w14:paraId="45D86BCA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</w:p>
          <w:p w14:paraId="1AABF190" w14:textId="77777777" w:rsidR="00E1681F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Press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the </w:t>
            </w:r>
            <w:proofErr w:type="spellStart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pMDI</w:t>
            </w:r>
            <w:proofErr w:type="spellEnd"/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once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,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allow the child to breathe normally for 8-10 breaths while holding the mask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</w:p>
          <w:p w14:paraId="515ED83C" w14:textId="77777777" w:rsidR="00E1681F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firmly.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If additional puff is required, wait for 30-60 seconds before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administering the second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puff.</w:t>
            </w:r>
          </w:p>
          <w:p w14:paraId="3E9A551B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Repeat the same steps as above.</w:t>
            </w:r>
          </w:p>
          <w:p w14:paraId="41BFC872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Wipe the mouth and offer some fluids to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the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child after using 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an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inhaled corticosteroid.</w:t>
            </w:r>
          </w:p>
        </w:tc>
      </w:tr>
      <w:tr w:rsidR="00E1681F" w:rsidRPr="00CB7DCA" w14:paraId="7270A25D" w14:textId="77777777" w:rsidTr="00777982">
        <w:trPr>
          <w:trHeight w:val="1410"/>
        </w:trPr>
        <w:tc>
          <w:tcPr>
            <w:tcW w:w="9776" w:type="dxa"/>
            <w:vAlign w:val="center"/>
          </w:tcPr>
          <w:p w14:paraId="55840096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i/>
                <w:iCs/>
                <w:color w:val="000000" w:themeColor="text1"/>
                <w:lang w:val="en-GB"/>
              </w:rPr>
              <w:t xml:space="preserve">CLEANING THE FACEMASK CHAMBER </w:t>
            </w:r>
          </w:p>
          <w:p w14:paraId="441751C9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Clean the chamber and facemask every 1-2 weeks by submerging the parts in</w:t>
            </w:r>
            <w:r>
              <w:rPr>
                <w:rFonts w:ascii="Arial" w:hAnsi="Arial" w:cs="Arial"/>
                <w:color w:val="000000" w:themeColor="text1"/>
                <w:lang w:val="en-GB"/>
              </w:rPr>
              <w:t xml:space="preserve"> </w:t>
            </w: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>clean water.</w:t>
            </w:r>
          </w:p>
          <w:p w14:paraId="4DA956F3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Shake out excess water and air-dry in a vertical position. Do not wipe to dry.</w:t>
            </w:r>
          </w:p>
          <w:p w14:paraId="74797454" w14:textId="77777777" w:rsidR="00E1681F" w:rsidRPr="00533918" w:rsidRDefault="00E1681F" w:rsidP="00777982">
            <w:pPr>
              <w:spacing w:after="0" w:line="240" w:lineRule="auto"/>
              <w:rPr>
                <w:rFonts w:ascii="Arial" w:hAnsi="Arial" w:cs="Arial"/>
                <w:color w:val="000000" w:themeColor="text1"/>
                <w:lang w:val="en-GB"/>
              </w:rPr>
            </w:pPr>
            <w:r w:rsidRPr="00533918">
              <w:rPr>
                <w:rFonts w:ascii="Arial" w:hAnsi="Arial" w:cs="Arial"/>
                <w:color w:val="000000" w:themeColor="text1"/>
                <w:lang w:val="en-GB"/>
              </w:rPr>
              <w:t xml:space="preserve">  Centre the alignment feature on the back piece with the flow indicator.</w:t>
            </w:r>
          </w:p>
        </w:tc>
      </w:tr>
    </w:tbl>
    <w:p w14:paraId="6611C0B2" w14:textId="77777777" w:rsidR="00E1681F" w:rsidRPr="00CB7DCA" w:rsidRDefault="00E1681F" w:rsidP="00E1681F">
      <w:pPr>
        <w:spacing w:after="0" w:line="480" w:lineRule="auto"/>
        <w:rPr>
          <w:rFonts w:ascii="Arial" w:hAnsi="Arial" w:cs="Arial"/>
          <w:color w:val="000000" w:themeColor="text1"/>
          <w:sz w:val="24"/>
          <w:szCs w:val="24"/>
          <w:lang w:val="en-GB"/>
        </w:rPr>
      </w:pPr>
    </w:p>
    <w:p w14:paraId="521A50B1" w14:textId="77777777" w:rsidR="00E1681F" w:rsidRPr="00CB7DCA" w:rsidRDefault="00E1681F" w:rsidP="00E1681F">
      <w:pPr>
        <w:spacing w:after="0" w:line="480" w:lineRule="auto"/>
        <w:rPr>
          <w:rFonts w:ascii="Arial" w:hAnsi="Arial" w:cs="Arial"/>
          <w:color w:val="000000" w:themeColor="text1"/>
          <w:sz w:val="24"/>
          <w:szCs w:val="24"/>
          <w:lang w:val="en-GB"/>
        </w:rPr>
      </w:pPr>
    </w:p>
    <w:p w14:paraId="35D9FDF8" w14:textId="77777777" w:rsidR="008B07A6" w:rsidRDefault="008B07A6"/>
    <w:sectPr w:rsidR="008B07A6" w:rsidSect="00E1681F">
      <w:headerReference w:type="default" r:id="rId4"/>
      <w:footerReference w:type="default" r:id="rId5"/>
      <w:pgSz w:w="11909" w:h="16834" w:code="9"/>
      <w:pgMar w:top="990" w:right="1109" w:bottom="810" w:left="1080" w:header="432" w:footer="288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A2FFB2" w14:textId="77777777" w:rsidR="00E1681F" w:rsidRDefault="00E1681F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  <w:p w14:paraId="68382F32" w14:textId="77777777" w:rsidR="00E1681F" w:rsidRDefault="00E1681F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9682F2" w14:textId="77777777" w:rsidR="00E1681F" w:rsidRPr="00B6184A" w:rsidRDefault="00E1681F" w:rsidP="00F875A2">
    <w:pPr>
      <w:pStyle w:val="Header"/>
      <w:jc w:val="right"/>
      <w:rPr>
        <w:rFonts w:ascii="Times New Roman" w:hAnsi="Times New Roman"/>
        <w:i/>
        <w:iCs/>
      </w:rPr>
    </w:pPr>
    <w:r>
      <w:rPr>
        <w:rFonts w:ascii="Times New Roman" w:hAnsi="Times New Roman"/>
        <w:i/>
        <w:iCs/>
      </w:rPr>
      <w:t>Palm-seal Method using Facemask Chamber</w:t>
    </w:r>
    <w:r w:rsidRPr="00B6184A">
      <w:rPr>
        <w:rFonts w:ascii="Times New Roman" w:hAnsi="Times New Roman"/>
        <w:i/>
        <w:iCs/>
        <w:sz w:val="24"/>
        <w:szCs w:val="24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81F"/>
    <w:rsid w:val="00007ED1"/>
    <w:rsid w:val="00066677"/>
    <w:rsid w:val="003A4E89"/>
    <w:rsid w:val="00556784"/>
    <w:rsid w:val="008B07A6"/>
    <w:rsid w:val="00987B63"/>
    <w:rsid w:val="00D31E7D"/>
    <w:rsid w:val="00E168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46DEBD"/>
  <w15:chartTrackingRefBased/>
  <w15:docId w15:val="{2A74AA83-CA7F-45C3-A0E2-86E576D815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681F"/>
    <w:pPr>
      <w:spacing w:line="259" w:lineRule="auto"/>
    </w:pPr>
    <w:rPr>
      <w:rFonts w:ascii="Calibri" w:eastAsia="DengXian" w:hAnsi="Calibri" w:cs="Times New Roman"/>
      <w:kern w:val="0"/>
      <w:sz w:val="22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681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81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81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81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81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81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81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81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81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81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81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81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81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81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81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81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81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81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681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1681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81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1681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681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1681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681F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1681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81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81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681F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16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1681F"/>
    <w:rPr>
      <w:rFonts w:ascii="Calibri" w:eastAsia="DengXian" w:hAnsi="Calibri" w:cs="Times New Roman"/>
      <w:kern w:val="0"/>
      <w:sz w:val="22"/>
      <w:szCs w:val="22"/>
      <w:lang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168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1681F"/>
    <w:rPr>
      <w:rFonts w:ascii="Calibri" w:eastAsia="DengXian" w:hAnsi="Calibri" w:cs="Times New Roman"/>
      <w:kern w:val="0"/>
      <w:sz w:val="22"/>
      <w:szCs w:val="22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168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577</Words>
  <Characters>3378</Characters>
  <Application>Microsoft Office Word</Application>
  <DocSecurity>0</DocSecurity>
  <Lines>76</Lines>
  <Paragraphs>35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2026-03-12T08:13:00Z</dcterms:created>
  <dcterms:modified xsi:type="dcterms:W3CDTF">2026-03-12T08:13:00Z</dcterms:modified>
</cp:coreProperties>
</file>