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6CC5" w14:textId="084DCCE6" w:rsidR="005652F9" w:rsidRPr="005652F9" w:rsidRDefault="003878F4" w:rsidP="005652F9">
      <w:pPr>
        <w:pStyle w:val="Heading1"/>
      </w:pPr>
      <w:r>
        <w:t xml:space="preserve">Supplementary </w:t>
      </w:r>
      <w:r w:rsidR="00137C83">
        <w:t xml:space="preserve">details </w:t>
      </w:r>
      <w:r>
        <w:t xml:space="preserve">for </w:t>
      </w:r>
      <w:r w:rsidR="005652F9">
        <w:t>“</w:t>
      </w:r>
      <w:r w:rsidR="005652F9" w:rsidRPr="005652F9">
        <w:t>Assessing the effects of limited vaccine supply on risk-based vaccination strategies in regions of endemic foot-and-mouth disease.</w:t>
      </w:r>
      <w:r w:rsidR="005652F9">
        <w:t>”</w:t>
      </w:r>
    </w:p>
    <w:p w14:paraId="3969E87A" w14:textId="77777777" w:rsidR="00CB3251" w:rsidRDefault="00CB3251" w:rsidP="003155FE">
      <w:pPr>
        <w:spacing w:line="480" w:lineRule="auto"/>
      </w:pPr>
    </w:p>
    <w:p w14:paraId="147E5FDF" w14:textId="05C73F38" w:rsidR="00CB3251" w:rsidRPr="00CB3251" w:rsidRDefault="00CB3251" w:rsidP="003155FE">
      <w:pPr>
        <w:pStyle w:val="Heading2"/>
        <w:numPr>
          <w:ilvl w:val="0"/>
          <w:numId w:val="11"/>
        </w:numPr>
        <w:spacing w:line="480" w:lineRule="auto"/>
      </w:pPr>
      <w:r>
        <w:t>Description of model</w:t>
      </w:r>
    </w:p>
    <w:p w14:paraId="18B0AAC8" w14:textId="7B5FEEC4" w:rsidR="000D78C0" w:rsidRDefault="00160F45" w:rsidP="003155FE">
      <w:pPr>
        <w:spacing w:line="480" w:lineRule="auto"/>
        <w:ind w:firstLine="720"/>
      </w:pPr>
      <w:r w:rsidRPr="00160F45">
        <w:t xml:space="preserve">We utilise a stochastic spatial metapopulation model, where each farm is considered a separate population and the within-farm and between-farm dynamics are modelled interdependently. </w:t>
      </w:r>
      <w:r w:rsidR="00C407B4">
        <w:t>The model structure and baseline parameterisation follow that described in Guyver-Fletcher et al, 2025</w:t>
      </w:r>
      <w:r w:rsidR="007801A0">
        <w:t>; we summarise here for completeness.</w:t>
      </w:r>
    </w:p>
    <w:p w14:paraId="78C45851" w14:textId="407DA08E" w:rsidR="000D78C0" w:rsidRDefault="000D78C0" w:rsidP="003155FE">
      <w:pPr>
        <w:pStyle w:val="Heading3"/>
        <w:spacing w:line="480" w:lineRule="auto"/>
      </w:pPr>
      <w:r>
        <w:t>Within-farm</w:t>
      </w:r>
    </w:p>
    <w:p w14:paraId="48850BC5" w14:textId="6C709BA0" w:rsidR="000D78C0" w:rsidRDefault="000D78C0" w:rsidP="003155FE">
      <w:pPr>
        <w:spacing w:line="480" w:lineRule="auto"/>
        <w:ind w:firstLine="720"/>
      </w:pPr>
      <w:r>
        <w:t xml:space="preserve">Within each farm, </w:t>
      </w:r>
      <w:r w:rsidR="001E30C1">
        <w:t>ca</w:t>
      </w:r>
      <w:r w:rsidR="001E30C1" w:rsidRPr="00160F45">
        <w:t>ttle</w:t>
      </w:r>
      <w:r w:rsidR="001E30C1">
        <w:t xml:space="preserve"> are divided </w:t>
      </w:r>
      <w:r w:rsidR="001E30C1" w:rsidRPr="00160F45">
        <w:t xml:space="preserve">into </w:t>
      </w:r>
      <w:r w:rsidR="00C407B4" w:rsidRPr="00160F45">
        <w:t>several</w:t>
      </w:r>
      <w:r w:rsidR="001E30C1" w:rsidRPr="00160F45">
        <w:t xml:space="preserve"> </w:t>
      </w:r>
      <w:r w:rsidR="006F4141" w:rsidRPr="00160F45">
        <w:t>mutually exclusive</w:t>
      </w:r>
      <w:r w:rsidR="001E30C1">
        <w:t xml:space="preserve"> </w:t>
      </w:r>
      <w:r w:rsidR="001E30C1" w:rsidRPr="00160F45">
        <w:t>epidemiological classes</w:t>
      </w:r>
      <w:r w:rsidR="00A45710">
        <w:t xml:space="preserve">: maternally immune (M); susceptible (S); exposed (E); infectious (I); recovered (R); </w:t>
      </w:r>
      <w:r w:rsidR="000E44C8">
        <w:t>carrier (C); vaccinated-recovered (VR); vaccinated-susceptible (VS). C</w:t>
      </w:r>
      <w:r w:rsidR="004F5F2F">
        <w:t>attle transition between these disease states, governed by ODEs implemented stochastically using the tau-leap algorithm</w:t>
      </w:r>
      <w:r w:rsidR="00F97D7C">
        <w:t xml:space="preserve"> to approximate a continuous-time Markov process. </w:t>
      </w:r>
      <w:r w:rsidR="004F5EAE">
        <w:t xml:space="preserve">Births introduce animals into the </w:t>
      </w:r>
      <w:r w:rsidR="006F4141">
        <w:t>maternally immune</w:t>
      </w:r>
      <w:r w:rsidR="004F5EAE">
        <w:t xml:space="preserve"> class or the susceptible class depending on the proportion of the population that have immunity</w:t>
      </w:r>
      <w:r w:rsidR="00D92D7E">
        <w:t xml:space="preserve">. Infection occurs through frequency-dependent transmission within villages, with exposed animals </w:t>
      </w:r>
      <w:r w:rsidR="00E100AD">
        <w:t xml:space="preserve">progressing to the E and then I classes. Carrier animals are assumed not to be infectious, consistent with current evidence. </w:t>
      </w:r>
    </w:p>
    <w:p w14:paraId="40104489" w14:textId="6DFFA417" w:rsidR="0071690E" w:rsidRPr="00473C1D" w:rsidRDefault="0071690E" w:rsidP="003155FE">
      <w:pPr>
        <w:spacing w:line="480" w:lineRule="auto"/>
        <w:ind w:firstLine="720"/>
      </w:pPr>
      <w:r>
        <w:lastRenderedPageBreak/>
        <w:t xml:space="preserve">At the beginning of the model, all animals within all farms are assumed susceptible, progressing between states </w:t>
      </w:r>
      <w:r w:rsidR="00473C1D">
        <w:rPr>
          <w:i/>
          <w:iCs/>
        </w:rPr>
        <w:t>q</w:t>
      </w:r>
      <w:r w:rsidR="00473C1D">
        <w:t xml:space="preserve"> and </w:t>
      </w:r>
      <w:r w:rsidR="00473C1D">
        <w:rPr>
          <w:i/>
          <w:iCs/>
        </w:rPr>
        <w:t>r</w:t>
      </w:r>
      <w:r w:rsidR="00473C1D">
        <w:t xml:space="preserve"> according to rate </w:t>
      </w:r>
      <m:oMath>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qr</m:t>
            </m:r>
          </m:sup>
        </m:sSubSup>
        <m:r>
          <w:rPr>
            <w:rFonts w:ascii="Cambria Math" w:hAnsi="Cambria Math"/>
          </w:rPr>
          <m:t>(t)</m:t>
        </m:r>
      </m:oMath>
      <w:r w:rsidR="00473C1D">
        <w:rPr>
          <w:rFonts w:eastAsiaTheme="minorEastAsia"/>
        </w:rPr>
        <w:t xml:space="preserve"> so that:</w:t>
      </w:r>
    </w:p>
    <w:p w14:paraId="2F1F9DB1" w14:textId="0210B7C3" w:rsidR="0026439C" w:rsidRDefault="0071690E" w:rsidP="003155FE">
      <w:pPr>
        <w:spacing w:line="480" w:lineRule="auto"/>
        <w:ind w:firstLine="720"/>
        <w:jc w:val="center"/>
      </w:pPr>
      <w:r w:rsidRPr="0071690E">
        <w:rPr>
          <w:noProof/>
        </w:rPr>
        <w:drawing>
          <wp:inline distT="0" distB="0" distL="0" distR="0" wp14:anchorId="566668D0" wp14:editId="31CFDD84">
            <wp:extent cx="3493770" cy="3509010"/>
            <wp:effectExtent l="0" t="0" r="0" b="0"/>
            <wp:docPr id="107224673" name="Picture 1" descr="A gro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4673" name="Picture 1" descr="A group of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493770" cy="3509010"/>
                    </a:xfrm>
                    <a:prstGeom prst="rect">
                      <a:avLst/>
                    </a:prstGeom>
                  </pic:spPr>
                </pic:pic>
              </a:graphicData>
            </a:graphic>
          </wp:inline>
        </w:drawing>
      </w:r>
    </w:p>
    <w:p w14:paraId="4980E594" w14:textId="306ACC0C" w:rsidR="0026439C" w:rsidRDefault="00473C1D" w:rsidP="003155FE">
      <w:pPr>
        <w:spacing w:line="480" w:lineRule="auto"/>
        <w:ind w:firstLine="720"/>
      </w:pPr>
      <w:r>
        <w:t xml:space="preserve">The parameters of which are described in </w:t>
      </w:r>
      <w:r w:rsidR="002D4C80">
        <w:t>the table</w:t>
      </w:r>
      <w:r>
        <w:t xml:space="preserve"> below.</w:t>
      </w:r>
    </w:p>
    <w:tbl>
      <w:tblPr>
        <w:tblStyle w:val="PlainTable4"/>
        <w:tblW w:w="0" w:type="auto"/>
        <w:tblLook w:val="04A0" w:firstRow="1" w:lastRow="0" w:firstColumn="1" w:lastColumn="0" w:noHBand="0" w:noVBand="1"/>
      </w:tblPr>
      <w:tblGrid>
        <w:gridCol w:w="2254"/>
        <w:gridCol w:w="2254"/>
        <w:gridCol w:w="2254"/>
        <w:gridCol w:w="2254"/>
      </w:tblGrid>
      <w:tr w:rsidR="00C20725" w14:paraId="6331AD7E" w14:textId="77777777" w:rsidTr="001E5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F99C3AC" w14:textId="08BFB509" w:rsidR="00C20725" w:rsidRPr="001E535B" w:rsidRDefault="00C20725" w:rsidP="003155FE">
            <w:pPr>
              <w:spacing w:line="480" w:lineRule="auto"/>
              <w:rPr>
                <w:b w:val="0"/>
                <w:bCs w:val="0"/>
              </w:rPr>
            </w:pPr>
            <w:r w:rsidRPr="001E535B">
              <w:rPr>
                <w:b w:val="0"/>
                <w:bCs w:val="0"/>
              </w:rPr>
              <w:t>Parameter</w:t>
            </w:r>
          </w:p>
        </w:tc>
        <w:tc>
          <w:tcPr>
            <w:tcW w:w="2254" w:type="dxa"/>
          </w:tcPr>
          <w:p w14:paraId="78F4A2B4" w14:textId="40314FE4" w:rsidR="00C20725" w:rsidRPr="001E535B" w:rsidRDefault="00C20725" w:rsidP="003155FE">
            <w:pPr>
              <w:spacing w:line="480" w:lineRule="auto"/>
              <w:cnfStyle w:val="100000000000" w:firstRow="1" w:lastRow="0" w:firstColumn="0" w:lastColumn="0" w:oddVBand="0" w:evenVBand="0" w:oddHBand="0" w:evenHBand="0" w:firstRowFirstColumn="0" w:firstRowLastColumn="0" w:lastRowFirstColumn="0" w:lastRowLastColumn="0"/>
              <w:rPr>
                <w:b w:val="0"/>
                <w:bCs w:val="0"/>
              </w:rPr>
            </w:pPr>
            <w:r w:rsidRPr="001E535B">
              <w:rPr>
                <w:b w:val="0"/>
                <w:bCs w:val="0"/>
              </w:rPr>
              <w:t>Description</w:t>
            </w:r>
          </w:p>
        </w:tc>
        <w:tc>
          <w:tcPr>
            <w:tcW w:w="2254" w:type="dxa"/>
          </w:tcPr>
          <w:p w14:paraId="5C12D1F1" w14:textId="5DBF6194" w:rsidR="00C20725" w:rsidRPr="001E535B" w:rsidRDefault="00C20725" w:rsidP="003155FE">
            <w:pPr>
              <w:spacing w:line="480" w:lineRule="auto"/>
              <w:cnfStyle w:val="100000000000" w:firstRow="1" w:lastRow="0" w:firstColumn="0" w:lastColumn="0" w:oddVBand="0" w:evenVBand="0" w:oddHBand="0" w:evenHBand="0" w:firstRowFirstColumn="0" w:firstRowLastColumn="0" w:lastRowFirstColumn="0" w:lastRowLastColumn="0"/>
              <w:rPr>
                <w:b w:val="0"/>
                <w:bCs w:val="0"/>
              </w:rPr>
            </w:pPr>
            <w:r w:rsidRPr="001E535B">
              <w:rPr>
                <w:b w:val="0"/>
                <w:bCs w:val="0"/>
              </w:rPr>
              <w:t>Value(s)</w:t>
            </w:r>
          </w:p>
        </w:tc>
        <w:tc>
          <w:tcPr>
            <w:tcW w:w="2254" w:type="dxa"/>
          </w:tcPr>
          <w:p w14:paraId="590D02CF" w14:textId="31031F56" w:rsidR="00C20725" w:rsidRPr="001E535B" w:rsidRDefault="00C20725" w:rsidP="003155FE">
            <w:pPr>
              <w:spacing w:line="480" w:lineRule="auto"/>
              <w:cnfStyle w:val="100000000000" w:firstRow="1" w:lastRow="0" w:firstColumn="0" w:lastColumn="0" w:oddVBand="0" w:evenVBand="0" w:oddHBand="0" w:evenHBand="0" w:firstRowFirstColumn="0" w:firstRowLastColumn="0" w:lastRowFirstColumn="0" w:lastRowLastColumn="0"/>
              <w:rPr>
                <w:b w:val="0"/>
                <w:bCs w:val="0"/>
              </w:rPr>
            </w:pPr>
            <w:r w:rsidRPr="001E535B">
              <w:rPr>
                <w:b w:val="0"/>
                <w:bCs w:val="0"/>
              </w:rPr>
              <w:t>Source(s)</w:t>
            </w:r>
          </w:p>
        </w:tc>
      </w:tr>
      <w:tr w:rsidR="00C20725" w14:paraId="628354B8" w14:textId="77777777" w:rsidTr="001E5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3D9A301" w14:textId="6C294930" w:rsidR="00A25E0B" w:rsidRPr="00A25E0B" w:rsidRDefault="00A25E0B" w:rsidP="003155FE">
            <w:pPr>
              <w:spacing w:line="480" w:lineRule="auto"/>
              <w:rPr>
                <w:rFonts w:eastAsiaTheme="minorEastAsia"/>
                <w:b w:val="0"/>
                <w:bCs w:val="0"/>
              </w:rPr>
            </w:pPr>
            <m:oMathPara>
              <m:oMath>
                <m:r>
                  <m:rPr>
                    <m:sty m:val="bi"/>
                  </m:rPr>
                  <w:rPr>
                    <w:rFonts w:ascii="Cambria Math" w:hAnsi="Cambria Math"/>
                  </w:rPr>
                  <m:t>α</m:t>
                </m:r>
              </m:oMath>
            </m:oMathPara>
          </w:p>
        </w:tc>
        <w:tc>
          <w:tcPr>
            <w:tcW w:w="2254" w:type="dxa"/>
          </w:tcPr>
          <w:p w14:paraId="4F4F03E0" w14:textId="16DD7FB0" w:rsidR="00C20725" w:rsidRDefault="00320752" w:rsidP="003155FE">
            <w:pPr>
              <w:spacing w:line="480" w:lineRule="auto"/>
              <w:cnfStyle w:val="000000100000" w:firstRow="0" w:lastRow="0" w:firstColumn="0" w:lastColumn="0" w:oddVBand="0" w:evenVBand="0" w:oddHBand="1" w:evenHBand="0" w:firstRowFirstColumn="0" w:firstRowLastColumn="0" w:lastRowFirstColumn="0" w:lastRowLastColumn="0"/>
            </w:pPr>
            <w:r>
              <w:t>Birth rate</w:t>
            </w:r>
          </w:p>
        </w:tc>
        <w:tc>
          <w:tcPr>
            <w:tcW w:w="2254" w:type="dxa"/>
          </w:tcPr>
          <w:p w14:paraId="25549027" w14:textId="6DF9FB00" w:rsidR="00C20725" w:rsidRDefault="00320752" w:rsidP="003155FE">
            <w:pPr>
              <w:spacing w:line="480" w:lineRule="auto"/>
              <w:cnfStyle w:val="000000100000" w:firstRow="0" w:lastRow="0" w:firstColumn="0" w:lastColumn="0" w:oddVBand="0" w:evenVBand="0" w:oddHBand="1" w:evenHBand="0" w:firstRowFirstColumn="0" w:firstRowLastColumn="0" w:lastRowFirstColumn="0" w:lastRowLastColumn="0"/>
            </w:pPr>
            <w:r>
              <w:t>2%/year</w:t>
            </w:r>
          </w:p>
        </w:tc>
        <w:tc>
          <w:tcPr>
            <w:tcW w:w="2254" w:type="dxa"/>
          </w:tcPr>
          <w:p w14:paraId="382AF199" w14:textId="77777777" w:rsidR="00C20725" w:rsidRDefault="00C20725" w:rsidP="003155FE">
            <w:pPr>
              <w:spacing w:line="480" w:lineRule="auto"/>
              <w:cnfStyle w:val="000000100000" w:firstRow="0" w:lastRow="0" w:firstColumn="0" w:lastColumn="0" w:oddVBand="0" w:evenVBand="0" w:oddHBand="1" w:evenHBand="0" w:firstRowFirstColumn="0" w:firstRowLastColumn="0" w:lastRowFirstColumn="0" w:lastRowLastColumn="0"/>
            </w:pPr>
          </w:p>
        </w:tc>
      </w:tr>
      <w:tr w:rsidR="00C20725" w14:paraId="71F1789D" w14:textId="77777777" w:rsidTr="001E535B">
        <w:tc>
          <w:tcPr>
            <w:cnfStyle w:val="001000000000" w:firstRow="0" w:lastRow="0" w:firstColumn="1" w:lastColumn="0" w:oddVBand="0" w:evenVBand="0" w:oddHBand="0" w:evenHBand="0" w:firstRowFirstColumn="0" w:firstRowLastColumn="0" w:lastRowFirstColumn="0" w:lastRowLastColumn="0"/>
            <w:tcW w:w="2254" w:type="dxa"/>
          </w:tcPr>
          <w:p w14:paraId="63560463" w14:textId="0309E8D5" w:rsidR="00C20725" w:rsidRDefault="00A25E0B" w:rsidP="003155FE">
            <w:pPr>
              <w:spacing w:line="480" w:lineRule="auto"/>
            </w:pPr>
            <m:oMathPara>
              <m:oMath>
                <m:r>
                  <m:rPr>
                    <m:sty m:val="bi"/>
                  </m:rPr>
                  <w:rPr>
                    <w:rFonts w:ascii="Cambria Math" w:hAnsi="Cambria Math"/>
                  </w:rPr>
                  <m:t>β</m:t>
                </m:r>
              </m:oMath>
            </m:oMathPara>
          </w:p>
        </w:tc>
        <w:tc>
          <w:tcPr>
            <w:tcW w:w="2254" w:type="dxa"/>
          </w:tcPr>
          <w:p w14:paraId="75F3393B" w14:textId="5681AFF9" w:rsidR="00C20725" w:rsidRDefault="00320752" w:rsidP="003155FE">
            <w:pPr>
              <w:spacing w:line="480" w:lineRule="auto"/>
              <w:cnfStyle w:val="000000000000" w:firstRow="0" w:lastRow="0" w:firstColumn="0" w:lastColumn="0" w:oddVBand="0" w:evenVBand="0" w:oddHBand="0" w:evenHBand="0" w:firstRowFirstColumn="0" w:firstRowLastColumn="0" w:lastRowFirstColumn="0" w:lastRowLastColumn="0"/>
            </w:pPr>
            <w:r>
              <w:t>Transmission</w:t>
            </w:r>
          </w:p>
        </w:tc>
        <w:tc>
          <w:tcPr>
            <w:tcW w:w="2254" w:type="dxa"/>
          </w:tcPr>
          <w:p w14:paraId="0EE78286" w14:textId="7EB0C0BF" w:rsidR="00C20725" w:rsidRDefault="00320752" w:rsidP="003155FE">
            <w:pPr>
              <w:spacing w:line="480" w:lineRule="auto"/>
              <w:cnfStyle w:val="000000000000" w:firstRow="0" w:lastRow="0" w:firstColumn="0" w:lastColumn="0" w:oddVBand="0" w:evenVBand="0" w:oddHBand="0" w:evenHBand="0" w:firstRowFirstColumn="0" w:firstRowLastColumn="0" w:lastRowFirstColumn="0" w:lastRowLastColumn="0"/>
            </w:pPr>
            <w:r>
              <w:t>6/11 transmissions per contact</w:t>
            </w:r>
          </w:p>
        </w:tc>
        <w:tc>
          <w:tcPr>
            <w:tcW w:w="2254" w:type="dxa"/>
          </w:tcPr>
          <w:p w14:paraId="62870C58" w14:textId="3D7CF0E0" w:rsidR="00C20725" w:rsidRDefault="00320752" w:rsidP="003155FE">
            <w:pPr>
              <w:spacing w:line="480" w:lineRule="auto"/>
              <w:cnfStyle w:val="000000000000" w:firstRow="0" w:lastRow="0" w:firstColumn="0" w:lastColumn="0" w:oddVBand="0" w:evenVBand="0" w:oddHBand="0" w:evenHBand="0" w:firstRowFirstColumn="0" w:firstRowLastColumn="0" w:lastRowFirstColumn="0" w:lastRowLastColumn="0"/>
            </w:pPr>
            <w:r>
              <w:t>Orsel et al, 2005; Orsel et al, 2007; Tadesse et al, 2019</w:t>
            </w:r>
          </w:p>
        </w:tc>
      </w:tr>
      <w:tr w:rsidR="00C20725" w14:paraId="61DD235C" w14:textId="77777777" w:rsidTr="001E5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7AD0769" w14:textId="5BB550EC" w:rsidR="00C20725" w:rsidRDefault="00C802D2" w:rsidP="003155FE">
            <w:pPr>
              <w:spacing w:line="480" w:lineRule="auto"/>
            </w:pPr>
            <m:oMathPara>
              <m:oMath>
                <m:sSup>
                  <m:sSupPr>
                    <m:ctrlPr>
                      <w:rPr>
                        <w:rFonts w:ascii="Cambria Math" w:hAnsi="Cambria Math"/>
                        <w:b w:val="0"/>
                        <w:bCs w:val="0"/>
                        <w:i/>
                      </w:rPr>
                    </m:ctrlPr>
                  </m:sSupPr>
                  <m:e>
                    <m:r>
                      <m:rPr>
                        <m:sty m:val="bi"/>
                      </m:rPr>
                      <w:rPr>
                        <w:rFonts w:ascii="Cambria Math" w:hAnsi="Cambria Math"/>
                      </w:rPr>
                      <m:t>γ</m:t>
                    </m:r>
                    <m:ctrlPr>
                      <w:rPr>
                        <w:rFonts w:ascii="Cambria Math" w:hAnsi="Cambria Math"/>
                        <w:i/>
                      </w:rPr>
                    </m:ctrlPr>
                  </m:e>
                  <m:sup>
                    <m:r>
                      <m:rPr>
                        <m:sty m:val="bi"/>
                      </m:rPr>
                      <w:rPr>
                        <w:rFonts w:ascii="Cambria Math" w:hAnsi="Cambria Math"/>
                      </w:rPr>
                      <m:t>-1</m:t>
                    </m:r>
                  </m:sup>
                </m:sSup>
              </m:oMath>
            </m:oMathPara>
          </w:p>
        </w:tc>
        <w:tc>
          <w:tcPr>
            <w:tcW w:w="2254" w:type="dxa"/>
          </w:tcPr>
          <w:p w14:paraId="24022209" w14:textId="6D31E8B9" w:rsidR="00C20725" w:rsidRDefault="00293D91" w:rsidP="003155FE">
            <w:pPr>
              <w:spacing w:line="480" w:lineRule="auto"/>
              <w:cnfStyle w:val="000000100000" w:firstRow="0" w:lastRow="0" w:firstColumn="0" w:lastColumn="0" w:oddVBand="0" w:evenVBand="0" w:oddHBand="1" w:evenHBand="0" w:firstRowFirstColumn="0" w:firstRowLastColumn="0" w:lastRowFirstColumn="0" w:lastRowLastColumn="0"/>
            </w:pPr>
            <w:r>
              <w:t>Mean infectious period</w:t>
            </w:r>
          </w:p>
        </w:tc>
        <w:tc>
          <w:tcPr>
            <w:tcW w:w="2254" w:type="dxa"/>
          </w:tcPr>
          <w:p w14:paraId="00E0736A" w14:textId="5C3492A4" w:rsidR="00C20725" w:rsidRDefault="00293D91" w:rsidP="003155FE">
            <w:pPr>
              <w:spacing w:line="480" w:lineRule="auto"/>
              <w:cnfStyle w:val="000000100000" w:firstRow="0" w:lastRow="0" w:firstColumn="0" w:lastColumn="0" w:oddVBand="0" w:evenVBand="0" w:oddHBand="1" w:evenHBand="0" w:firstRowFirstColumn="0" w:firstRowLastColumn="0" w:lastRowFirstColumn="0" w:lastRowLastColumn="0"/>
            </w:pPr>
            <w:r>
              <w:t>11 days</w:t>
            </w:r>
          </w:p>
        </w:tc>
        <w:tc>
          <w:tcPr>
            <w:tcW w:w="2254" w:type="dxa"/>
          </w:tcPr>
          <w:p w14:paraId="3DB84934" w14:textId="3B948176" w:rsidR="00C20725" w:rsidRDefault="00293D91" w:rsidP="003155FE">
            <w:pPr>
              <w:spacing w:line="480" w:lineRule="auto"/>
              <w:cnfStyle w:val="000000100000" w:firstRow="0" w:lastRow="0" w:firstColumn="0" w:lastColumn="0" w:oddVBand="0" w:evenVBand="0" w:oddHBand="1" w:evenHBand="0" w:firstRowFirstColumn="0" w:firstRowLastColumn="0" w:lastRowFirstColumn="0" w:lastRowLastColumn="0"/>
            </w:pPr>
            <w:r>
              <w:t>Yadav et al, 2019</w:t>
            </w:r>
          </w:p>
        </w:tc>
      </w:tr>
      <w:tr w:rsidR="00C20725" w14:paraId="144DD56E" w14:textId="77777777" w:rsidTr="001E535B">
        <w:tc>
          <w:tcPr>
            <w:cnfStyle w:val="001000000000" w:firstRow="0" w:lastRow="0" w:firstColumn="1" w:lastColumn="0" w:oddVBand="0" w:evenVBand="0" w:oddHBand="0" w:evenHBand="0" w:firstRowFirstColumn="0" w:firstRowLastColumn="0" w:lastRowFirstColumn="0" w:lastRowLastColumn="0"/>
            <w:tcW w:w="2254" w:type="dxa"/>
          </w:tcPr>
          <w:p w14:paraId="7BA2730F" w14:textId="3FF34B25" w:rsidR="00C20725" w:rsidRDefault="00C802D2" w:rsidP="003155FE">
            <w:pPr>
              <w:spacing w:line="480" w:lineRule="auto"/>
            </w:pPr>
            <m:oMathPara>
              <m:oMath>
                <m:sSubSup>
                  <m:sSubSupPr>
                    <m:ctrlPr>
                      <w:rPr>
                        <w:rFonts w:ascii="Cambria Math" w:hAnsi="Cambria Math"/>
                        <w:b w:val="0"/>
                        <w:bCs w:val="0"/>
                        <w:i/>
                      </w:rPr>
                    </m:ctrlPr>
                  </m:sSubSupPr>
                  <m:e>
                    <m:r>
                      <m:rPr>
                        <m:sty m:val="bi"/>
                      </m:rPr>
                      <w:rPr>
                        <w:rFonts w:ascii="Cambria Math" w:hAnsi="Cambria Math"/>
                      </w:rPr>
                      <m:t>ϕ</m:t>
                    </m:r>
                    <m:ctrlPr>
                      <w:rPr>
                        <w:rFonts w:ascii="Cambria Math" w:hAnsi="Cambria Math"/>
                        <w:i/>
                      </w:rPr>
                    </m:ctrlPr>
                  </m:e>
                  <m:sub>
                    <m:r>
                      <m:rPr>
                        <m:sty m:val="bi"/>
                      </m:rPr>
                      <w:rPr>
                        <w:rFonts w:ascii="Cambria Math" w:hAnsi="Cambria Math"/>
                      </w:rPr>
                      <m:t>R</m:t>
                    </m:r>
                  </m:sub>
                  <m:sup>
                    <m:r>
                      <m:rPr>
                        <m:sty m:val="bi"/>
                      </m:rPr>
                      <w:rPr>
                        <w:rFonts w:ascii="Cambria Math" w:hAnsi="Cambria Math"/>
                      </w:rPr>
                      <m:t>-1</m:t>
                    </m:r>
                  </m:sup>
                </m:sSubSup>
              </m:oMath>
            </m:oMathPara>
          </w:p>
        </w:tc>
        <w:tc>
          <w:tcPr>
            <w:tcW w:w="2254" w:type="dxa"/>
          </w:tcPr>
          <w:p w14:paraId="22250335" w14:textId="60183567" w:rsidR="00C20725" w:rsidRDefault="00293D91" w:rsidP="003155FE">
            <w:pPr>
              <w:spacing w:line="480" w:lineRule="auto"/>
              <w:cnfStyle w:val="000000000000" w:firstRow="0" w:lastRow="0" w:firstColumn="0" w:lastColumn="0" w:oddVBand="0" w:evenVBand="0" w:oddHBand="0" w:evenHBand="0" w:firstRowFirstColumn="0" w:firstRowLastColumn="0" w:lastRowFirstColumn="0" w:lastRowLastColumn="0"/>
            </w:pPr>
            <w:r>
              <w:t>Mean time recovered</w:t>
            </w:r>
          </w:p>
        </w:tc>
        <w:tc>
          <w:tcPr>
            <w:tcW w:w="2254" w:type="dxa"/>
          </w:tcPr>
          <w:p w14:paraId="00F8CC5E" w14:textId="259F3EE9" w:rsidR="00C20725" w:rsidRDefault="00231169" w:rsidP="003155FE">
            <w:pPr>
              <w:spacing w:line="480" w:lineRule="auto"/>
              <w:cnfStyle w:val="000000000000" w:firstRow="0" w:lastRow="0" w:firstColumn="0" w:lastColumn="0" w:oddVBand="0" w:evenVBand="0" w:oddHBand="0" w:evenHBand="0" w:firstRowFirstColumn="0" w:firstRowLastColumn="0" w:lastRowFirstColumn="0" w:lastRowLastColumn="0"/>
            </w:pPr>
            <w:r>
              <w:t>250 days</w:t>
            </w:r>
          </w:p>
        </w:tc>
        <w:tc>
          <w:tcPr>
            <w:tcW w:w="2254" w:type="dxa"/>
          </w:tcPr>
          <w:p w14:paraId="63C4E9E5" w14:textId="2ABBA05D" w:rsidR="00C20725" w:rsidRDefault="00231169" w:rsidP="003155FE">
            <w:pPr>
              <w:spacing w:line="480" w:lineRule="auto"/>
              <w:cnfStyle w:val="000000000000" w:firstRow="0" w:lastRow="0" w:firstColumn="0" w:lastColumn="0" w:oddVBand="0" w:evenVBand="0" w:oddHBand="0" w:evenHBand="0" w:firstRowFirstColumn="0" w:firstRowLastColumn="0" w:lastRowFirstColumn="0" w:lastRowLastColumn="0"/>
            </w:pPr>
            <w:r>
              <w:t>El-Sayed et al, 2012; Doel 2005</w:t>
            </w:r>
          </w:p>
        </w:tc>
      </w:tr>
      <w:tr w:rsidR="00C20725" w14:paraId="0E7EF522" w14:textId="77777777" w:rsidTr="001E5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90196BC" w14:textId="311B1BFC" w:rsidR="00C20725" w:rsidRDefault="00C802D2" w:rsidP="003155FE">
            <w:pPr>
              <w:spacing w:line="480" w:lineRule="auto"/>
            </w:pPr>
            <m:oMathPara>
              <m:oMath>
                <m:sSup>
                  <m:sSupPr>
                    <m:ctrlPr>
                      <w:rPr>
                        <w:rFonts w:ascii="Cambria Math" w:hAnsi="Cambria Math"/>
                        <w:b w:val="0"/>
                        <w:bCs w:val="0"/>
                        <w:i/>
                      </w:rPr>
                    </m:ctrlPr>
                  </m:sSupPr>
                  <m:e>
                    <m:r>
                      <m:rPr>
                        <m:sty m:val="bi"/>
                      </m:rPr>
                      <w:rPr>
                        <w:rFonts w:ascii="Cambria Math" w:hAnsi="Cambria Math"/>
                      </w:rPr>
                      <m:t>μ</m:t>
                    </m:r>
                    <m:ctrlPr>
                      <w:rPr>
                        <w:rFonts w:ascii="Cambria Math" w:hAnsi="Cambria Math"/>
                        <w:i/>
                      </w:rPr>
                    </m:ctrlPr>
                  </m:e>
                  <m:sup>
                    <m:r>
                      <m:rPr>
                        <m:sty m:val="bi"/>
                      </m:rPr>
                      <w:rPr>
                        <w:rFonts w:ascii="Cambria Math" w:hAnsi="Cambria Math"/>
                      </w:rPr>
                      <m:t>-1</m:t>
                    </m:r>
                  </m:sup>
                </m:sSup>
              </m:oMath>
            </m:oMathPara>
          </w:p>
        </w:tc>
        <w:tc>
          <w:tcPr>
            <w:tcW w:w="2254" w:type="dxa"/>
          </w:tcPr>
          <w:p w14:paraId="1D005F80" w14:textId="4F806447" w:rsidR="00C20725" w:rsidRDefault="00231169" w:rsidP="003155FE">
            <w:pPr>
              <w:spacing w:line="480" w:lineRule="auto"/>
              <w:cnfStyle w:val="000000100000" w:firstRow="0" w:lastRow="0" w:firstColumn="0" w:lastColumn="0" w:oddVBand="0" w:evenVBand="0" w:oddHBand="1" w:evenHBand="0" w:firstRowFirstColumn="0" w:firstRowLastColumn="0" w:lastRowFirstColumn="0" w:lastRowLastColumn="0"/>
            </w:pPr>
            <w:r>
              <w:t>Mean duration of maternal immunity</w:t>
            </w:r>
          </w:p>
        </w:tc>
        <w:tc>
          <w:tcPr>
            <w:tcW w:w="2254" w:type="dxa"/>
          </w:tcPr>
          <w:p w14:paraId="325C63A1" w14:textId="48884029" w:rsidR="00C20725" w:rsidRDefault="00231169" w:rsidP="003155FE">
            <w:pPr>
              <w:spacing w:line="480" w:lineRule="auto"/>
              <w:cnfStyle w:val="000000100000" w:firstRow="0" w:lastRow="0" w:firstColumn="0" w:lastColumn="0" w:oddVBand="0" w:evenVBand="0" w:oddHBand="1" w:evenHBand="0" w:firstRowFirstColumn="0" w:firstRowLastColumn="0" w:lastRowFirstColumn="0" w:lastRowLastColumn="0"/>
            </w:pPr>
            <w:r>
              <w:t>120 days</w:t>
            </w:r>
          </w:p>
        </w:tc>
        <w:tc>
          <w:tcPr>
            <w:tcW w:w="2254" w:type="dxa"/>
          </w:tcPr>
          <w:p w14:paraId="1D66DED3" w14:textId="72387D7D" w:rsidR="00C20725" w:rsidRDefault="00231169" w:rsidP="003155FE">
            <w:pPr>
              <w:spacing w:line="480" w:lineRule="auto"/>
              <w:cnfStyle w:val="000000100000" w:firstRow="0" w:lastRow="0" w:firstColumn="0" w:lastColumn="0" w:oddVBand="0" w:evenVBand="0" w:oddHBand="1" w:evenHBand="0" w:firstRowFirstColumn="0" w:firstRowLastColumn="0" w:lastRowFirstColumn="0" w:lastRowLastColumn="0"/>
            </w:pPr>
            <w:r>
              <w:t>Nicholls et al, 1984</w:t>
            </w:r>
          </w:p>
        </w:tc>
      </w:tr>
      <w:tr w:rsidR="00C20725" w14:paraId="3E93734C" w14:textId="77777777" w:rsidTr="001E535B">
        <w:tc>
          <w:tcPr>
            <w:cnfStyle w:val="001000000000" w:firstRow="0" w:lastRow="0" w:firstColumn="1" w:lastColumn="0" w:oddVBand="0" w:evenVBand="0" w:oddHBand="0" w:evenHBand="0" w:firstRowFirstColumn="0" w:firstRowLastColumn="0" w:lastRowFirstColumn="0" w:lastRowLastColumn="0"/>
            <w:tcW w:w="2254" w:type="dxa"/>
          </w:tcPr>
          <w:p w14:paraId="378EE0D6" w14:textId="24245912" w:rsidR="00C20725" w:rsidRDefault="00C802D2" w:rsidP="003155FE">
            <w:pPr>
              <w:spacing w:line="480" w:lineRule="auto"/>
            </w:pPr>
            <m:oMathPara>
              <m:oMath>
                <m:sSup>
                  <m:sSupPr>
                    <m:ctrlPr>
                      <w:rPr>
                        <w:rFonts w:ascii="Cambria Math" w:hAnsi="Cambria Math"/>
                        <w:b w:val="0"/>
                        <w:bCs w:val="0"/>
                        <w:i/>
                      </w:rPr>
                    </m:ctrlPr>
                  </m:sSupPr>
                  <m:e>
                    <m:r>
                      <m:rPr>
                        <m:sty m:val="bi"/>
                      </m:rPr>
                      <w:rPr>
                        <w:rFonts w:ascii="Cambria Math" w:hAnsi="Cambria Math"/>
                      </w:rPr>
                      <m:t>σ</m:t>
                    </m:r>
                    <m:ctrlPr>
                      <w:rPr>
                        <w:rFonts w:ascii="Cambria Math" w:hAnsi="Cambria Math"/>
                        <w:i/>
                      </w:rPr>
                    </m:ctrlPr>
                  </m:e>
                  <m:sup>
                    <m:r>
                      <m:rPr>
                        <m:sty m:val="bi"/>
                      </m:rPr>
                      <w:rPr>
                        <w:rFonts w:ascii="Cambria Math" w:hAnsi="Cambria Math"/>
                      </w:rPr>
                      <m:t>-1</m:t>
                    </m:r>
                  </m:sup>
                </m:sSup>
              </m:oMath>
            </m:oMathPara>
          </w:p>
        </w:tc>
        <w:tc>
          <w:tcPr>
            <w:tcW w:w="2254" w:type="dxa"/>
          </w:tcPr>
          <w:p w14:paraId="7F543027" w14:textId="40A48561" w:rsidR="00C20725" w:rsidRDefault="00B85EF1" w:rsidP="003155FE">
            <w:pPr>
              <w:spacing w:line="480" w:lineRule="auto"/>
              <w:cnfStyle w:val="000000000000" w:firstRow="0" w:lastRow="0" w:firstColumn="0" w:lastColumn="0" w:oddVBand="0" w:evenVBand="0" w:oddHBand="0" w:evenHBand="0" w:firstRowFirstColumn="0" w:firstRowLastColumn="0" w:lastRowFirstColumn="0" w:lastRowLastColumn="0"/>
            </w:pPr>
            <w:r>
              <w:t>Mean latent period</w:t>
            </w:r>
          </w:p>
        </w:tc>
        <w:tc>
          <w:tcPr>
            <w:tcW w:w="2254" w:type="dxa"/>
          </w:tcPr>
          <w:p w14:paraId="5BC85422" w14:textId="0C5AFD5A" w:rsidR="00C20725" w:rsidRDefault="00B85EF1" w:rsidP="003155FE">
            <w:pPr>
              <w:spacing w:line="480" w:lineRule="auto"/>
              <w:cnfStyle w:val="000000000000" w:firstRow="0" w:lastRow="0" w:firstColumn="0" w:lastColumn="0" w:oddVBand="0" w:evenVBand="0" w:oddHBand="0" w:evenHBand="0" w:firstRowFirstColumn="0" w:firstRowLastColumn="0" w:lastRowFirstColumn="0" w:lastRowLastColumn="0"/>
            </w:pPr>
            <w:r>
              <w:t>1.5 days</w:t>
            </w:r>
          </w:p>
        </w:tc>
        <w:tc>
          <w:tcPr>
            <w:tcW w:w="2254" w:type="dxa"/>
          </w:tcPr>
          <w:p w14:paraId="2F5081E1" w14:textId="1E884873" w:rsidR="00C20725" w:rsidRDefault="00B85EF1" w:rsidP="003155FE">
            <w:pPr>
              <w:spacing w:line="480" w:lineRule="auto"/>
              <w:cnfStyle w:val="000000000000" w:firstRow="0" w:lastRow="0" w:firstColumn="0" w:lastColumn="0" w:oddVBand="0" w:evenVBand="0" w:oddHBand="0" w:evenHBand="0" w:firstRowFirstColumn="0" w:firstRowLastColumn="0" w:lastRowFirstColumn="0" w:lastRowLastColumn="0"/>
            </w:pPr>
            <w:r>
              <w:t>Yadav et al, 2019</w:t>
            </w:r>
          </w:p>
        </w:tc>
      </w:tr>
      <w:tr w:rsidR="00C20725" w14:paraId="1ED07B21" w14:textId="77777777" w:rsidTr="001E5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9BB0D4A" w14:textId="557A250D" w:rsidR="00C20725" w:rsidRDefault="00C802D2" w:rsidP="003155FE">
            <w:pPr>
              <w:spacing w:line="480" w:lineRule="auto"/>
            </w:pPr>
            <m:oMathPara>
              <m:oMath>
                <m:sSub>
                  <m:sSubPr>
                    <m:ctrlPr>
                      <w:rPr>
                        <w:rFonts w:ascii="Cambria Math" w:hAnsi="Cambria Math"/>
                        <w:b w:val="0"/>
                        <w:bCs w:val="0"/>
                        <w:i/>
                      </w:rPr>
                    </m:ctrlPr>
                  </m:sSubPr>
                  <m:e>
                    <m:r>
                      <m:rPr>
                        <m:sty m:val="b"/>
                      </m:rPr>
                      <w:rPr>
                        <w:rFonts w:ascii="Cambria Math" w:hAnsi="Cambria Math"/>
                      </w:rPr>
                      <m:t>Ω</m:t>
                    </m:r>
                    <m:ctrlPr>
                      <w:rPr>
                        <w:rFonts w:ascii="Cambria Math" w:hAnsi="Cambria Math"/>
                      </w:rPr>
                    </m:ctrlPr>
                  </m:e>
                  <m:sub>
                    <m:r>
                      <m:rPr>
                        <m:sty m:val="bi"/>
                      </m:rPr>
                      <w:rPr>
                        <w:rFonts w:ascii="Cambria Math" w:hAnsi="Cambria Math"/>
                      </w:rPr>
                      <m:t>d</m:t>
                    </m:r>
                  </m:sub>
                </m:sSub>
              </m:oMath>
            </m:oMathPara>
          </w:p>
        </w:tc>
        <w:tc>
          <w:tcPr>
            <w:tcW w:w="2254" w:type="dxa"/>
          </w:tcPr>
          <w:p w14:paraId="57F9B230" w14:textId="0A60ABD0" w:rsidR="00C20725" w:rsidRDefault="00B85EF1" w:rsidP="003155FE">
            <w:pPr>
              <w:spacing w:line="480" w:lineRule="auto"/>
              <w:cnfStyle w:val="000000100000" w:firstRow="0" w:lastRow="0" w:firstColumn="0" w:lastColumn="0" w:oddVBand="0" w:evenVBand="0" w:oddHBand="1" w:evenHBand="0" w:firstRowFirstColumn="0" w:firstRowLastColumn="0" w:lastRowFirstColumn="0" w:lastRowLastColumn="0"/>
            </w:pPr>
            <w:r>
              <w:t>Infection mortality rate</w:t>
            </w:r>
          </w:p>
        </w:tc>
        <w:tc>
          <w:tcPr>
            <w:tcW w:w="2254" w:type="dxa"/>
          </w:tcPr>
          <w:p w14:paraId="2135C144" w14:textId="1557A1A7" w:rsidR="00C20725" w:rsidRDefault="00B85EF1" w:rsidP="003155FE">
            <w:pPr>
              <w:spacing w:line="480" w:lineRule="auto"/>
              <w:cnfStyle w:val="000000100000" w:firstRow="0" w:lastRow="0" w:firstColumn="0" w:lastColumn="0" w:oddVBand="0" w:evenVBand="0" w:oddHBand="1" w:evenHBand="0" w:firstRowFirstColumn="0" w:firstRowLastColumn="0" w:lastRowFirstColumn="0" w:lastRowLastColumn="0"/>
            </w:pPr>
            <w:r>
              <w:t>2%</w:t>
            </w:r>
          </w:p>
        </w:tc>
        <w:tc>
          <w:tcPr>
            <w:tcW w:w="2254" w:type="dxa"/>
          </w:tcPr>
          <w:p w14:paraId="264421C6" w14:textId="50A7B5BD" w:rsidR="00C20725" w:rsidRDefault="00B85EF1" w:rsidP="003155FE">
            <w:pPr>
              <w:spacing w:line="480" w:lineRule="auto"/>
              <w:cnfStyle w:val="000000100000" w:firstRow="0" w:lastRow="0" w:firstColumn="0" w:lastColumn="0" w:oddVBand="0" w:evenVBand="0" w:oddHBand="1" w:evenHBand="0" w:firstRowFirstColumn="0" w:firstRowLastColumn="0" w:lastRowFirstColumn="0" w:lastRowLastColumn="0"/>
            </w:pPr>
            <w:r>
              <w:t>Senturk &amp; Yalcin, 2008</w:t>
            </w:r>
          </w:p>
        </w:tc>
      </w:tr>
      <w:tr w:rsidR="00B85EF1" w14:paraId="505C1371" w14:textId="77777777" w:rsidTr="001E535B">
        <w:tc>
          <w:tcPr>
            <w:cnfStyle w:val="001000000000" w:firstRow="0" w:lastRow="0" w:firstColumn="1" w:lastColumn="0" w:oddVBand="0" w:evenVBand="0" w:oddHBand="0" w:evenHBand="0" w:firstRowFirstColumn="0" w:firstRowLastColumn="0" w:lastRowFirstColumn="0" w:lastRowLastColumn="0"/>
            <w:tcW w:w="2254" w:type="dxa"/>
          </w:tcPr>
          <w:p w14:paraId="404CE053" w14:textId="17728327" w:rsidR="00B85EF1" w:rsidRDefault="00C802D2" w:rsidP="003155FE">
            <w:pPr>
              <w:spacing w:line="480" w:lineRule="auto"/>
            </w:pPr>
            <m:oMathPara>
              <m:oMath>
                <m:sSub>
                  <m:sSubPr>
                    <m:ctrlPr>
                      <w:rPr>
                        <w:rFonts w:ascii="Cambria Math" w:hAnsi="Cambria Math"/>
                        <w:b w:val="0"/>
                        <w:bCs w:val="0"/>
                        <w:i/>
                      </w:rPr>
                    </m:ctrlPr>
                  </m:sSubPr>
                  <m:e>
                    <m:r>
                      <m:rPr>
                        <m:sty m:val="b"/>
                      </m:rPr>
                      <w:rPr>
                        <w:rFonts w:ascii="Cambria Math" w:hAnsi="Cambria Math"/>
                      </w:rPr>
                      <m:t>Ω</m:t>
                    </m:r>
                    <m:ctrlPr>
                      <w:rPr>
                        <w:rFonts w:ascii="Cambria Math" w:hAnsi="Cambria Math"/>
                      </w:rPr>
                    </m:ctrlPr>
                  </m:e>
                  <m:sub>
                    <m:r>
                      <m:rPr>
                        <m:sty m:val="bi"/>
                      </m:rPr>
                      <w:rPr>
                        <w:rFonts w:ascii="Cambria Math" w:hAnsi="Cambria Math"/>
                      </w:rPr>
                      <m:t>n</m:t>
                    </m:r>
                  </m:sub>
                </m:sSub>
              </m:oMath>
            </m:oMathPara>
          </w:p>
        </w:tc>
        <w:tc>
          <w:tcPr>
            <w:tcW w:w="2254" w:type="dxa"/>
          </w:tcPr>
          <w:p w14:paraId="6046AC2A" w14:textId="3132562F" w:rsidR="00B85EF1" w:rsidRDefault="00B85EF1" w:rsidP="003155FE">
            <w:pPr>
              <w:spacing w:line="480" w:lineRule="auto"/>
              <w:cnfStyle w:val="000000000000" w:firstRow="0" w:lastRow="0" w:firstColumn="0" w:lastColumn="0" w:oddVBand="0" w:evenVBand="0" w:oddHBand="0" w:evenHBand="0" w:firstRowFirstColumn="0" w:firstRowLastColumn="0" w:lastRowFirstColumn="0" w:lastRowLastColumn="0"/>
            </w:pPr>
            <w:r>
              <w:t>Natural mortality rate</w:t>
            </w:r>
          </w:p>
        </w:tc>
        <w:tc>
          <w:tcPr>
            <w:tcW w:w="2254" w:type="dxa"/>
          </w:tcPr>
          <w:p w14:paraId="1247A333" w14:textId="314614DB" w:rsidR="00B85EF1" w:rsidRDefault="00B85EF1" w:rsidP="003155FE">
            <w:pPr>
              <w:spacing w:line="480" w:lineRule="auto"/>
              <w:cnfStyle w:val="000000000000" w:firstRow="0" w:lastRow="0" w:firstColumn="0" w:lastColumn="0" w:oddVBand="0" w:evenVBand="0" w:oddHBand="0" w:evenHBand="0" w:firstRowFirstColumn="0" w:firstRowLastColumn="0" w:lastRowFirstColumn="0" w:lastRowLastColumn="0"/>
            </w:pPr>
            <w:r>
              <w:t>2% rate</w:t>
            </w:r>
          </w:p>
        </w:tc>
        <w:tc>
          <w:tcPr>
            <w:tcW w:w="2254" w:type="dxa"/>
          </w:tcPr>
          <w:p w14:paraId="614C8A22" w14:textId="77777777" w:rsidR="00B85EF1" w:rsidRDefault="00B85EF1" w:rsidP="003155FE">
            <w:pPr>
              <w:spacing w:line="480" w:lineRule="auto"/>
              <w:cnfStyle w:val="000000000000" w:firstRow="0" w:lastRow="0" w:firstColumn="0" w:lastColumn="0" w:oddVBand="0" w:evenVBand="0" w:oddHBand="0" w:evenHBand="0" w:firstRowFirstColumn="0" w:firstRowLastColumn="0" w:lastRowFirstColumn="0" w:lastRowLastColumn="0"/>
            </w:pPr>
          </w:p>
        </w:tc>
      </w:tr>
      <w:tr w:rsidR="00BD09BE" w14:paraId="51EAB4D4" w14:textId="77777777" w:rsidTr="001E5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B5383BB" w14:textId="77777777" w:rsidR="00C832F6" w:rsidRPr="00C832F6" w:rsidRDefault="00C832F6" w:rsidP="003155FE">
            <w:pPr>
              <w:spacing w:line="480" w:lineRule="auto"/>
              <w:rPr>
                <w:rFonts w:eastAsiaTheme="minorEastAsia"/>
              </w:rPr>
            </w:pPr>
          </w:p>
          <w:p w14:paraId="429D8B16" w14:textId="592E2BCF" w:rsidR="00BD09BE" w:rsidRDefault="00C802D2" w:rsidP="003155FE">
            <w:pPr>
              <w:spacing w:line="480" w:lineRule="auto"/>
            </w:pPr>
            <m:oMathPara>
              <m:oMath>
                <m:sSubSup>
                  <m:sSubSupPr>
                    <m:ctrlPr>
                      <w:rPr>
                        <w:rFonts w:ascii="Cambria Math" w:hAnsi="Cambria Math"/>
                        <w:b w:val="0"/>
                        <w:bCs w:val="0"/>
                        <w:i/>
                      </w:rPr>
                    </m:ctrlPr>
                  </m:sSubSupPr>
                  <m:e>
                    <m:r>
                      <m:rPr>
                        <m:sty m:val="bi"/>
                      </m:rPr>
                      <w:rPr>
                        <w:rFonts w:ascii="Cambria Math" w:hAnsi="Cambria Math"/>
                      </w:rPr>
                      <m:t>ϕ</m:t>
                    </m:r>
                    <m:ctrlPr>
                      <w:rPr>
                        <w:rFonts w:ascii="Cambria Math" w:hAnsi="Cambria Math"/>
                        <w:i/>
                      </w:rPr>
                    </m:ctrlPr>
                  </m:e>
                  <m:sub>
                    <m:sSub>
                      <m:sSubPr>
                        <m:ctrlPr>
                          <w:rPr>
                            <w:rFonts w:ascii="Cambria Math" w:hAnsi="Cambria Math"/>
                            <w:b w:val="0"/>
                            <w:bCs w:val="0"/>
                            <w:i/>
                          </w:rPr>
                        </m:ctrlPr>
                      </m:sSubPr>
                      <m:e>
                        <m:r>
                          <m:rPr>
                            <m:sty m:val="bi"/>
                          </m:rPr>
                          <w:rPr>
                            <w:rFonts w:ascii="Cambria Math" w:hAnsi="Cambria Math"/>
                          </w:rPr>
                          <m:t>V</m:t>
                        </m:r>
                      </m:e>
                      <m:sub>
                        <m:r>
                          <m:rPr>
                            <m:sty m:val="bi"/>
                          </m:rPr>
                          <w:rPr>
                            <w:rFonts w:ascii="Cambria Math" w:hAnsi="Cambria Math"/>
                          </w:rPr>
                          <m:t>S</m:t>
                        </m:r>
                      </m:sub>
                    </m:sSub>
                    <m:ctrlPr>
                      <w:rPr>
                        <w:rFonts w:ascii="Cambria Math" w:hAnsi="Cambria Math"/>
                        <w:i/>
                      </w:rPr>
                    </m:ctrlPr>
                  </m:sub>
                  <m:sup>
                    <m:r>
                      <m:rPr>
                        <m:sty m:val="bi"/>
                      </m:rPr>
                      <w:rPr>
                        <w:rFonts w:ascii="Cambria Math" w:hAnsi="Cambria Math"/>
                      </w:rPr>
                      <m:t>-1</m:t>
                    </m:r>
                  </m:sup>
                </m:sSubSup>
              </m:oMath>
            </m:oMathPara>
          </w:p>
        </w:tc>
        <w:tc>
          <w:tcPr>
            <w:tcW w:w="2254" w:type="dxa"/>
          </w:tcPr>
          <w:p w14:paraId="30ED9672" w14:textId="70F9DF55" w:rsidR="00BD09BE" w:rsidRDefault="00BD09BE" w:rsidP="003155FE">
            <w:pPr>
              <w:spacing w:line="480" w:lineRule="auto"/>
              <w:cnfStyle w:val="000000100000" w:firstRow="0" w:lastRow="0" w:firstColumn="0" w:lastColumn="0" w:oddVBand="0" w:evenVBand="0" w:oddHBand="1" w:evenHBand="0" w:firstRowFirstColumn="0" w:firstRowLastColumn="0" w:lastRowFirstColumn="0" w:lastRowLastColumn="0"/>
            </w:pPr>
            <w:r>
              <w:t>Mean time vaccine-immune</w:t>
            </w:r>
          </w:p>
        </w:tc>
        <w:tc>
          <w:tcPr>
            <w:tcW w:w="2254" w:type="dxa"/>
          </w:tcPr>
          <w:p w14:paraId="25B169E2" w14:textId="3265787C" w:rsidR="00BD09BE" w:rsidRDefault="00BD09BE" w:rsidP="003155FE">
            <w:pPr>
              <w:spacing w:line="480" w:lineRule="auto"/>
              <w:cnfStyle w:val="000000100000" w:firstRow="0" w:lastRow="0" w:firstColumn="0" w:lastColumn="0" w:oddVBand="0" w:evenVBand="0" w:oddHBand="1" w:evenHBand="0" w:firstRowFirstColumn="0" w:firstRowLastColumn="0" w:lastRowFirstColumn="0" w:lastRowLastColumn="0"/>
            </w:pPr>
            <w:r>
              <w:t>150 days</w:t>
            </w:r>
          </w:p>
        </w:tc>
        <w:tc>
          <w:tcPr>
            <w:tcW w:w="2254" w:type="dxa"/>
          </w:tcPr>
          <w:p w14:paraId="2237CE1B" w14:textId="521314E4" w:rsidR="00BD09BE" w:rsidRDefault="00BD09BE" w:rsidP="003155FE">
            <w:pPr>
              <w:spacing w:line="480" w:lineRule="auto"/>
              <w:cnfStyle w:val="000000100000" w:firstRow="0" w:lastRow="0" w:firstColumn="0" w:lastColumn="0" w:oddVBand="0" w:evenVBand="0" w:oddHBand="1" w:evenHBand="0" w:firstRowFirstColumn="0" w:firstRowLastColumn="0" w:lastRowFirstColumn="0" w:lastRowLastColumn="0"/>
            </w:pPr>
            <w:r>
              <w:t xml:space="preserve">Doel 2003; Cox et al 2010; </w:t>
            </w:r>
            <w:r w:rsidR="00342C21">
              <w:t>Knight-Jones et al, 2015</w:t>
            </w:r>
          </w:p>
        </w:tc>
      </w:tr>
      <w:tr w:rsidR="00342C21" w14:paraId="46A948AD" w14:textId="77777777" w:rsidTr="001E535B">
        <w:tc>
          <w:tcPr>
            <w:cnfStyle w:val="001000000000" w:firstRow="0" w:lastRow="0" w:firstColumn="1" w:lastColumn="0" w:oddVBand="0" w:evenVBand="0" w:oddHBand="0" w:evenHBand="0" w:firstRowFirstColumn="0" w:firstRowLastColumn="0" w:lastRowFirstColumn="0" w:lastRowLastColumn="0"/>
            <w:tcW w:w="2254" w:type="dxa"/>
          </w:tcPr>
          <w:p w14:paraId="1899F8E9" w14:textId="15EDA70C" w:rsidR="00342C21" w:rsidRDefault="00C832F6" w:rsidP="003155FE">
            <w:pPr>
              <w:spacing w:line="480" w:lineRule="auto"/>
            </w:pPr>
            <w:r>
              <w:rPr>
                <w:rFonts w:ascii="Cambria Math" w:hAnsi="Cambria Math"/>
                <w:b w:val="0"/>
                <w:bCs w:val="0"/>
                <w:i/>
              </w:rPr>
              <w:br/>
            </w:r>
            <m:oMathPara>
              <m:oMath>
                <m:sSubSup>
                  <m:sSubSupPr>
                    <m:ctrlPr>
                      <w:rPr>
                        <w:rFonts w:ascii="Cambria Math" w:hAnsi="Cambria Math"/>
                        <w:b w:val="0"/>
                        <w:bCs w:val="0"/>
                        <w:i/>
                      </w:rPr>
                    </m:ctrlPr>
                  </m:sSubSupPr>
                  <m:e>
                    <m:r>
                      <m:rPr>
                        <m:sty m:val="bi"/>
                      </m:rPr>
                      <w:rPr>
                        <w:rFonts w:ascii="Cambria Math" w:hAnsi="Cambria Math"/>
                      </w:rPr>
                      <m:t>ϕ</m:t>
                    </m:r>
                    <m:ctrlPr>
                      <w:rPr>
                        <w:rFonts w:ascii="Cambria Math" w:hAnsi="Cambria Math"/>
                        <w:i/>
                      </w:rPr>
                    </m:ctrlPr>
                  </m:e>
                  <m:sub>
                    <m:sSub>
                      <m:sSubPr>
                        <m:ctrlPr>
                          <w:rPr>
                            <w:rFonts w:ascii="Cambria Math" w:hAnsi="Cambria Math"/>
                            <w:b w:val="0"/>
                            <w:bCs w:val="0"/>
                            <w:i/>
                          </w:rPr>
                        </m:ctrlPr>
                      </m:sSubPr>
                      <m:e>
                        <m:r>
                          <m:rPr>
                            <m:sty m:val="bi"/>
                          </m:rPr>
                          <w:rPr>
                            <w:rFonts w:ascii="Cambria Math" w:hAnsi="Cambria Math"/>
                          </w:rPr>
                          <m:t>V</m:t>
                        </m:r>
                      </m:e>
                      <m:sub>
                        <m:r>
                          <m:rPr>
                            <m:sty m:val="bi"/>
                          </m:rPr>
                          <w:rPr>
                            <w:rFonts w:ascii="Cambria Math" w:hAnsi="Cambria Math"/>
                          </w:rPr>
                          <m:t>R</m:t>
                        </m:r>
                      </m:sub>
                    </m:sSub>
                    <m:ctrlPr>
                      <w:rPr>
                        <w:rFonts w:ascii="Cambria Math" w:hAnsi="Cambria Math"/>
                        <w:i/>
                      </w:rPr>
                    </m:ctrlPr>
                  </m:sub>
                  <m:sup>
                    <m:r>
                      <m:rPr>
                        <m:sty m:val="bi"/>
                      </m:rPr>
                      <w:rPr>
                        <w:rFonts w:ascii="Cambria Math" w:hAnsi="Cambria Math"/>
                      </w:rPr>
                      <m:t>-1</m:t>
                    </m:r>
                  </m:sup>
                </m:sSubSup>
              </m:oMath>
            </m:oMathPara>
          </w:p>
        </w:tc>
        <w:tc>
          <w:tcPr>
            <w:tcW w:w="2254" w:type="dxa"/>
          </w:tcPr>
          <w:p w14:paraId="65EEB299" w14:textId="447BB528" w:rsidR="00342C21" w:rsidRDefault="00342C21" w:rsidP="003155FE">
            <w:pPr>
              <w:spacing w:line="480" w:lineRule="auto"/>
              <w:cnfStyle w:val="000000000000" w:firstRow="0" w:lastRow="0" w:firstColumn="0" w:lastColumn="0" w:oddVBand="0" w:evenVBand="0" w:oddHBand="0" w:evenHBand="0" w:firstRowFirstColumn="0" w:firstRowLastColumn="0" w:lastRowFirstColumn="0" w:lastRowLastColumn="0"/>
            </w:pPr>
            <w:r>
              <w:t xml:space="preserve">Mean time </w:t>
            </w:r>
            <w:proofErr w:type="gramStart"/>
            <w:r w:rsidR="00DF4F77">
              <w:t>vaccine-immune</w:t>
            </w:r>
            <w:proofErr w:type="gramEnd"/>
            <w:r w:rsidR="00DF4F77">
              <w:t xml:space="preserve"> (Recovered)</w:t>
            </w:r>
          </w:p>
        </w:tc>
        <w:tc>
          <w:tcPr>
            <w:tcW w:w="2254" w:type="dxa"/>
          </w:tcPr>
          <w:p w14:paraId="11467B04" w14:textId="12145927" w:rsidR="00342C21" w:rsidRDefault="00DF4F77" w:rsidP="003155FE">
            <w:pPr>
              <w:spacing w:line="480" w:lineRule="auto"/>
              <w:cnfStyle w:val="000000000000" w:firstRow="0" w:lastRow="0" w:firstColumn="0" w:lastColumn="0" w:oddVBand="0" w:evenVBand="0" w:oddHBand="0" w:evenHBand="0" w:firstRowFirstColumn="0" w:firstRowLastColumn="0" w:lastRowFirstColumn="0" w:lastRowLastColumn="0"/>
            </w:pPr>
            <w:r>
              <w:t>Max</w:t>
            </w:r>
            <w:r w:rsidR="009E74BA">
              <w:rPr>
                <w:b/>
                <w:bCs/>
              </w:rPr>
              <w:t xml:space="preserve">( </w:t>
            </w:r>
            <m:oMath>
              <m:sSubSup>
                <m:sSubSupPr>
                  <m:ctrlPr>
                    <w:rPr>
                      <w:rFonts w:ascii="Cambria Math" w:hAnsi="Cambria Math"/>
                      <w:b/>
                      <w:bCs/>
                      <w:i/>
                    </w:rPr>
                  </m:ctrlPr>
                </m:sSubSupPr>
                <m:e>
                  <m:r>
                    <w:rPr>
                      <w:rFonts w:ascii="Cambria Math" w:hAnsi="Cambria Math"/>
                    </w:rPr>
                    <m:t>ϕ</m:t>
                  </m:r>
                  <m:ctrlPr>
                    <w:rPr>
                      <w:rFonts w:ascii="Cambria Math" w:hAnsi="Cambria Math"/>
                      <w:i/>
                    </w:rPr>
                  </m:ctrlPr>
                </m:e>
                <m:sub>
                  <m:r>
                    <w:rPr>
                      <w:rFonts w:ascii="Cambria Math" w:hAnsi="Cambria Math"/>
                    </w:rPr>
                    <m:t>R</m:t>
                  </m:r>
                </m:sub>
                <m:sup>
                  <m:r>
                    <w:rPr>
                      <w:rFonts w:ascii="Cambria Math" w:hAnsi="Cambria Math"/>
                    </w:rPr>
                    <m:t>-1</m:t>
                  </m:r>
                </m:sup>
              </m:sSubSup>
            </m:oMath>
            <w:r>
              <w:t xml:space="preserve">, </w:t>
            </w:r>
            <m:oMath>
              <m:sSubSup>
                <m:sSubSupPr>
                  <m:ctrlPr>
                    <w:rPr>
                      <w:rFonts w:ascii="Cambria Math" w:hAnsi="Cambria Math"/>
                      <w:b/>
                      <w:bCs/>
                      <w:i/>
                    </w:rPr>
                  </m:ctrlPr>
                </m:sSubSupPr>
                <m:e>
                  <m:r>
                    <w:rPr>
                      <w:rFonts w:ascii="Cambria Math" w:hAnsi="Cambria Math"/>
                    </w:rPr>
                    <m:t>ϕ</m:t>
                  </m:r>
                  <m:ctrlPr>
                    <w:rPr>
                      <w:rFonts w:ascii="Cambria Math" w:hAnsi="Cambria Math"/>
                      <w:i/>
                    </w:rPr>
                  </m:ctrlPr>
                </m:e>
                <m:sub>
                  <m:sSub>
                    <m:sSubPr>
                      <m:ctrlPr>
                        <w:rPr>
                          <w:rFonts w:ascii="Cambria Math" w:hAnsi="Cambria Math"/>
                          <w:b/>
                          <w:bCs/>
                          <w:i/>
                        </w:rPr>
                      </m:ctrlPr>
                    </m:sSubPr>
                    <m:e>
                      <m:r>
                        <w:rPr>
                          <w:rFonts w:ascii="Cambria Math" w:hAnsi="Cambria Math"/>
                        </w:rPr>
                        <m:t>V</m:t>
                      </m:r>
                    </m:e>
                    <m:sub>
                      <m:r>
                        <w:rPr>
                          <w:rFonts w:ascii="Cambria Math" w:hAnsi="Cambria Math"/>
                        </w:rPr>
                        <m:t>R</m:t>
                      </m:r>
                    </m:sub>
                  </m:sSub>
                  <m:ctrlPr>
                    <w:rPr>
                      <w:rFonts w:ascii="Cambria Math" w:hAnsi="Cambria Math"/>
                      <w:i/>
                    </w:rPr>
                  </m:ctrlPr>
                </m:sub>
                <m:sup>
                  <m:r>
                    <w:rPr>
                      <w:rFonts w:ascii="Cambria Math" w:hAnsi="Cambria Math"/>
                    </w:rPr>
                    <m:t>-1</m:t>
                  </m:r>
                </m:sup>
              </m:sSubSup>
            </m:oMath>
            <w:r w:rsidR="009E74BA">
              <w:rPr>
                <w:rFonts w:eastAsiaTheme="minorEastAsia"/>
                <w:b/>
                <w:bCs/>
              </w:rPr>
              <w:t>)</w:t>
            </w:r>
          </w:p>
        </w:tc>
        <w:tc>
          <w:tcPr>
            <w:tcW w:w="2254" w:type="dxa"/>
          </w:tcPr>
          <w:p w14:paraId="57E9FD5A" w14:textId="7D6452DB" w:rsidR="00342C21" w:rsidRDefault="00DF4F77" w:rsidP="003155FE">
            <w:pPr>
              <w:spacing w:line="480" w:lineRule="auto"/>
              <w:cnfStyle w:val="000000000000" w:firstRow="0" w:lastRow="0" w:firstColumn="0" w:lastColumn="0" w:oddVBand="0" w:evenVBand="0" w:oddHBand="0" w:evenHBand="0" w:firstRowFirstColumn="0" w:firstRowLastColumn="0" w:lastRowFirstColumn="0" w:lastRowLastColumn="0"/>
            </w:pPr>
            <w:r>
              <w:t>Doel 2003; Cox et al 2010; Knight-Jones et al, 2015</w:t>
            </w:r>
          </w:p>
        </w:tc>
      </w:tr>
      <w:tr w:rsidR="00DF4F77" w14:paraId="78A81568" w14:textId="77777777" w:rsidTr="001E5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AFED55F" w14:textId="167498D4" w:rsidR="00DF4F77" w:rsidRDefault="00C832F6" w:rsidP="003155FE">
            <w:pPr>
              <w:spacing w:line="480" w:lineRule="auto"/>
            </w:pPr>
            <m:oMathPara>
              <m:oMath>
                <m:r>
                  <m:rPr>
                    <m:sty m:val="bi"/>
                  </m:rPr>
                  <w:rPr>
                    <w:rFonts w:ascii="Cambria Math" w:hAnsi="Cambria Math"/>
                  </w:rPr>
                  <m:t>ρ</m:t>
                </m:r>
              </m:oMath>
            </m:oMathPara>
          </w:p>
        </w:tc>
        <w:tc>
          <w:tcPr>
            <w:tcW w:w="2254" w:type="dxa"/>
          </w:tcPr>
          <w:p w14:paraId="7D4C850F" w14:textId="00DE3597" w:rsidR="00DF4F77" w:rsidRDefault="00CB009C" w:rsidP="003155FE">
            <w:pPr>
              <w:spacing w:line="480" w:lineRule="auto"/>
              <w:cnfStyle w:val="000000100000" w:firstRow="0" w:lastRow="0" w:firstColumn="0" w:lastColumn="0" w:oddVBand="0" w:evenVBand="0" w:oddHBand="1" w:evenHBand="0" w:firstRowFirstColumn="0" w:firstRowLastColumn="0" w:lastRowFirstColumn="0" w:lastRowLastColumn="0"/>
            </w:pPr>
            <w:r>
              <w:t>Vaccine delay days</w:t>
            </w:r>
          </w:p>
        </w:tc>
        <w:tc>
          <w:tcPr>
            <w:tcW w:w="2254" w:type="dxa"/>
          </w:tcPr>
          <w:p w14:paraId="7B9991B2" w14:textId="3F9DC254" w:rsidR="00DF4F77" w:rsidRDefault="00CB009C" w:rsidP="003155FE">
            <w:pPr>
              <w:spacing w:line="480" w:lineRule="auto"/>
              <w:cnfStyle w:val="000000100000" w:firstRow="0" w:lastRow="0" w:firstColumn="0" w:lastColumn="0" w:oddVBand="0" w:evenVBand="0" w:oddHBand="1" w:evenHBand="0" w:firstRowFirstColumn="0" w:firstRowLastColumn="0" w:lastRowFirstColumn="0" w:lastRowLastColumn="0"/>
            </w:pPr>
            <w:r>
              <w:t>4 days</w:t>
            </w:r>
          </w:p>
        </w:tc>
        <w:tc>
          <w:tcPr>
            <w:tcW w:w="2254" w:type="dxa"/>
          </w:tcPr>
          <w:p w14:paraId="4D77669B" w14:textId="607B4377" w:rsidR="00DF4F77" w:rsidRDefault="00CB009C" w:rsidP="003155FE">
            <w:pPr>
              <w:spacing w:line="480" w:lineRule="auto"/>
              <w:cnfStyle w:val="000000100000" w:firstRow="0" w:lastRow="0" w:firstColumn="0" w:lastColumn="0" w:oddVBand="0" w:evenVBand="0" w:oddHBand="1" w:evenHBand="0" w:firstRowFirstColumn="0" w:firstRowLastColumn="0" w:lastRowFirstColumn="0" w:lastRowLastColumn="0"/>
            </w:pPr>
            <w:r>
              <w:t>Barnett &amp; Carabin, 2002</w:t>
            </w:r>
          </w:p>
        </w:tc>
      </w:tr>
    </w:tbl>
    <w:p w14:paraId="048D6319" w14:textId="77777777" w:rsidR="00C20725" w:rsidRDefault="00C20725" w:rsidP="003155FE">
      <w:pPr>
        <w:spacing w:line="480" w:lineRule="auto"/>
        <w:ind w:firstLine="720"/>
      </w:pPr>
    </w:p>
    <w:p w14:paraId="4A8E194A" w14:textId="77777777" w:rsidR="00473C1D" w:rsidRDefault="00473C1D" w:rsidP="003155FE">
      <w:pPr>
        <w:spacing w:line="480" w:lineRule="auto"/>
        <w:ind w:firstLine="720"/>
      </w:pPr>
    </w:p>
    <w:p w14:paraId="100B7570" w14:textId="47CED1AC" w:rsidR="00EC6D7A" w:rsidRPr="000D78C0" w:rsidRDefault="00EC6D7A" w:rsidP="003155FE">
      <w:pPr>
        <w:spacing w:line="480" w:lineRule="auto"/>
      </w:pPr>
      <w:r>
        <w:tab/>
        <w:t xml:space="preserve">Vaccination </w:t>
      </w:r>
      <w:r w:rsidR="00EB605F">
        <w:t>moves a proportion of susceptible and recovered animals into their respective vaccinated compartments, with protection occurring after a delay an</w:t>
      </w:r>
      <w:r w:rsidR="00191452">
        <w:t>d waning back into the susceptible state.</w:t>
      </w:r>
    </w:p>
    <w:p w14:paraId="055D0C0B" w14:textId="77777777" w:rsidR="00191452" w:rsidRDefault="0056017E" w:rsidP="003155FE">
      <w:pPr>
        <w:pStyle w:val="Heading3"/>
        <w:tabs>
          <w:tab w:val="center" w:pos="594"/>
          <w:tab w:val="center" w:pos="2418"/>
        </w:tabs>
        <w:spacing w:line="480" w:lineRule="auto"/>
        <w:ind w:left="-15"/>
      </w:pPr>
      <w:r>
        <w:t>Between-farm transmission</w:t>
      </w:r>
    </w:p>
    <w:p w14:paraId="6D392BD5" w14:textId="07E8A41D" w:rsidR="00191452" w:rsidRDefault="00191452" w:rsidP="003155FE">
      <w:pPr>
        <w:spacing w:line="480" w:lineRule="auto"/>
        <w:ind w:firstLine="720"/>
      </w:pPr>
      <w:r>
        <w:t xml:space="preserve">There are two distinct mechanisms through which inter-farm transmission is modelled. </w:t>
      </w:r>
      <w:r w:rsidR="00977D9C">
        <w:t xml:space="preserve">First, direct cattle movements are simulated explicitly using the available </w:t>
      </w:r>
      <w:r w:rsidR="00977D9C">
        <w:lastRenderedPageBreak/>
        <w:t xml:space="preserve">movement data. The </w:t>
      </w:r>
      <w:r w:rsidR="00D77986">
        <w:t>probability of seeding infection in a sink farm is proportional to the number of animals moved and the prevalence of infection in the source farm.</w:t>
      </w:r>
    </w:p>
    <w:p w14:paraId="4CB615A7" w14:textId="27AD3EB6" w:rsidR="006D55BB" w:rsidRDefault="006D55BB" w:rsidP="003155FE">
      <w:pPr>
        <w:spacing w:line="480" w:lineRule="auto"/>
        <w:ind w:firstLine="720"/>
      </w:pPr>
      <w:r>
        <w:t xml:space="preserve">Second, a distance-dependent kernel </w:t>
      </w:r>
      <w:r w:rsidR="00D41B60">
        <w:t xml:space="preserve">(equation below) </w:t>
      </w:r>
      <w:r>
        <w:t xml:space="preserve">captures the indirect and short-range transmission routes, including aerosol spread and unobserved contacts. </w:t>
      </w:r>
      <w:r w:rsidR="00DD6B93">
        <w:t>The force of infection between two farms declines with increasing geographic separation and increases with the number of infectious animals in the source farm, as well as the number of susceptible animals in the sink farm.</w:t>
      </w:r>
    </w:p>
    <w:p w14:paraId="0CE48087" w14:textId="627A000A" w:rsidR="00E254FC" w:rsidRPr="00AE0DF5" w:rsidRDefault="00C802D2" w:rsidP="003155FE">
      <w:pPr>
        <w:spacing w:line="480" w:lineRule="auto"/>
        <w:ind w:firstLine="720"/>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 xml:space="preserve">=1- </m:t>
          </m:r>
          <m:sSup>
            <m:sSupPr>
              <m:ctrlPr>
                <w:rPr>
                  <w:rFonts w:ascii="Cambria Math" w:hAnsi="Cambria Math"/>
                  <w:i/>
                </w:rPr>
              </m:ctrlPr>
            </m:sSupPr>
            <m:e>
              <m:r>
                <w:rPr>
                  <w:rFonts w:ascii="Cambria Math" w:hAnsi="Cambria Math"/>
                </w:rPr>
                <m:t>e</m:t>
              </m:r>
            </m:e>
            <m:sup>
              <m:r>
                <w:rPr>
                  <w:rFonts w:ascii="Cambria Math" w:hAnsi="Cambria Math"/>
                </w:rPr>
                <m:t>-ζ</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w:rPr>
                          <w:rFonts w:ascii="Cambria Math" w:hAnsi="Cambria Math"/>
                        </w:rPr>
                        <m:t>X</m:t>
                      </m:r>
                    </m:e>
                    <m:sub>
                      <m:r>
                        <w:rPr>
                          <w:rFonts w:ascii="Cambria Math" w:hAnsi="Cambria Math"/>
                        </w:rPr>
                        <m:t>jt</m:t>
                      </m:r>
                    </m:sub>
                    <m:sup>
                      <m:r>
                        <w:rPr>
                          <w:rFonts w:ascii="Cambria Math" w:hAnsi="Cambria Math"/>
                        </w:rPr>
                        <m:t>I</m:t>
                      </m:r>
                    </m:sup>
                  </m:sSubSup>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ij</m:t>
                          </m:r>
                        </m:sub>
                      </m:sSub>
                    </m:e>
                  </m:d>
                </m:e>
              </m:nary>
            </m:sup>
          </m:sSup>
        </m:oMath>
      </m:oMathPara>
    </w:p>
    <w:p w14:paraId="6EBAAB14" w14:textId="36815672" w:rsidR="00AE0DF5" w:rsidRPr="00AE0DF5" w:rsidRDefault="007D2E5A" w:rsidP="003155FE">
      <w:pPr>
        <w:spacing w:line="480" w:lineRule="auto"/>
        <w:ind w:firstLine="720"/>
        <w:rPr>
          <w:rFonts w:eastAsiaTheme="minorEastAsia"/>
        </w:rPr>
      </w:pPr>
      <m:oMathPara>
        <m:oMath>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ij</m:t>
                  </m:r>
                </m:sub>
              </m:sSub>
            </m:e>
          </m:d>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ij</m:t>
                              </m:r>
                            </m:sub>
                          </m:sSub>
                        </m:num>
                        <m:den>
                          <m:r>
                            <w:rPr>
                              <w:rFonts w:ascii="Cambria Math" w:eastAsiaTheme="minorEastAsia" w:hAnsi="Cambria Math"/>
                            </w:rPr>
                            <m:t>ν</m:t>
                          </m:r>
                        </m:den>
                      </m:f>
                    </m:e>
                  </m:d>
                </m:e>
                <m:sup>
                  <m:r>
                    <w:rPr>
                      <w:rFonts w:ascii="Cambria Math" w:eastAsiaTheme="minorEastAsia" w:hAnsi="Cambria Math"/>
                    </w:rPr>
                    <m:t>η</m:t>
                  </m:r>
                </m:sup>
              </m:sSup>
            </m:den>
          </m:f>
        </m:oMath>
      </m:oMathPara>
    </w:p>
    <w:p w14:paraId="3FFC788D" w14:textId="65E02FD7" w:rsidR="0046177A" w:rsidRDefault="00C802D2" w:rsidP="003155FE">
      <w:pPr>
        <w:spacing w:line="480" w:lineRule="auto"/>
        <w:rPr>
          <w:rFonts w:eastAsiaTheme="minorEastAsia"/>
        </w:rPr>
      </w:pPr>
      <m:oMath>
        <m:sSub>
          <m:sSubPr>
            <m:ctrlPr>
              <w:rPr>
                <w:rFonts w:ascii="Cambria Math" w:hAnsi="Cambria Math"/>
              </w:rPr>
            </m:ctrlPr>
          </m:sSubPr>
          <m:e>
            <m:r>
              <w:rPr>
                <w:rFonts w:ascii="Cambria Math" w:hAnsi="Cambria Math"/>
              </w:rPr>
              <m:t>d</m:t>
            </m:r>
            <m:ctrlPr>
              <w:rPr>
                <w:rFonts w:ascii="Cambria Math" w:hAnsi="Cambria Math"/>
                <w:i/>
                <w:iCs/>
              </w:rPr>
            </m:ctrlPr>
          </m:e>
          <m:sub>
            <m:r>
              <w:rPr>
                <w:rFonts w:ascii="Cambria Math" w:hAnsi="Cambria Math"/>
              </w:rPr>
              <m:t>ij</m:t>
            </m:r>
          </m:sub>
        </m:sSub>
      </m:oMath>
      <w:r w:rsidR="00D93989">
        <w:rPr>
          <w:rFonts w:eastAsiaTheme="minorEastAsia"/>
        </w:rPr>
        <w:t xml:space="preserve"> is the Euclidean distance between farm centroids, </w:t>
      </w:r>
      <m:oMath>
        <m:r>
          <w:rPr>
            <w:rFonts w:ascii="Cambria Math" w:eastAsiaTheme="minorEastAsia" w:hAnsi="Cambria Math"/>
          </w:rPr>
          <m:t>ζ</m:t>
        </m:r>
      </m:oMath>
      <w:r w:rsidR="00D93989">
        <w:rPr>
          <w:rFonts w:eastAsiaTheme="minorEastAsia"/>
        </w:rPr>
        <w:t xml:space="preserve"> is a baseline inter-farm transmission rate, and </w:t>
      </w:r>
      <m:oMath>
        <m:r>
          <w:rPr>
            <w:rFonts w:ascii="Cambria Math" w:eastAsiaTheme="minorEastAsia" w:hAnsi="Cambria Math"/>
          </w:rPr>
          <m:t>ν</m:t>
        </m:r>
      </m:oMath>
      <w:r w:rsidR="00DA2592">
        <w:rPr>
          <w:rFonts w:eastAsiaTheme="minorEastAsia"/>
        </w:rPr>
        <w:t xml:space="preserve"> </w:t>
      </w:r>
      <w:r w:rsidR="00D93989">
        <w:rPr>
          <w:rFonts w:eastAsiaTheme="minorEastAsia"/>
        </w:rPr>
        <w:t xml:space="preserve">and </w:t>
      </w:r>
      <m:oMath>
        <m:r>
          <w:rPr>
            <w:rFonts w:ascii="Cambria Math" w:eastAsiaTheme="minorEastAsia" w:hAnsi="Cambria Math"/>
          </w:rPr>
          <m:t>η</m:t>
        </m:r>
      </m:oMath>
      <w:r w:rsidR="00D93989">
        <w:rPr>
          <w:rFonts w:eastAsiaTheme="minorEastAsia"/>
        </w:rPr>
        <w:t xml:space="preserve"> gove</w:t>
      </w:r>
      <w:proofErr w:type="spellStart"/>
      <w:r w:rsidR="00DA2592">
        <w:rPr>
          <w:rFonts w:eastAsiaTheme="minorEastAsia"/>
        </w:rPr>
        <w:t>r</w:t>
      </w:r>
      <w:r w:rsidR="00D93989">
        <w:rPr>
          <w:rFonts w:eastAsiaTheme="minorEastAsia"/>
        </w:rPr>
        <w:t>n</w:t>
      </w:r>
      <w:proofErr w:type="spellEnd"/>
      <w:r w:rsidR="008C7031">
        <w:rPr>
          <w:rFonts w:eastAsiaTheme="minorEastAsia"/>
        </w:rPr>
        <w:t xml:space="preserve"> how local spread decays with distance. Values used are sourced from the posterior distribution of Guyver-Fletcher et al, 2025.</w:t>
      </w:r>
    </w:p>
    <w:p w14:paraId="1DF073B1" w14:textId="475FC45A" w:rsidR="000F17EB" w:rsidRPr="00767061" w:rsidRDefault="00767061" w:rsidP="003155FE">
      <w:pPr>
        <w:spacing w:line="480" w:lineRule="auto"/>
      </w:pPr>
      <w:r>
        <w:rPr>
          <w:rFonts w:eastAsiaTheme="minorEastAsia"/>
          <w:iCs/>
        </w:rPr>
        <w:t xml:space="preserve"> </w:t>
      </w:r>
    </w:p>
    <w:p w14:paraId="4F390361" w14:textId="43CCAC07" w:rsidR="00BF10E6" w:rsidRDefault="00BF10E6" w:rsidP="003155FE">
      <w:pPr>
        <w:pStyle w:val="Heading3"/>
        <w:spacing w:line="480" w:lineRule="auto"/>
      </w:pPr>
      <w:r>
        <w:t>Mass Vaccination</w:t>
      </w:r>
    </w:p>
    <w:p w14:paraId="75B2A324" w14:textId="393E5E8E" w:rsidR="00BF10E6" w:rsidRPr="00BF10E6" w:rsidRDefault="00BF10E6" w:rsidP="003155FE">
      <w:pPr>
        <w:spacing w:line="480" w:lineRule="auto"/>
      </w:pPr>
      <w:r>
        <w:tab/>
      </w:r>
      <w:r w:rsidR="00061EDA">
        <w:t xml:space="preserve">Simulations include the option for control policies when specified. </w:t>
      </w:r>
      <w:r w:rsidR="00FC1DB4">
        <w:t xml:space="preserve">Mass vaccination is modelled as </w:t>
      </w:r>
      <w:r w:rsidR="00A21C63">
        <w:t xml:space="preserve">occurring on fixed intervals (e.g. every 182 days), at which </w:t>
      </w:r>
      <w:r w:rsidR="004740EC">
        <w:t>farms are targeted for vaccination and ordered according to the desired criteria (</w:t>
      </w:r>
      <w:r w:rsidR="00D14BC8">
        <w:t xml:space="preserve">random – i.e. shuffled, </w:t>
      </w:r>
      <w:r w:rsidR="004740EC">
        <w:t xml:space="preserve">population, density, </w:t>
      </w:r>
      <w:r w:rsidR="00D14BC8">
        <w:t>degree). The number of ‘available’ vaccine doses</w:t>
      </w:r>
      <w:r w:rsidR="006379B5">
        <w:t xml:space="preserve"> at that moment</w:t>
      </w:r>
      <w:r w:rsidR="00D14BC8">
        <w:t xml:space="preserve"> </w:t>
      </w:r>
      <w:r w:rsidR="006379B5">
        <w:t>is</w:t>
      </w:r>
      <w:r w:rsidR="00D14BC8">
        <w:t xml:space="preserve"> calculated </w:t>
      </w:r>
      <w:r w:rsidR="006379B5">
        <w:t>(doses per capita multiplied by the number of animals</w:t>
      </w:r>
      <w:r w:rsidR="00F76CFB">
        <w:t xml:space="preserve"> at time t). The farm at the top of the ordered list is vaccinated </w:t>
      </w:r>
      <w:r w:rsidR="003A2171">
        <w:t xml:space="preserve">and the number of doses used is subtracted from the doses in stock, until either </w:t>
      </w:r>
      <w:r w:rsidR="000526FA">
        <w:t xml:space="preserve">all farms are vaccinated or there </w:t>
      </w:r>
      <w:r w:rsidR="000E7A89">
        <w:t>is</w:t>
      </w:r>
      <w:r w:rsidR="000526FA">
        <w:t xml:space="preserve"> insufficient vaccine doses left to vaccinate the farm next on the list. </w:t>
      </w:r>
      <w:r w:rsidR="002D77CF">
        <w:t xml:space="preserve">When a farm is </w:t>
      </w:r>
      <w:r w:rsidR="002D77CF">
        <w:lastRenderedPageBreak/>
        <w:t>vaccinated, the ‘true’ efficacy of the vaccine (i.e. the proportion of the vaccinated population that is assumed to result in protection)</w:t>
      </w:r>
      <w:r w:rsidR="005E6D3C">
        <w:t xml:space="preserve"> is drawn from a normal distribution centred on the average efficacy specified for the vaccine.</w:t>
      </w:r>
    </w:p>
    <w:p w14:paraId="1DDA4633" w14:textId="77777777" w:rsidR="00CE61B7" w:rsidRPr="008F6160" w:rsidRDefault="00CE61B7" w:rsidP="003155FE">
      <w:pPr>
        <w:pBdr>
          <w:bottom w:val="single" w:sz="6" w:space="1" w:color="auto"/>
        </w:pBdr>
        <w:spacing w:line="480" w:lineRule="auto"/>
        <w:rPr>
          <w:rFonts w:eastAsiaTheme="minorEastAsia"/>
        </w:rPr>
      </w:pPr>
    </w:p>
    <w:p w14:paraId="061D5183" w14:textId="77777777" w:rsidR="006F4141" w:rsidRPr="00CB3251" w:rsidRDefault="006F4141" w:rsidP="003155FE">
      <w:pPr>
        <w:spacing w:line="480" w:lineRule="auto"/>
      </w:pPr>
    </w:p>
    <w:p w14:paraId="3A72157D" w14:textId="07D42DF8" w:rsidR="00F53460" w:rsidRDefault="00F53460" w:rsidP="003155FE">
      <w:pPr>
        <w:pStyle w:val="Heading2"/>
        <w:numPr>
          <w:ilvl w:val="0"/>
          <w:numId w:val="11"/>
        </w:numPr>
        <w:spacing w:line="480" w:lineRule="auto"/>
      </w:pPr>
      <w:r>
        <w:t>Marginal Prevalence Elasticity</w:t>
      </w:r>
    </w:p>
    <w:p w14:paraId="36C83C53" w14:textId="77777777" w:rsidR="003878F4" w:rsidRDefault="003878F4" w:rsidP="003155FE">
      <w:pPr>
        <w:spacing w:line="480" w:lineRule="auto"/>
        <w:rPr>
          <w:b/>
          <w:bCs/>
        </w:rPr>
      </w:pPr>
    </w:p>
    <w:p w14:paraId="57C64C42" w14:textId="58E1B81A" w:rsidR="003878F4" w:rsidRDefault="003878F4" w:rsidP="003155FE">
      <w:pPr>
        <w:spacing w:line="480" w:lineRule="auto"/>
      </w:pPr>
      <w:r>
        <w:fldChar w:fldCharType="begin"/>
      </w:r>
      <w:r>
        <w:instrText xml:space="preserve"> REF _Ref203666484 \h  \* MERGEFORMAT </w:instrText>
      </w:r>
      <w:r>
        <w:fldChar w:fldCharType="separate"/>
      </w:r>
      <w:r w:rsidRPr="00F458F5">
        <w:rPr>
          <w:b/>
          <w:bCs/>
          <w:sz w:val="22"/>
          <w:szCs w:val="22"/>
        </w:rPr>
        <w:t xml:space="preserve">Figure </w:t>
      </w:r>
      <w:r w:rsidR="00503991">
        <w:rPr>
          <w:b/>
          <w:bCs/>
          <w:noProof/>
          <w:sz w:val="22"/>
          <w:szCs w:val="22"/>
        </w:rPr>
        <w:t>1</w:t>
      </w:r>
      <w:r>
        <w:fldChar w:fldCharType="end"/>
      </w:r>
      <w:r>
        <w:t xml:space="preserve"> demonstrates the marginal prevalence elasticity for each strategy – a measure of how responsive prevalence is to a change in vaccine availability. At both vaccine efficacies, the random strategy exhibits a </w:t>
      </w:r>
      <w:proofErr w:type="gramStart"/>
      <w:r>
        <w:t>fairly constant</w:t>
      </w:r>
      <w:proofErr w:type="gramEnd"/>
      <w:r>
        <w:t xml:space="preserve"> elasticity, slowly improving from approximately –0.8 to –1.</w:t>
      </w:r>
      <w:proofErr w:type="gramStart"/>
      <w:r>
        <w:t>0  between</w:t>
      </w:r>
      <w:proofErr w:type="gramEnd"/>
      <w:r>
        <w:t xml:space="preserve"> </w:t>
      </w:r>
      <w:r w:rsidRPr="36603F6D">
        <w:rPr>
          <w:rFonts w:ascii="Symbol" w:eastAsia="Symbol" w:hAnsi="Symbol" w:cs="Symbol"/>
        </w:rPr>
        <w:t>d</w:t>
      </w:r>
      <w:r w:rsidRPr="36603F6D">
        <w:rPr>
          <w:vertAlign w:val="subscript"/>
        </w:rPr>
        <w:t>v</w:t>
      </w:r>
      <w:r w:rsidRPr="36603F6D">
        <w:t xml:space="preserve"> = </w:t>
      </w:r>
      <w:r w:rsidRPr="20E26863">
        <w:t xml:space="preserve">0 to 0.5, and improving faster to </w:t>
      </w:r>
      <w:r w:rsidRPr="2E17C2FA">
        <w:t>approximately –2</w:t>
      </w:r>
      <w:r>
        <w:t xml:space="preserve"> (VE = 71) or -3.7 (VE=90)</w:t>
      </w:r>
      <w:r w:rsidRPr="2E17C2FA">
        <w:t xml:space="preserve"> as </w:t>
      </w:r>
      <w:r w:rsidRPr="2E17C2FA">
        <w:rPr>
          <w:rFonts w:ascii="Symbol" w:eastAsia="Symbol" w:hAnsi="Symbol" w:cs="Symbol"/>
        </w:rPr>
        <w:t>d</w:t>
      </w:r>
      <w:r w:rsidRPr="2E17C2FA">
        <w:rPr>
          <w:vertAlign w:val="subscript"/>
        </w:rPr>
        <w:t>v</w:t>
      </w:r>
      <w:r w:rsidRPr="2E17C2FA">
        <w:t xml:space="preserve"> approaches 1.0. </w:t>
      </w:r>
      <w:r w:rsidRPr="18A22F59">
        <w:t xml:space="preserve">In contrast, the population-based allocation strategy </w:t>
      </w:r>
      <w:r w:rsidRPr="0F579794">
        <w:t xml:space="preserve">starts at approximately 0, exhibiting no effect on </w:t>
      </w:r>
      <w:r w:rsidRPr="708B0FAC">
        <w:t xml:space="preserve">simulated prevalence, until </w:t>
      </w:r>
      <w:r w:rsidRPr="708B0FAC">
        <w:rPr>
          <w:rFonts w:ascii="Symbol" w:eastAsia="Symbol" w:hAnsi="Symbol" w:cs="Symbol"/>
        </w:rPr>
        <w:t>d</w:t>
      </w:r>
      <w:r w:rsidRPr="708B0FAC">
        <w:rPr>
          <w:vertAlign w:val="subscript"/>
        </w:rPr>
        <w:t xml:space="preserve">v </w:t>
      </w:r>
      <w:r w:rsidRPr="708B0FAC">
        <w:t xml:space="preserve">exceeds 0.25, before </w:t>
      </w:r>
      <w:r w:rsidRPr="67A5A23A">
        <w:t xml:space="preserve">more rapidly improving to approximately –3.5 </w:t>
      </w:r>
      <w:r w:rsidRPr="4A50813F">
        <w:t xml:space="preserve">at </w:t>
      </w:r>
      <w:r w:rsidRPr="4A50813F">
        <w:rPr>
          <w:rFonts w:ascii="Symbol" w:eastAsia="Symbol" w:hAnsi="Symbol" w:cs="Symbol"/>
        </w:rPr>
        <w:t>d</w:t>
      </w:r>
      <w:r w:rsidRPr="4A50813F">
        <w:rPr>
          <w:vertAlign w:val="subscript"/>
        </w:rPr>
        <w:t xml:space="preserve">v </w:t>
      </w:r>
      <w:r w:rsidRPr="4A50813F">
        <w:t>= 0</w:t>
      </w:r>
      <w:r w:rsidRPr="1039E1FA">
        <w:t xml:space="preserve">.9 and then </w:t>
      </w:r>
      <w:r w:rsidRPr="4AEF591D">
        <w:t xml:space="preserve">climbing to </w:t>
      </w:r>
      <w:r w:rsidRPr="6B1FA025">
        <w:t xml:space="preserve">–2 at </w:t>
      </w:r>
      <w:r w:rsidRPr="6B1FA025">
        <w:rPr>
          <w:rFonts w:ascii="Symbol" w:eastAsia="Symbol" w:hAnsi="Symbol" w:cs="Symbol"/>
        </w:rPr>
        <w:t>d</w:t>
      </w:r>
      <w:r w:rsidRPr="6B1FA025">
        <w:rPr>
          <w:vertAlign w:val="subscript"/>
        </w:rPr>
        <w:t xml:space="preserve">v </w:t>
      </w:r>
      <w:r w:rsidRPr="6B1FA025">
        <w:t>= 1.0.</w:t>
      </w:r>
    </w:p>
    <w:p w14:paraId="6D6862CE" w14:textId="77777777" w:rsidR="003878F4" w:rsidRDefault="003878F4" w:rsidP="003155FE">
      <w:pPr>
        <w:spacing w:line="480" w:lineRule="auto"/>
      </w:pPr>
    </w:p>
    <w:p w14:paraId="58A36914" w14:textId="77777777" w:rsidR="003878F4" w:rsidRDefault="003878F4" w:rsidP="003155FE">
      <w:pPr>
        <w:keepNext/>
        <w:spacing w:line="480" w:lineRule="auto"/>
      </w:pPr>
      <w:r>
        <w:rPr>
          <w:noProof/>
        </w:rPr>
        <w:lastRenderedPageBreak/>
        <w:drawing>
          <wp:inline distT="0" distB="0" distL="0" distR="0" wp14:anchorId="5E6ADD03" wp14:editId="44ADAD9B">
            <wp:extent cx="5731510" cy="3582035"/>
            <wp:effectExtent l="0" t="0" r="0" b="0"/>
            <wp:docPr id="841035631" name="Picture 4" descr="A graph of a graph with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35631" name="Picture 4" descr="A graph of a graph with colored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582035"/>
                    </a:xfrm>
                    <a:prstGeom prst="rect">
                      <a:avLst/>
                    </a:prstGeom>
                  </pic:spPr>
                </pic:pic>
              </a:graphicData>
            </a:graphic>
          </wp:inline>
        </w:drawing>
      </w:r>
    </w:p>
    <w:p w14:paraId="100301DB" w14:textId="7C82284A" w:rsidR="003878F4" w:rsidRDefault="003878F4" w:rsidP="003155FE">
      <w:pPr>
        <w:pStyle w:val="Caption"/>
        <w:spacing w:line="480" w:lineRule="auto"/>
        <w:rPr>
          <w:sz w:val="22"/>
          <w:szCs w:val="22"/>
        </w:rPr>
      </w:pPr>
      <w:bookmarkStart w:id="0" w:name="_Ref203666484"/>
      <w:r w:rsidRPr="00F458F5">
        <w:rPr>
          <w:b/>
          <w:bCs/>
          <w:sz w:val="22"/>
          <w:szCs w:val="22"/>
        </w:rPr>
        <w:t xml:space="preserve">Figure </w:t>
      </w:r>
      <w:r w:rsidRPr="00F458F5">
        <w:rPr>
          <w:b/>
          <w:bCs/>
          <w:sz w:val="22"/>
          <w:szCs w:val="22"/>
        </w:rPr>
        <w:fldChar w:fldCharType="begin"/>
      </w:r>
      <w:r w:rsidRPr="00F458F5">
        <w:rPr>
          <w:b/>
          <w:bCs/>
          <w:sz w:val="22"/>
          <w:szCs w:val="22"/>
        </w:rPr>
        <w:instrText xml:space="preserve"> SEQ Figure \* ARABIC </w:instrText>
      </w:r>
      <w:r w:rsidRPr="00F458F5">
        <w:rPr>
          <w:b/>
          <w:bCs/>
          <w:sz w:val="22"/>
          <w:szCs w:val="22"/>
        </w:rPr>
        <w:fldChar w:fldCharType="separate"/>
      </w:r>
      <w:r w:rsidR="00B93C8D">
        <w:rPr>
          <w:b/>
          <w:bCs/>
          <w:noProof/>
          <w:sz w:val="22"/>
          <w:szCs w:val="22"/>
        </w:rPr>
        <w:t>1</w:t>
      </w:r>
      <w:r w:rsidRPr="00F458F5">
        <w:rPr>
          <w:b/>
          <w:bCs/>
          <w:sz w:val="22"/>
          <w:szCs w:val="22"/>
        </w:rPr>
        <w:fldChar w:fldCharType="end"/>
      </w:r>
      <w:bookmarkEnd w:id="0"/>
      <w:r w:rsidRPr="00F458F5">
        <w:rPr>
          <w:b/>
          <w:bCs/>
          <w:sz w:val="22"/>
          <w:szCs w:val="22"/>
        </w:rPr>
        <w:t>: Prevalence Elasticity by dose availability ratio and allocation strategy.</w:t>
      </w:r>
      <w:r>
        <w:rPr>
          <w:b/>
          <w:bCs/>
          <w:sz w:val="22"/>
          <w:szCs w:val="22"/>
        </w:rPr>
        <w:t xml:space="preserve"> </w:t>
      </w:r>
      <w:r>
        <w:rPr>
          <w:sz w:val="22"/>
          <w:szCs w:val="22"/>
        </w:rPr>
        <w:t xml:space="preserve">The percentage effect on prevalence of a 1 percentage point increase in dose availability ratio at VE = 71 or 90 (facets). </w:t>
      </w:r>
      <w:r w:rsidRPr="4AEF591D">
        <w:rPr>
          <w:sz w:val="22"/>
          <w:szCs w:val="22"/>
        </w:rPr>
        <w:t xml:space="preserve">Lower numbers are better. </w:t>
      </w:r>
      <w:r>
        <w:rPr>
          <w:sz w:val="22"/>
          <w:szCs w:val="22"/>
        </w:rPr>
        <w:t>For example, a value of -2 indicates that a 1% increase in dose availability leads to a 2% decrease in predicted prevalence. All strategies exhibit declines of less than 1% prevalence at</w:t>
      </w:r>
      <w:r w:rsidRPr="001C0015">
        <w:rPr>
          <w:sz w:val="22"/>
          <w:szCs w:val="22"/>
        </w:rPr>
        <w:t xml:space="preserve"> </w:t>
      </w:r>
      <w:r w:rsidRPr="4AEF591D">
        <w:rPr>
          <w:rFonts w:ascii="Symbol" w:eastAsia="Symbol" w:hAnsi="Symbol" w:cs="Symbol"/>
          <w:sz w:val="22"/>
          <w:szCs w:val="22"/>
        </w:rPr>
        <w:t>d</w:t>
      </w:r>
      <w:r w:rsidRPr="001C0015">
        <w:rPr>
          <w:sz w:val="22"/>
          <w:szCs w:val="22"/>
          <w:vertAlign w:val="subscript"/>
        </w:rPr>
        <w:t>v</w:t>
      </w:r>
      <w:r w:rsidRPr="001C0015">
        <w:rPr>
          <w:sz w:val="22"/>
          <w:szCs w:val="22"/>
        </w:rPr>
        <w:t xml:space="preserve"> &lt; 0.6, with </w:t>
      </w:r>
      <w:r>
        <w:rPr>
          <w:sz w:val="22"/>
          <w:szCs w:val="22"/>
        </w:rPr>
        <w:t>greater elasticity at greater dose availability. Much greater elasticity is observed in the greater vaccine efficacy scenario.</w:t>
      </w:r>
    </w:p>
    <w:p w14:paraId="36908B29" w14:textId="77777777" w:rsidR="00277152" w:rsidRDefault="00277152" w:rsidP="003155FE">
      <w:pPr>
        <w:spacing w:line="480" w:lineRule="auto"/>
      </w:pPr>
    </w:p>
    <w:p w14:paraId="6532BEF4" w14:textId="77777777" w:rsidR="00277152" w:rsidRDefault="00277152" w:rsidP="003155FE">
      <w:pPr>
        <w:spacing w:line="480" w:lineRule="auto"/>
      </w:pPr>
      <w:r>
        <w:t>Non-random allocation strategies exhibit lesser prevalence elasticity at low dose availabilities, but greater elasticity at higher dose availabilities. This is likely due to the target nature of the allocation strategies – at low doses there are few farms being vaccinated, so prevalence cannot move much, but at high dose availability they are `enrolling` a greater proportion of the villages with each increase and can consequently have a much greater response in terms of reduction in prevalence.</w:t>
      </w:r>
    </w:p>
    <w:p w14:paraId="01D1B5A9" w14:textId="5347C5CE" w:rsidR="009A5B3D" w:rsidRDefault="009A5B3D" w:rsidP="003155FE">
      <w:pPr>
        <w:spacing w:line="480" w:lineRule="auto"/>
      </w:pPr>
      <w:r>
        <w:br w:type="page"/>
      </w:r>
    </w:p>
    <w:p w14:paraId="037C4FD3" w14:textId="77777777" w:rsidR="00277152" w:rsidRDefault="00277152" w:rsidP="003155FE">
      <w:pPr>
        <w:spacing w:line="480" w:lineRule="auto"/>
      </w:pPr>
    </w:p>
    <w:p w14:paraId="67A13E20" w14:textId="6685E671" w:rsidR="00277152" w:rsidRPr="00277152" w:rsidRDefault="00F53460" w:rsidP="003155FE">
      <w:pPr>
        <w:pStyle w:val="Heading2"/>
        <w:numPr>
          <w:ilvl w:val="0"/>
          <w:numId w:val="11"/>
        </w:numPr>
        <w:spacing w:line="480" w:lineRule="auto"/>
      </w:pPr>
      <w:r>
        <w:t>Sensitivity of Mean Time to Eradication</w:t>
      </w:r>
    </w:p>
    <w:p w14:paraId="50485C9C" w14:textId="77777777" w:rsidR="003878F4" w:rsidRDefault="003878F4" w:rsidP="003155FE">
      <w:pPr>
        <w:spacing w:line="480" w:lineRule="auto"/>
        <w:rPr>
          <w:b/>
          <w:bCs/>
        </w:rPr>
      </w:pPr>
    </w:p>
    <w:p w14:paraId="2A6856B0" w14:textId="0D1D5D4F" w:rsidR="00383155" w:rsidRDefault="00383155" w:rsidP="003155FE">
      <w:pPr>
        <w:spacing w:line="480" w:lineRule="auto"/>
      </w:pPr>
      <w:r>
        <w:t>For mean time to eradication, no coefficients were significantly different from 0, even at 90% dose availability (</w:t>
      </w:r>
      <w:r>
        <w:fldChar w:fldCharType="begin"/>
      </w:r>
      <w:r>
        <w:instrText xml:space="preserve"> REF _Ref203673696 \h  \* MERGEFORMAT </w:instrText>
      </w:r>
      <w:r>
        <w:fldChar w:fldCharType="separate"/>
      </w:r>
      <w:r w:rsidRPr="00D05FA5">
        <w:rPr>
          <w:b/>
          <w:sz w:val="20"/>
          <w:szCs w:val="20"/>
        </w:rPr>
        <w:t xml:space="preserve">Figure </w:t>
      </w:r>
      <w:r w:rsidR="00A813F7">
        <w:rPr>
          <w:b/>
          <w:noProof/>
          <w:sz w:val="20"/>
          <w:szCs w:val="20"/>
        </w:rPr>
        <w:t>2</w:t>
      </w:r>
      <w:r>
        <w:fldChar w:fldCharType="end"/>
      </w:r>
      <w:r>
        <w:t>).</w:t>
      </w:r>
    </w:p>
    <w:p w14:paraId="7FD2700E" w14:textId="77777777" w:rsidR="00383155" w:rsidRDefault="00383155" w:rsidP="003155FE">
      <w:pPr>
        <w:keepNext/>
        <w:spacing w:line="480" w:lineRule="auto"/>
      </w:pPr>
      <w:r>
        <w:rPr>
          <w:noProof/>
        </w:rPr>
        <w:drawing>
          <wp:inline distT="0" distB="0" distL="0" distR="0" wp14:anchorId="76A6E874" wp14:editId="7C30A578">
            <wp:extent cx="5731510" cy="3338844"/>
            <wp:effectExtent l="0" t="0" r="0" b="1270"/>
            <wp:docPr id="1606825537" name="Picture 7" descr="A graph of a graph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25537" name="Picture 7" descr="A graph of a graph with lines&#10;&#10;AI-generated content may be incorrect."/>
                    <pic:cNvPicPr/>
                  </pic:nvPicPr>
                  <pic:blipFill rotWithShape="1">
                    <a:blip r:embed="rId7" cstate="print">
                      <a:extLst>
                        <a:ext uri="{28A0092B-C50C-407E-A947-70E740481C1C}">
                          <a14:useLocalDpi xmlns:a14="http://schemas.microsoft.com/office/drawing/2010/main" val="0"/>
                        </a:ext>
                      </a:extLst>
                    </a:blip>
                    <a:srcRect t="6789"/>
                    <a:stretch>
                      <a:fillRect/>
                    </a:stretch>
                  </pic:blipFill>
                  <pic:spPr bwMode="auto">
                    <a:xfrm>
                      <a:off x="0" y="0"/>
                      <a:ext cx="5731510" cy="3338844"/>
                    </a:xfrm>
                    <a:prstGeom prst="rect">
                      <a:avLst/>
                    </a:prstGeom>
                    <a:ln>
                      <a:noFill/>
                    </a:ln>
                    <a:extLst>
                      <a:ext uri="{53640926-AAD7-44D8-BBD7-CCE9431645EC}">
                        <a14:shadowObscured xmlns:a14="http://schemas.microsoft.com/office/drawing/2010/main"/>
                      </a:ext>
                    </a:extLst>
                  </pic:spPr>
                </pic:pic>
              </a:graphicData>
            </a:graphic>
          </wp:inline>
        </w:drawing>
      </w:r>
    </w:p>
    <w:p w14:paraId="4721CC49" w14:textId="6AAC5E46" w:rsidR="00383155" w:rsidRPr="00D05FA5" w:rsidRDefault="00383155" w:rsidP="003155FE">
      <w:pPr>
        <w:pStyle w:val="Caption"/>
        <w:spacing w:line="480" w:lineRule="auto"/>
        <w:rPr>
          <w:b/>
          <w:sz w:val="20"/>
          <w:szCs w:val="20"/>
        </w:rPr>
      </w:pPr>
      <w:bookmarkStart w:id="1" w:name="_Ref203673696"/>
      <w:r w:rsidRPr="00D05FA5">
        <w:rPr>
          <w:b/>
          <w:sz w:val="20"/>
          <w:szCs w:val="20"/>
        </w:rPr>
        <w:t xml:space="preserve">Figure </w:t>
      </w:r>
      <w:r w:rsidRPr="00D05FA5">
        <w:rPr>
          <w:b/>
          <w:sz w:val="20"/>
          <w:szCs w:val="20"/>
        </w:rPr>
        <w:fldChar w:fldCharType="begin"/>
      </w:r>
      <w:r w:rsidRPr="00D05FA5">
        <w:rPr>
          <w:b/>
          <w:sz w:val="20"/>
          <w:szCs w:val="20"/>
        </w:rPr>
        <w:instrText xml:space="preserve"> SEQ Figure \* ARABIC </w:instrText>
      </w:r>
      <w:r w:rsidRPr="00D05FA5">
        <w:rPr>
          <w:b/>
          <w:sz w:val="20"/>
          <w:szCs w:val="20"/>
        </w:rPr>
        <w:fldChar w:fldCharType="separate"/>
      </w:r>
      <w:r w:rsidR="00E556E1">
        <w:rPr>
          <w:b/>
          <w:noProof/>
          <w:sz w:val="20"/>
          <w:szCs w:val="20"/>
        </w:rPr>
        <w:t>2</w:t>
      </w:r>
      <w:r w:rsidRPr="00D05FA5">
        <w:rPr>
          <w:b/>
          <w:sz w:val="20"/>
          <w:szCs w:val="20"/>
        </w:rPr>
        <w:fldChar w:fldCharType="end"/>
      </w:r>
      <w:bookmarkEnd w:id="1"/>
      <w:r w:rsidRPr="00D05FA5">
        <w:rPr>
          <w:b/>
          <w:sz w:val="20"/>
          <w:szCs w:val="20"/>
        </w:rPr>
        <w:t>: PRC coefficients for Mean Time to Eradication.</w:t>
      </w:r>
      <w:r>
        <w:rPr>
          <w:b/>
          <w:sz w:val="20"/>
          <w:szCs w:val="20"/>
        </w:rPr>
        <w:t xml:space="preserve"> </w:t>
      </w:r>
      <w:r w:rsidRPr="00215383">
        <w:rPr>
          <w:sz w:val="20"/>
          <w:szCs w:val="20"/>
        </w:rPr>
        <w:t>Each row is a different strategy (right), each column a different dose availability ratio.</w:t>
      </w:r>
    </w:p>
    <w:p w14:paraId="5B3EDF54" w14:textId="77777777" w:rsidR="00383155" w:rsidRPr="003878F4" w:rsidRDefault="00383155" w:rsidP="003155FE">
      <w:pPr>
        <w:spacing w:line="480" w:lineRule="auto"/>
        <w:rPr>
          <w:b/>
          <w:bCs/>
        </w:rPr>
      </w:pPr>
    </w:p>
    <w:sectPr w:rsidR="00383155" w:rsidRPr="00387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2CA1"/>
    <w:multiLevelType w:val="hybridMultilevel"/>
    <w:tmpl w:val="CA2A3A94"/>
    <w:lvl w:ilvl="0" w:tplc="CDCE0A70">
      <w:start w:val="134"/>
      <w:numFmt w:val="decimal"/>
      <w:lvlText w:val="%1"/>
      <w:lvlJc w:val="left"/>
      <w:pPr>
        <w:ind w:left="358"/>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D1684390">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6E123E30">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43A46DA4">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8DCE9020">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B1FA7200">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EEACFC76">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D4CC2C44">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841CA914">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 w15:restartNumberingAfterBreak="0">
    <w:nsid w:val="11EF4479"/>
    <w:multiLevelType w:val="hybridMultilevel"/>
    <w:tmpl w:val="3AA6816A"/>
    <w:lvl w:ilvl="0" w:tplc="2AD4524A">
      <w:start w:val="121"/>
      <w:numFmt w:val="decimal"/>
      <w:lvlText w:val="%1"/>
      <w:lvlJc w:val="left"/>
      <w:pPr>
        <w:ind w:left="358"/>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5C86DB4E">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F86011F6">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66D2E252">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1486B6D0">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E0A24AC4">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AE0CAEB6">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AB65E0C">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67FC856A">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19B455A5"/>
    <w:multiLevelType w:val="hybridMultilevel"/>
    <w:tmpl w:val="D22207D6"/>
    <w:lvl w:ilvl="0" w:tplc="138C5C64">
      <w:start w:val="165"/>
      <w:numFmt w:val="decimal"/>
      <w:lvlText w:val="%1"/>
      <w:lvlJc w:val="left"/>
      <w:pPr>
        <w:ind w:left="358"/>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FEB87E78">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37E475B2">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9F9464FC">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9A007EE6">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D42AD2C0">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9E34B6D4">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5566BB1C">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93A4714C">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3" w15:restartNumberingAfterBreak="0">
    <w:nsid w:val="21294D99"/>
    <w:multiLevelType w:val="hybridMultilevel"/>
    <w:tmpl w:val="58C87EAC"/>
    <w:lvl w:ilvl="0" w:tplc="2D405D0E">
      <w:start w:val="147"/>
      <w:numFmt w:val="decimal"/>
      <w:lvlText w:val="%1"/>
      <w:lvlJc w:val="left"/>
      <w:pPr>
        <w:ind w:left="65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479CAEA0">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BA083386">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EBD61DE0">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62F26528">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21D2F3FE">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20081D48">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B16032E2">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796A3A54">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4" w15:restartNumberingAfterBreak="0">
    <w:nsid w:val="21BA1FBB"/>
    <w:multiLevelType w:val="hybridMultilevel"/>
    <w:tmpl w:val="0C3EF42E"/>
    <w:lvl w:ilvl="0" w:tplc="0A5E1778">
      <w:start w:val="115"/>
      <w:numFmt w:val="decimal"/>
      <w:lvlText w:val="%1"/>
      <w:lvlJc w:val="left"/>
      <w:pPr>
        <w:ind w:left="65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C326219A">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99EA3BFE">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D7C8B8DC">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627A4A96">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E39464F6">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94A4EFC0">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2B0CB43A">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959AAC14">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5" w15:restartNumberingAfterBreak="0">
    <w:nsid w:val="22721D9D"/>
    <w:multiLevelType w:val="hybridMultilevel"/>
    <w:tmpl w:val="A15E1374"/>
    <w:lvl w:ilvl="0" w:tplc="918C436A">
      <w:start w:val="169"/>
      <w:numFmt w:val="decimal"/>
      <w:lvlText w:val="%1"/>
      <w:lvlJc w:val="left"/>
      <w:pPr>
        <w:ind w:left="65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C1F698CE">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9D6A8244">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FDAE9C84">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2424C70A">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82F0A9F6">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D29C328E">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CD360DAA">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6D90CC66">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6" w15:restartNumberingAfterBreak="0">
    <w:nsid w:val="25AB5B41"/>
    <w:multiLevelType w:val="multilevel"/>
    <w:tmpl w:val="190C2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9452525"/>
    <w:multiLevelType w:val="hybridMultilevel"/>
    <w:tmpl w:val="53208A4E"/>
    <w:lvl w:ilvl="0" w:tplc="525874A2">
      <w:start w:val="140"/>
      <w:numFmt w:val="decimal"/>
      <w:lvlText w:val="%1"/>
      <w:lvlJc w:val="left"/>
      <w:pPr>
        <w:ind w:left="65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E65CE142">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49221CAA">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FB5A4988">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760AFA02">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C0ACFA80">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9CB42C48">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2D2C7368">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E48680D2">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8" w15:restartNumberingAfterBreak="0">
    <w:nsid w:val="6A800C93"/>
    <w:multiLevelType w:val="hybridMultilevel"/>
    <w:tmpl w:val="163E91CA"/>
    <w:lvl w:ilvl="0" w:tplc="776A947C">
      <w:start w:val="128"/>
      <w:numFmt w:val="decimal"/>
      <w:lvlText w:val="%1"/>
      <w:lvlJc w:val="left"/>
      <w:pPr>
        <w:ind w:left="358"/>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FC4A2EB8">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94646458">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F6246162">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898E83C8">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32B49668">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95AA0660">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0DAFD86">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84AE75D4">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9" w15:restartNumberingAfterBreak="0">
    <w:nsid w:val="7EEF6ABE"/>
    <w:multiLevelType w:val="hybridMultilevel"/>
    <w:tmpl w:val="703ADD7A"/>
    <w:lvl w:ilvl="0" w:tplc="4A74CB6E">
      <w:start w:val="124"/>
      <w:numFmt w:val="decimal"/>
      <w:lvlText w:val="%1"/>
      <w:lvlJc w:val="left"/>
      <w:pPr>
        <w:ind w:left="65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C8C4A49A">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358EE7AA">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098491EC">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9E1E6EC0">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15E41F42">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9B58F468">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ECF2C830">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59B03D56">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0" w15:restartNumberingAfterBreak="0">
    <w:nsid w:val="7F9547EB"/>
    <w:multiLevelType w:val="hybridMultilevel"/>
    <w:tmpl w:val="9EDA9B5C"/>
    <w:lvl w:ilvl="0" w:tplc="9BACC1EE">
      <w:start w:val="156"/>
      <w:numFmt w:val="decimal"/>
      <w:lvlText w:val="%1"/>
      <w:lvlJc w:val="left"/>
      <w:pPr>
        <w:ind w:left="358"/>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5D367378">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654C999A">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1AACABA2">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F77E1FAE">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D132E87A">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1F6CF7FE">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63C4BE42">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8DB4D290">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num w:numId="1" w16cid:durableId="479464266">
    <w:abstractNumId w:val="4"/>
  </w:num>
  <w:num w:numId="2" w16cid:durableId="30570421">
    <w:abstractNumId w:val="1"/>
  </w:num>
  <w:num w:numId="3" w16cid:durableId="455871096">
    <w:abstractNumId w:val="9"/>
  </w:num>
  <w:num w:numId="4" w16cid:durableId="1213152699">
    <w:abstractNumId w:val="8"/>
  </w:num>
  <w:num w:numId="5" w16cid:durableId="2030251477">
    <w:abstractNumId w:val="0"/>
  </w:num>
  <w:num w:numId="6" w16cid:durableId="272785059">
    <w:abstractNumId w:val="7"/>
  </w:num>
  <w:num w:numId="7" w16cid:durableId="1354377320">
    <w:abstractNumId w:val="3"/>
  </w:num>
  <w:num w:numId="8" w16cid:durableId="1323192842">
    <w:abstractNumId w:val="10"/>
  </w:num>
  <w:num w:numId="9" w16cid:durableId="46151647">
    <w:abstractNumId w:val="2"/>
  </w:num>
  <w:num w:numId="10" w16cid:durableId="204948398">
    <w:abstractNumId w:val="5"/>
  </w:num>
  <w:num w:numId="11" w16cid:durableId="79305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F4"/>
    <w:rsid w:val="000076CB"/>
    <w:rsid w:val="00045D74"/>
    <w:rsid w:val="00050EB2"/>
    <w:rsid w:val="000526FA"/>
    <w:rsid w:val="00061EDA"/>
    <w:rsid w:val="0007541D"/>
    <w:rsid w:val="000813DE"/>
    <w:rsid w:val="000A7D96"/>
    <w:rsid w:val="000D604A"/>
    <w:rsid w:val="000D78C0"/>
    <w:rsid w:val="000E44C8"/>
    <w:rsid w:val="000E7A89"/>
    <w:rsid w:val="000F17EB"/>
    <w:rsid w:val="00137C83"/>
    <w:rsid w:val="00160F45"/>
    <w:rsid w:val="00164B2F"/>
    <w:rsid w:val="00165563"/>
    <w:rsid w:val="00181EB2"/>
    <w:rsid w:val="00191452"/>
    <w:rsid w:val="001C2A6C"/>
    <w:rsid w:val="001E2BBB"/>
    <w:rsid w:val="001E30C1"/>
    <w:rsid w:val="001E535B"/>
    <w:rsid w:val="0021287A"/>
    <w:rsid w:val="00226FC7"/>
    <w:rsid w:val="00231169"/>
    <w:rsid w:val="002533F2"/>
    <w:rsid w:val="00264084"/>
    <w:rsid w:val="0026439C"/>
    <w:rsid w:val="00265360"/>
    <w:rsid w:val="00276881"/>
    <w:rsid w:val="00277152"/>
    <w:rsid w:val="00293D91"/>
    <w:rsid w:val="002B3DDF"/>
    <w:rsid w:val="002D4C80"/>
    <w:rsid w:val="002D77CF"/>
    <w:rsid w:val="002E25A2"/>
    <w:rsid w:val="003155FE"/>
    <w:rsid w:val="00320752"/>
    <w:rsid w:val="00335979"/>
    <w:rsid w:val="00342C21"/>
    <w:rsid w:val="003443FA"/>
    <w:rsid w:val="00383155"/>
    <w:rsid w:val="003878F4"/>
    <w:rsid w:val="003A2171"/>
    <w:rsid w:val="003B2614"/>
    <w:rsid w:val="00434218"/>
    <w:rsid w:val="0046177A"/>
    <w:rsid w:val="0047360F"/>
    <w:rsid w:val="00473C1D"/>
    <w:rsid w:val="004740EC"/>
    <w:rsid w:val="004872F0"/>
    <w:rsid w:val="0049140D"/>
    <w:rsid w:val="004A6C8C"/>
    <w:rsid w:val="004A6F70"/>
    <w:rsid w:val="004C536F"/>
    <w:rsid w:val="004F5EAE"/>
    <w:rsid w:val="004F5F2F"/>
    <w:rsid w:val="00502E2C"/>
    <w:rsid w:val="00503991"/>
    <w:rsid w:val="0056017E"/>
    <w:rsid w:val="005652F9"/>
    <w:rsid w:val="00570396"/>
    <w:rsid w:val="005746DF"/>
    <w:rsid w:val="00591F16"/>
    <w:rsid w:val="005B2C07"/>
    <w:rsid w:val="005C07A3"/>
    <w:rsid w:val="005E1881"/>
    <w:rsid w:val="005E3064"/>
    <w:rsid w:val="005E6D3C"/>
    <w:rsid w:val="005F199E"/>
    <w:rsid w:val="005F2A6B"/>
    <w:rsid w:val="00605B62"/>
    <w:rsid w:val="00622863"/>
    <w:rsid w:val="00632033"/>
    <w:rsid w:val="006379B5"/>
    <w:rsid w:val="00697210"/>
    <w:rsid w:val="006D55BB"/>
    <w:rsid w:val="006F4141"/>
    <w:rsid w:val="006F42D3"/>
    <w:rsid w:val="00705BEC"/>
    <w:rsid w:val="0071690E"/>
    <w:rsid w:val="007547E0"/>
    <w:rsid w:val="0075790F"/>
    <w:rsid w:val="00767061"/>
    <w:rsid w:val="00777001"/>
    <w:rsid w:val="007801A0"/>
    <w:rsid w:val="00780882"/>
    <w:rsid w:val="007A58DE"/>
    <w:rsid w:val="007D1F82"/>
    <w:rsid w:val="007D2E5A"/>
    <w:rsid w:val="007E3665"/>
    <w:rsid w:val="008C7031"/>
    <w:rsid w:val="008F6160"/>
    <w:rsid w:val="00977D9C"/>
    <w:rsid w:val="00982C3F"/>
    <w:rsid w:val="009A5B3D"/>
    <w:rsid w:val="009A6BBE"/>
    <w:rsid w:val="009C62B3"/>
    <w:rsid w:val="009E74BA"/>
    <w:rsid w:val="00A21C63"/>
    <w:rsid w:val="00A25E0B"/>
    <w:rsid w:val="00A3030B"/>
    <w:rsid w:val="00A45710"/>
    <w:rsid w:val="00A5775C"/>
    <w:rsid w:val="00A77E7B"/>
    <w:rsid w:val="00A805BB"/>
    <w:rsid w:val="00A813F7"/>
    <w:rsid w:val="00A94CA8"/>
    <w:rsid w:val="00AE0DF5"/>
    <w:rsid w:val="00AE3CD4"/>
    <w:rsid w:val="00B16628"/>
    <w:rsid w:val="00B75689"/>
    <w:rsid w:val="00B85EF1"/>
    <w:rsid w:val="00B93C8D"/>
    <w:rsid w:val="00BA0A9B"/>
    <w:rsid w:val="00BB7F9A"/>
    <w:rsid w:val="00BC7D3A"/>
    <w:rsid w:val="00BD09BE"/>
    <w:rsid w:val="00BF10E6"/>
    <w:rsid w:val="00BF1B98"/>
    <w:rsid w:val="00C20725"/>
    <w:rsid w:val="00C32303"/>
    <w:rsid w:val="00C407B4"/>
    <w:rsid w:val="00C47098"/>
    <w:rsid w:val="00C5160D"/>
    <w:rsid w:val="00C51B30"/>
    <w:rsid w:val="00C52806"/>
    <w:rsid w:val="00C72694"/>
    <w:rsid w:val="00C832F6"/>
    <w:rsid w:val="00CB009C"/>
    <w:rsid w:val="00CB3251"/>
    <w:rsid w:val="00CE61B7"/>
    <w:rsid w:val="00D0080D"/>
    <w:rsid w:val="00D14BC8"/>
    <w:rsid w:val="00D41B60"/>
    <w:rsid w:val="00D711B1"/>
    <w:rsid w:val="00D77986"/>
    <w:rsid w:val="00D904A9"/>
    <w:rsid w:val="00D92D7E"/>
    <w:rsid w:val="00D93989"/>
    <w:rsid w:val="00DA2592"/>
    <w:rsid w:val="00DB2A51"/>
    <w:rsid w:val="00DD6440"/>
    <w:rsid w:val="00DD6B93"/>
    <w:rsid w:val="00DF4F77"/>
    <w:rsid w:val="00E02505"/>
    <w:rsid w:val="00E100AD"/>
    <w:rsid w:val="00E254FC"/>
    <w:rsid w:val="00E42E50"/>
    <w:rsid w:val="00E556E1"/>
    <w:rsid w:val="00E62B8C"/>
    <w:rsid w:val="00E67BAA"/>
    <w:rsid w:val="00E71307"/>
    <w:rsid w:val="00EB605F"/>
    <w:rsid w:val="00EC6D7A"/>
    <w:rsid w:val="00ED7FE7"/>
    <w:rsid w:val="00EE1286"/>
    <w:rsid w:val="00F34190"/>
    <w:rsid w:val="00F40371"/>
    <w:rsid w:val="00F53460"/>
    <w:rsid w:val="00F65742"/>
    <w:rsid w:val="00F76CFB"/>
    <w:rsid w:val="00F97D7C"/>
    <w:rsid w:val="00FA07A2"/>
    <w:rsid w:val="00FB6981"/>
    <w:rsid w:val="00FC1DB4"/>
    <w:rsid w:val="00FE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AEC2"/>
  <w15:chartTrackingRefBased/>
  <w15:docId w15:val="{7EE71E6D-D383-DB42-8F24-688EB2E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8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8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8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8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8F4"/>
    <w:rPr>
      <w:rFonts w:eastAsiaTheme="majorEastAsia" w:cstheme="majorBidi"/>
      <w:color w:val="272727" w:themeColor="text1" w:themeTint="D8"/>
    </w:rPr>
  </w:style>
  <w:style w:type="paragraph" w:styleId="Title">
    <w:name w:val="Title"/>
    <w:basedOn w:val="Normal"/>
    <w:next w:val="Normal"/>
    <w:link w:val="TitleChar"/>
    <w:uiPriority w:val="10"/>
    <w:qFormat/>
    <w:rsid w:val="003878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8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8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78F4"/>
    <w:rPr>
      <w:i/>
      <w:iCs/>
      <w:color w:val="404040" w:themeColor="text1" w:themeTint="BF"/>
    </w:rPr>
  </w:style>
  <w:style w:type="paragraph" w:styleId="ListParagraph">
    <w:name w:val="List Paragraph"/>
    <w:basedOn w:val="Normal"/>
    <w:uiPriority w:val="34"/>
    <w:qFormat/>
    <w:rsid w:val="003878F4"/>
    <w:pPr>
      <w:ind w:left="720"/>
      <w:contextualSpacing/>
    </w:pPr>
  </w:style>
  <w:style w:type="character" w:styleId="IntenseEmphasis">
    <w:name w:val="Intense Emphasis"/>
    <w:basedOn w:val="DefaultParagraphFont"/>
    <w:uiPriority w:val="21"/>
    <w:qFormat/>
    <w:rsid w:val="003878F4"/>
    <w:rPr>
      <w:i/>
      <w:iCs/>
      <w:color w:val="0F4761" w:themeColor="accent1" w:themeShade="BF"/>
    </w:rPr>
  </w:style>
  <w:style w:type="paragraph" w:styleId="IntenseQuote">
    <w:name w:val="Intense Quote"/>
    <w:basedOn w:val="Normal"/>
    <w:next w:val="Normal"/>
    <w:link w:val="IntenseQuoteChar"/>
    <w:uiPriority w:val="30"/>
    <w:qFormat/>
    <w:rsid w:val="0038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8F4"/>
    <w:rPr>
      <w:i/>
      <w:iCs/>
      <w:color w:val="0F4761" w:themeColor="accent1" w:themeShade="BF"/>
    </w:rPr>
  </w:style>
  <w:style w:type="character" w:styleId="IntenseReference">
    <w:name w:val="Intense Reference"/>
    <w:basedOn w:val="DefaultParagraphFont"/>
    <w:uiPriority w:val="32"/>
    <w:qFormat/>
    <w:rsid w:val="003878F4"/>
    <w:rPr>
      <w:b/>
      <w:bCs/>
      <w:smallCaps/>
      <w:color w:val="0F4761" w:themeColor="accent1" w:themeShade="BF"/>
      <w:spacing w:val="5"/>
    </w:rPr>
  </w:style>
  <w:style w:type="paragraph" w:styleId="Caption">
    <w:name w:val="caption"/>
    <w:basedOn w:val="Normal"/>
    <w:next w:val="Normal"/>
    <w:uiPriority w:val="35"/>
    <w:unhideWhenUsed/>
    <w:qFormat/>
    <w:rsid w:val="003878F4"/>
    <w:pPr>
      <w:spacing w:after="200"/>
    </w:pPr>
    <w:rPr>
      <w:i/>
      <w:iCs/>
      <w:color w:val="0E2841" w:themeColor="text2"/>
      <w:sz w:val="18"/>
      <w:szCs w:val="18"/>
    </w:rPr>
  </w:style>
  <w:style w:type="character" w:styleId="Hyperlink">
    <w:name w:val="Hyperlink"/>
    <w:basedOn w:val="DefaultParagraphFont"/>
    <w:uiPriority w:val="99"/>
    <w:unhideWhenUsed/>
    <w:rsid w:val="000D604A"/>
    <w:rPr>
      <w:color w:val="467886" w:themeColor="hyperlink"/>
      <w:u w:val="single"/>
    </w:rPr>
  </w:style>
  <w:style w:type="character" w:styleId="UnresolvedMention">
    <w:name w:val="Unresolved Mention"/>
    <w:basedOn w:val="DefaultParagraphFont"/>
    <w:uiPriority w:val="99"/>
    <w:semiHidden/>
    <w:unhideWhenUsed/>
    <w:rsid w:val="000D604A"/>
    <w:rPr>
      <w:color w:val="605E5C"/>
      <w:shd w:val="clear" w:color="auto" w:fill="E1DFDD"/>
    </w:rPr>
  </w:style>
  <w:style w:type="character" w:styleId="PlaceholderText">
    <w:name w:val="Placeholder Text"/>
    <w:basedOn w:val="DefaultParagraphFont"/>
    <w:uiPriority w:val="99"/>
    <w:semiHidden/>
    <w:rsid w:val="000D604A"/>
    <w:rPr>
      <w:color w:val="666666"/>
    </w:rPr>
  </w:style>
  <w:style w:type="table" w:customStyle="1" w:styleId="TableGrid">
    <w:name w:val="TableGrid"/>
    <w:rsid w:val="000D604A"/>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C2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53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11212</TotalTime>
  <Pages>7</Pages>
  <Words>985</Words>
  <Characters>5507</Characters>
  <Application>Microsoft Office Word</Application>
  <DocSecurity>0</DocSecurity>
  <Lines>162</Lines>
  <Paragraphs>69</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Guyver-Fletcher</dc:creator>
  <cp:keywords/>
  <dc:description/>
  <cp:lastModifiedBy>Glen Guyver-Fletcher</cp:lastModifiedBy>
  <cp:revision>135</cp:revision>
  <dcterms:created xsi:type="dcterms:W3CDTF">2025-12-16T17:34:00Z</dcterms:created>
  <dcterms:modified xsi:type="dcterms:W3CDTF">2026-02-03T16:06:00Z</dcterms:modified>
</cp:coreProperties>
</file>