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593A13" w14:textId="2DD1E4AF" w:rsidR="00826A9E" w:rsidRPr="009E1125" w:rsidRDefault="00360156" w:rsidP="009E1125">
      <w:pPr>
        <w:spacing w:line="360" w:lineRule="auto"/>
        <w:rPr>
          <w:rFonts w:ascii="Times New Roman" w:hAnsi="Times New Roman" w:cs="Times New Roman"/>
          <w:b/>
          <w:bCs/>
        </w:rPr>
      </w:pPr>
      <w:r w:rsidRPr="009E1125">
        <w:rPr>
          <w:rFonts w:ascii="Times New Roman" w:hAnsi="Times New Roman" w:cs="Times New Roman"/>
          <w:b/>
          <w:bCs/>
        </w:rPr>
        <w:t>Supplementary Materials</w:t>
      </w:r>
    </w:p>
    <w:p w14:paraId="77DABC6E" w14:textId="33E31E72" w:rsidR="00360156" w:rsidRPr="009E1125" w:rsidRDefault="00360156" w:rsidP="009E1125">
      <w:pPr>
        <w:spacing w:line="360" w:lineRule="auto"/>
        <w:rPr>
          <w:rFonts w:ascii="Times New Roman" w:hAnsi="Times New Roman" w:cs="Times New Roman"/>
          <w:u w:val="single"/>
        </w:rPr>
      </w:pPr>
      <w:r w:rsidRPr="009E1125">
        <w:rPr>
          <w:rFonts w:ascii="Times New Roman" w:hAnsi="Times New Roman" w:cs="Times New Roman"/>
          <w:u w:val="single"/>
        </w:rPr>
        <w:t>Section 1. Analysis on images without partial volume correction</w:t>
      </w:r>
    </w:p>
    <w:p w14:paraId="33C36625" w14:textId="1F0BC924" w:rsidR="00360156" w:rsidRPr="009E1125" w:rsidRDefault="00360156" w:rsidP="009E1125">
      <w:pPr>
        <w:spacing w:line="360" w:lineRule="auto"/>
        <w:rPr>
          <w:rFonts w:ascii="Times New Roman" w:hAnsi="Times New Roman" w:cs="Times New Roman"/>
        </w:rPr>
      </w:pPr>
      <w:r w:rsidRPr="009E1125">
        <w:rPr>
          <w:rFonts w:ascii="Times New Roman" w:hAnsi="Times New Roman" w:cs="Times New Roman"/>
        </w:rPr>
        <w:tab/>
        <w:t>Without partial volume correction (PVC), the overall topography of statistically significant negative correlation between [</w:t>
      </w:r>
      <w:r w:rsidRPr="009E1125">
        <w:rPr>
          <w:rFonts w:ascii="Times New Roman" w:hAnsi="Times New Roman" w:cs="Times New Roman"/>
          <w:vertAlign w:val="superscript"/>
        </w:rPr>
        <w:t>18</w:t>
      </w:r>
      <w:r w:rsidRPr="009E1125">
        <w:rPr>
          <w:rFonts w:ascii="Times New Roman" w:hAnsi="Times New Roman" w:cs="Times New Roman"/>
        </w:rPr>
        <w:t>F]-FEOBV uptake and MDS-</w:t>
      </w:r>
      <w:r w:rsidR="005E7508" w:rsidRPr="009E1125">
        <w:rPr>
          <w:rFonts w:ascii="Times New Roman" w:hAnsi="Times New Roman" w:cs="Times New Roman"/>
        </w:rPr>
        <w:t xml:space="preserve">UPDRS </w:t>
      </w:r>
      <w:r w:rsidRPr="009E1125">
        <w:rPr>
          <w:rFonts w:ascii="Times New Roman" w:hAnsi="Times New Roman" w:cs="Times New Roman"/>
        </w:rPr>
        <w:t xml:space="preserve">PIGD </w:t>
      </w:r>
      <w:r w:rsidR="005E7508" w:rsidRPr="009E1125">
        <w:rPr>
          <w:rFonts w:ascii="Times New Roman" w:hAnsi="Times New Roman" w:cs="Times New Roman"/>
        </w:rPr>
        <w:t>sub-</w:t>
      </w:r>
      <w:r w:rsidRPr="009E1125">
        <w:rPr>
          <w:rFonts w:ascii="Times New Roman" w:hAnsi="Times New Roman" w:cs="Times New Roman"/>
        </w:rPr>
        <w:t>scores was largely recapitulated from the original analysis (presented in figure 1), with additional statistically significant clusters observed also within the pons, midbrain, and brainstem. Statistically significant correlation within those areas on the analysis without PVC may be explained with reference to greater proportion of white matter within those regions potentially influencing the gray matter included in the correlation analysis, an effect which is minimized upon application of PVC</w:t>
      </w:r>
      <w:r w:rsidR="005E7508" w:rsidRPr="009E1125">
        <w:rPr>
          <w:rFonts w:ascii="Times New Roman" w:hAnsi="Times New Roman" w:cs="Times New Roman"/>
        </w:rPr>
        <w:t>,</w:t>
      </w:r>
      <w:r w:rsidRPr="009E1125">
        <w:rPr>
          <w:rFonts w:ascii="Times New Roman" w:hAnsi="Times New Roman" w:cs="Times New Roman"/>
        </w:rPr>
        <w:t xml:space="preserve"> which is why no significant correlation was observed in those regions after PVC. </w:t>
      </w:r>
    </w:p>
    <w:p w14:paraId="54E66C19" w14:textId="7BA9A385" w:rsidR="00360156" w:rsidRPr="009E1125" w:rsidRDefault="00360156" w:rsidP="009E1125">
      <w:pPr>
        <w:spacing w:line="360" w:lineRule="auto"/>
        <w:rPr>
          <w:rFonts w:ascii="Times New Roman" w:hAnsi="Times New Roman" w:cs="Times New Roman"/>
        </w:rPr>
      </w:pPr>
      <w:r w:rsidRPr="009E1125">
        <w:rPr>
          <w:rFonts w:ascii="Times New Roman" w:hAnsi="Times New Roman" w:cs="Times New Roman"/>
          <w:i/>
          <w:iCs/>
        </w:rPr>
        <w:t>Figure S1.</w:t>
      </w:r>
      <w:r w:rsidRPr="009E1125">
        <w:rPr>
          <w:rFonts w:ascii="Times New Roman" w:hAnsi="Times New Roman" w:cs="Times New Roman"/>
        </w:rPr>
        <w:t xml:space="preserve"> Voxels where [</w:t>
      </w:r>
      <w:r w:rsidRPr="009E1125">
        <w:rPr>
          <w:rFonts w:ascii="Times New Roman" w:hAnsi="Times New Roman" w:cs="Times New Roman"/>
          <w:vertAlign w:val="superscript"/>
        </w:rPr>
        <w:t>18</w:t>
      </w:r>
      <w:r w:rsidRPr="009E1125">
        <w:rPr>
          <w:rFonts w:ascii="Times New Roman" w:hAnsi="Times New Roman" w:cs="Times New Roman"/>
        </w:rPr>
        <w:t>F]-FEOBV uptake (without partial volume correction) exhibited statistically significant negative correlation with MDS-</w:t>
      </w:r>
      <w:r w:rsidR="005E7508" w:rsidRPr="009E1125">
        <w:rPr>
          <w:rFonts w:ascii="Times New Roman" w:hAnsi="Times New Roman" w:cs="Times New Roman"/>
        </w:rPr>
        <w:t xml:space="preserve">UPDRS </w:t>
      </w:r>
      <w:r w:rsidRPr="009E1125">
        <w:rPr>
          <w:rFonts w:ascii="Times New Roman" w:hAnsi="Times New Roman" w:cs="Times New Roman"/>
        </w:rPr>
        <w:t xml:space="preserve">PIGD </w:t>
      </w:r>
      <w:r w:rsidR="005E7508" w:rsidRPr="009E1125">
        <w:rPr>
          <w:rFonts w:ascii="Times New Roman" w:hAnsi="Times New Roman" w:cs="Times New Roman"/>
        </w:rPr>
        <w:t>sub-</w:t>
      </w:r>
      <w:r w:rsidRPr="009E1125">
        <w:rPr>
          <w:rFonts w:ascii="Times New Roman" w:hAnsi="Times New Roman" w:cs="Times New Roman"/>
        </w:rPr>
        <w:t>scores in PSP subjects. Color indicates SPM voxel-based regression analysis strength of correlation between lower cholinergic binding and MDS-PIGD scores in PSP subjects with yellower color indicating more robust significant correlations (voxel-level uncorrected p&lt;0.001, cluster-level FDR-corrected at P&lt;0.01; adjusted for sex, disease duration and Levodopa Equivalent Dose).</w:t>
      </w:r>
    </w:p>
    <w:p w14:paraId="5EFFE289" w14:textId="2364EA8E" w:rsidR="00360156" w:rsidRPr="009E1125" w:rsidRDefault="00874D2E" w:rsidP="009E1125">
      <w:pPr>
        <w:spacing w:line="360" w:lineRule="auto"/>
        <w:rPr>
          <w:rFonts w:ascii="Times New Roman" w:hAnsi="Times New Roman" w:cs="Times New Roman"/>
        </w:rPr>
      </w:pPr>
      <w:r w:rsidRPr="009E1125">
        <w:rPr>
          <w:rFonts w:ascii="Times New Roman" w:hAnsi="Times New Roman" w:cs="Times New Roman"/>
          <w:noProof/>
        </w:rPr>
        <w:lastRenderedPageBreak/>
        <w:drawing>
          <wp:inline distT="0" distB="0" distL="0" distR="0" wp14:anchorId="71871EA0" wp14:editId="3F6011DA">
            <wp:extent cx="5943600" cy="5793105"/>
            <wp:effectExtent l="0" t="0" r="0" b="0"/>
            <wp:docPr id="1677578351" name="Picture 1"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578351" name="Picture 1" descr="A screenshot of a computer screen&#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5943600" cy="5793105"/>
                    </a:xfrm>
                    <a:prstGeom prst="rect">
                      <a:avLst/>
                    </a:prstGeom>
                  </pic:spPr>
                </pic:pic>
              </a:graphicData>
            </a:graphic>
          </wp:inline>
        </w:drawing>
      </w:r>
    </w:p>
    <w:p w14:paraId="59C3BE92" w14:textId="77777777" w:rsidR="00EF26B8" w:rsidRDefault="00EF26B8" w:rsidP="009E1125">
      <w:pPr>
        <w:spacing w:line="360" w:lineRule="auto"/>
        <w:rPr>
          <w:rFonts w:ascii="Times New Roman" w:hAnsi="Times New Roman" w:cs="Times New Roman"/>
        </w:rPr>
      </w:pPr>
    </w:p>
    <w:p w14:paraId="2339FE5E" w14:textId="1D36CC8F" w:rsidR="00086D24" w:rsidRDefault="00086D24" w:rsidP="009E1125">
      <w:pPr>
        <w:spacing w:line="360" w:lineRule="auto"/>
        <w:rPr>
          <w:rFonts w:ascii="Times New Roman" w:hAnsi="Times New Roman" w:cs="Times New Roman"/>
          <w:u w:val="single"/>
        </w:rPr>
      </w:pPr>
      <w:r w:rsidRPr="00C4098E">
        <w:rPr>
          <w:rFonts w:ascii="Times New Roman" w:hAnsi="Times New Roman" w:cs="Times New Roman"/>
          <w:u w:val="single"/>
        </w:rPr>
        <w:t xml:space="preserve">Section 2. </w:t>
      </w:r>
      <w:r w:rsidR="00C4098E" w:rsidRPr="00C4098E">
        <w:rPr>
          <w:rFonts w:ascii="Times New Roman" w:hAnsi="Times New Roman" w:cs="Times New Roman"/>
          <w:u w:val="single"/>
        </w:rPr>
        <w:t>Voxel-based regression analysis with MDS-Part III total as the independent variable</w:t>
      </w:r>
    </w:p>
    <w:p w14:paraId="14AA04D4" w14:textId="50AA2399" w:rsidR="009D08D1" w:rsidRPr="009D08D1" w:rsidRDefault="009D08D1" w:rsidP="009D08D1">
      <w:pPr>
        <w:spacing w:line="360" w:lineRule="auto"/>
        <w:rPr>
          <w:rFonts w:ascii="Times New Roman" w:hAnsi="Times New Roman" w:cs="Times New Roman"/>
          <w:b/>
          <w:bCs/>
        </w:rPr>
      </w:pPr>
      <w:r w:rsidRPr="009E1125">
        <w:rPr>
          <w:rFonts w:ascii="Times New Roman" w:hAnsi="Times New Roman" w:cs="Times New Roman"/>
        </w:rPr>
        <w:t xml:space="preserve"> </w:t>
      </w:r>
      <w:r w:rsidR="00F73F9F" w:rsidRPr="00F73F9F">
        <w:rPr>
          <w:rFonts w:ascii="Times New Roman" w:hAnsi="Times New Roman" w:cs="Times New Roman"/>
        </w:rPr>
        <w:t xml:space="preserve">The overall topography of the statistically significant negative correlation between [18F]-FEOBV uptake and total scores on the MDS-UPDRS Part III was primarily observed in the cortical region. This largely overlapped with our primary analysis, </w:t>
      </w:r>
      <w:r w:rsidR="00514913">
        <w:rPr>
          <w:rFonts w:ascii="Times New Roman" w:hAnsi="Times New Roman" w:cs="Times New Roman"/>
        </w:rPr>
        <w:t>here, we</w:t>
      </w:r>
      <w:r w:rsidR="00F73F9F" w:rsidRPr="00F73F9F">
        <w:rPr>
          <w:rFonts w:ascii="Times New Roman" w:hAnsi="Times New Roman" w:cs="Times New Roman"/>
        </w:rPr>
        <w:t xml:space="preserve"> identified reduced statistically significant clusters in areas including the orbital frontal cortex, superior frontal cortex, fusiform gyrus, anterior cingulate, calcarine, precuneus, and the left inferior frontal </w:t>
      </w:r>
      <w:r w:rsidR="00F73F9F" w:rsidRPr="00F73F9F">
        <w:rPr>
          <w:rFonts w:ascii="Times New Roman" w:hAnsi="Times New Roman" w:cs="Times New Roman"/>
        </w:rPr>
        <w:lastRenderedPageBreak/>
        <w:t>cortex, as well as the left mid-temporal cortex, with a greater involvement on the left side than the right.</w:t>
      </w:r>
    </w:p>
    <w:p w14:paraId="53D02F1F" w14:textId="4E202E9C" w:rsidR="00C4098E" w:rsidRDefault="002C1150" w:rsidP="009E1125">
      <w:pPr>
        <w:spacing w:line="360" w:lineRule="auto"/>
        <w:rPr>
          <w:rStyle w:val="Strong"/>
          <w:rFonts w:ascii="Times New Roman" w:hAnsi="Times New Roman" w:cs="Times New Roman"/>
          <w:b w:val="0"/>
          <w:bCs w:val="0"/>
          <w:color w:val="0E101A"/>
        </w:rPr>
      </w:pPr>
      <w:r w:rsidRPr="00944A3B">
        <w:rPr>
          <w:rStyle w:val="Emphasis"/>
          <w:rFonts w:ascii="Times New Roman" w:hAnsi="Times New Roman" w:cs="Times New Roman"/>
          <w:b/>
          <w:bCs/>
          <w:color w:val="0E101A"/>
        </w:rPr>
        <w:t>Figure S2.</w:t>
      </w:r>
      <w:r w:rsidRPr="00944A3B">
        <w:rPr>
          <w:rStyle w:val="Strong"/>
          <w:rFonts w:ascii="Times New Roman" w:hAnsi="Times New Roman" w:cs="Times New Roman"/>
          <w:b w:val="0"/>
          <w:bCs w:val="0"/>
          <w:color w:val="0E101A"/>
        </w:rPr>
        <w:t xml:space="preserve"> Voxels where [18F]-FEOBV uptake (partial volume correction) exhibited statistically significant negative correlation with MDS-UPDRS Part III </w:t>
      </w:r>
      <w:proofErr w:type="spellStart"/>
      <w:r w:rsidRPr="00944A3B">
        <w:rPr>
          <w:rStyle w:val="Strong"/>
          <w:rFonts w:ascii="Times New Roman" w:hAnsi="Times New Roman" w:cs="Times New Roman"/>
          <w:b w:val="0"/>
          <w:bCs w:val="0"/>
          <w:color w:val="0E101A"/>
        </w:rPr>
        <w:t>totalscores</w:t>
      </w:r>
      <w:proofErr w:type="spellEnd"/>
      <w:r w:rsidRPr="00944A3B">
        <w:rPr>
          <w:rStyle w:val="Strong"/>
          <w:rFonts w:ascii="Times New Roman" w:hAnsi="Times New Roman" w:cs="Times New Roman"/>
          <w:b w:val="0"/>
          <w:bCs w:val="0"/>
          <w:color w:val="0E101A"/>
        </w:rPr>
        <w:t xml:space="preserve"> in PSP subjects. Color indicates SPM voxel-based regression analysis strength of correlation between lower cholinergic binding and MDS-UPDRS Part III total scores in PSP subjects with yellower color indicating more robust significant correlations (voxel-level uncorrected p&lt;0.01, cluster-level FDR-corrected at P&lt;0.05, k=1023; adjusted for sex, disease duration and Levodopa Equivalent Dose).</w:t>
      </w:r>
    </w:p>
    <w:p w14:paraId="7AAE5145" w14:textId="7C4EC16E" w:rsidR="00223865" w:rsidRPr="00944A3B" w:rsidRDefault="00FA4F8C" w:rsidP="009E1125">
      <w:pPr>
        <w:spacing w:line="360" w:lineRule="auto"/>
        <w:rPr>
          <w:rFonts w:ascii="Times New Roman" w:hAnsi="Times New Roman" w:cs="Times New Roman"/>
          <w:b/>
          <w:bCs/>
          <w:u w:val="single"/>
        </w:rPr>
      </w:pPr>
      <w:r>
        <w:rPr>
          <w:rFonts w:ascii="Times New Roman" w:hAnsi="Times New Roman" w:cs="Times New Roman"/>
          <w:b/>
          <w:bCs/>
          <w:noProof/>
          <w:u w:val="single"/>
        </w:rPr>
        <w:drawing>
          <wp:inline distT="0" distB="0" distL="0" distR="0" wp14:anchorId="745F9DF5" wp14:editId="68BDFC10">
            <wp:extent cx="5943600" cy="5383530"/>
            <wp:effectExtent l="0" t="0" r="0" b="1270"/>
            <wp:docPr id="1728769870" name="Picture 2"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769870" name="Picture 2" descr="A screenshot of a computer screen&#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5943600" cy="5383530"/>
                    </a:xfrm>
                    <a:prstGeom prst="rect">
                      <a:avLst/>
                    </a:prstGeom>
                  </pic:spPr>
                </pic:pic>
              </a:graphicData>
            </a:graphic>
          </wp:inline>
        </w:drawing>
      </w:r>
    </w:p>
    <w:p w14:paraId="028C2E75" w14:textId="43857FDD" w:rsidR="00D27339" w:rsidRPr="009E1125" w:rsidRDefault="00D27339" w:rsidP="009E1125">
      <w:pPr>
        <w:spacing w:line="360" w:lineRule="auto"/>
        <w:rPr>
          <w:rFonts w:ascii="Times New Roman" w:hAnsi="Times New Roman" w:cs="Times New Roman"/>
          <w:u w:val="single"/>
        </w:rPr>
      </w:pPr>
      <w:r w:rsidRPr="009E1125">
        <w:rPr>
          <w:rFonts w:ascii="Times New Roman" w:hAnsi="Times New Roman" w:cs="Times New Roman"/>
          <w:u w:val="single"/>
        </w:rPr>
        <w:t xml:space="preserve">Section </w:t>
      </w:r>
      <w:r w:rsidR="00086D24">
        <w:rPr>
          <w:rFonts w:ascii="Times New Roman" w:hAnsi="Times New Roman" w:cs="Times New Roman"/>
          <w:u w:val="single"/>
        </w:rPr>
        <w:t>3</w:t>
      </w:r>
      <w:r w:rsidRPr="009E1125">
        <w:rPr>
          <w:rFonts w:ascii="Times New Roman" w:hAnsi="Times New Roman" w:cs="Times New Roman"/>
          <w:u w:val="single"/>
        </w:rPr>
        <w:t>. Subregion sensitivity analysis</w:t>
      </w:r>
    </w:p>
    <w:p w14:paraId="61C7E948" w14:textId="50BF401B" w:rsidR="00EF26B8" w:rsidRPr="009E1125" w:rsidRDefault="00D27339" w:rsidP="009E1125">
      <w:pPr>
        <w:spacing w:line="360" w:lineRule="auto"/>
        <w:rPr>
          <w:rFonts w:ascii="Times New Roman" w:eastAsia="Times New Roman" w:hAnsi="Times New Roman" w:cs="Times New Roman"/>
        </w:rPr>
      </w:pPr>
      <w:r w:rsidRPr="009E1125">
        <w:rPr>
          <w:rFonts w:ascii="Times New Roman" w:hAnsi="Times New Roman" w:cs="Times New Roman"/>
        </w:rPr>
        <w:lastRenderedPageBreak/>
        <w:tab/>
        <w:t>The cluster of statistically significant voxels obtained in the primary analysis was split into five separate regions based on the different sources of cholinergic innervations, as initially described in our [</w:t>
      </w:r>
      <w:r w:rsidRPr="009E1125">
        <w:rPr>
          <w:rFonts w:ascii="Times New Roman" w:hAnsi="Times New Roman" w:cs="Times New Roman"/>
          <w:vertAlign w:val="superscript"/>
        </w:rPr>
        <w:t>18</w:t>
      </w:r>
      <w:r w:rsidRPr="009E1125">
        <w:rPr>
          <w:rFonts w:ascii="Times New Roman" w:hAnsi="Times New Roman" w:cs="Times New Roman"/>
        </w:rPr>
        <w:t xml:space="preserve">F]-FEOBV study of age-related changes among normal controls </w:t>
      </w:r>
      <w:r w:rsidRPr="009E1125">
        <w:rPr>
          <w:rFonts w:ascii="Times New Roman" w:hAnsi="Times New Roman" w:cs="Times New Roman"/>
        </w:rPr>
        <w:fldChar w:fldCharType="begin" w:fldLock="1"/>
      </w:r>
      <w:r w:rsidRPr="009E1125">
        <w:rPr>
          <w:rFonts w:ascii="Times New Roman" w:hAnsi="Times New Roman" w:cs="Times New Roman"/>
        </w:rPr>
        <w:instrText>ADDIN paperpile_citation &lt;clusterId&gt;Y787F844B235Z928&lt;/clusterId&gt;&lt;metadata&gt;&lt;citation&gt;&lt;id&gt;fa63afc1-7dd7-4252-b9a9-c7f775d03e42&lt;/id&gt;&lt;/citation&gt;&lt;/metadata&gt;&lt;data&gt;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&lt;/data&gt; \* MERGEFORMAT</w:instrText>
      </w:r>
      <w:r w:rsidRPr="009E1125">
        <w:rPr>
          <w:rFonts w:ascii="Times New Roman" w:hAnsi="Times New Roman" w:cs="Times New Roman"/>
        </w:rPr>
        <w:fldChar w:fldCharType="separate"/>
      </w:r>
      <w:r w:rsidRPr="009E1125">
        <w:rPr>
          <w:rFonts w:ascii="Times New Roman" w:hAnsi="Times New Roman" w:cs="Times New Roman"/>
          <w:noProof/>
        </w:rPr>
        <w:t>(Kanel et al. 2022)</w:t>
      </w:r>
      <w:r w:rsidRPr="009E1125">
        <w:rPr>
          <w:rFonts w:ascii="Times New Roman" w:hAnsi="Times New Roman" w:cs="Times New Roman"/>
        </w:rPr>
        <w:fldChar w:fldCharType="end"/>
      </w:r>
      <w:r w:rsidRPr="009E1125">
        <w:rPr>
          <w:rFonts w:ascii="Times New Roman" w:hAnsi="Times New Roman" w:cs="Times New Roman"/>
        </w:rPr>
        <w:t xml:space="preserve">. Statistically significant voxels in the cerebral cortex and the amygdala were grouped together because they both predominantly receive innervation from the cholinergic nucleus Basalis of </w:t>
      </w:r>
      <w:proofErr w:type="spellStart"/>
      <w:r w:rsidRPr="009E1125">
        <w:rPr>
          <w:rFonts w:ascii="Times New Roman" w:hAnsi="Times New Roman" w:cs="Times New Roman"/>
        </w:rPr>
        <w:t>Meynert</w:t>
      </w:r>
      <w:proofErr w:type="spellEnd"/>
      <w:r w:rsidRPr="009E1125">
        <w:rPr>
          <w:rFonts w:ascii="Times New Roman" w:hAnsi="Times New Roman" w:cs="Times New Roman"/>
        </w:rPr>
        <w:t xml:space="preserve"> (</w:t>
      </w:r>
      <w:proofErr w:type="spellStart"/>
      <w:r w:rsidRPr="009E1125">
        <w:rPr>
          <w:rFonts w:ascii="Times New Roman" w:hAnsi="Times New Roman" w:cs="Times New Roman"/>
        </w:rPr>
        <w:t>nBM</w:t>
      </w:r>
      <w:proofErr w:type="spellEnd"/>
      <w:r w:rsidRPr="009E1125">
        <w:rPr>
          <w:rFonts w:ascii="Times New Roman" w:hAnsi="Times New Roman" w:cs="Times New Roman"/>
        </w:rPr>
        <w:t xml:space="preserve">). Voxels in the cerebellum were grouped together due to being innervated by </w:t>
      </w:r>
      <w:proofErr w:type="spellStart"/>
      <w:r w:rsidRPr="009E1125">
        <w:rPr>
          <w:rFonts w:ascii="Times New Roman" w:hAnsi="Times New Roman" w:cs="Times New Roman"/>
        </w:rPr>
        <w:t>pedunculopontinue</w:t>
      </w:r>
      <w:proofErr w:type="spellEnd"/>
      <w:r w:rsidRPr="009E1125">
        <w:rPr>
          <w:rFonts w:ascii="Times New Roman" w:hAnsi="Times New Roman" w:cs="Times New Roman"/>
        </w:rPr>
        <w:t xml:space="preserve"> nucleus/</w:t>
      </w:r>
      <w:proofErr w:type="spellStart"/>
      <w:r w:rsidRPr="009E1125">
        <w:rPr>
          <w:rFonts w:ascii="Times New Roman" w:hAnsi="Times New Roman" w:cs="Times New Roman"/>
        </w:rPr>
        <w:t>laterodorsal</w:t>
      </w:r>
      <w:proofErr w:type="spellEnd"/>
      <w:r w:rsidRPr="009E1125">
        <w:rPr>
          <w:rFonts w:ascii="Times New Roman" w:hAnsi="Times New Roman" w:cs="Times New Roman"/>
        </w:rPr>
        <w:t xml:space="preserve"> tegmental complex (PPN/LDTC) and medial vestibular nucleus (MVN). Voxels in the hippocampus were grouped together due to shared innervation originating from medial septum (MS) and vertical limb of the diagonal band (VLDB). Voxels in the thalamus were categorized into a subregion predominantly innervated by PPN. Lastly, voxels in the caudate nucleus were categorized into a subregion predominantly innervated by the intrinsic striatal cholinergic interneurons (SChI).</w:t>
      </w:r>
      <w:r w:rsidR="000C695E" w:rsidRPr="009E1125">
        <w:rPr>
          <w:rFonts w:ascii="Times New Roman" w:hAnsi="Times New Roman" w:cs="Times New Roman"/>
        </w:rPr>
        <w:t xml:space="preserve"> Mean distribution volume ratios (DVR) were extracted from standard space parametric images for voxels corresponding to each of the clusters defined above.</w:t>
      </w:r>
    </w:p>
    <w:p w14:paraId="4FF2C2A5" w14:textId="62D94CF7" w:rsidR="00E83E84" w:rsidRPr="009E1125" w:rsidRDefault="00E83E84" w:rsidP="009E1125">
      <w:pPr>
        <w:spacing w:line="360" w:lineRule="auto"/>
        <w:rPr>
          <w:rFonts w:ascii="Times New Roman" w:hAnsi="Times New Roman" w:cs="Times New Roman"/>
        </w:rPr>
      </w:pPr>
      <w:r w:rsidRPr="009E1125">
        <w:rPr>
          <w:rFonts w:ascii="Times New Roman" w:hAnsi="Times New Roman" w:cs="Times New Roman"/>
          <w:i/>
          <w:iCs/>
        </w:rPr>
        <w:t>Table S1.</w:t>
      </w:r>
      <w:r w:rsidRPr="009E1125">
        <w:rPr>
          <w:rFonts w:ascii="Times New Roman" w:hAnsi="Times New Roman" w:cs="Times New Roman"/>
        </w:rPr>
        <w:t xml:space="preserve"> Post-hoc analysis, examining correlation between PIGD score and subregions within the statistically significant cluster of associations, focusing on cholinergic innervation targets with differential sources.</w:t>
      </w:r>
      <w:r w:rsidR="00D27339" w:rsidRPr="009E1125">
        <w:rPr>
          <w:rFonts w:ascii="Times New Roman" w:hAnsi="Times New Roman" w:cs="Times New Roman"/>
        </w:rPr>
        <w:t xml:space="preserve"> Sources of cholinergic innervation corresponding to each region and relevant regression model parameters including standardized regression coefficient (</w:t>
      </w:r>
      <w:r w:rsidR="00D27339" w:rsidRPr="009E1125">
        <w:rPr>
          <w:rFonts w:ascii="Times New Roman" w:eastAsia="Times New Roman" w:hAnsi="Times New Roman" w:cs="Times New Roman"/>
          <w:i/>
          <w:iCs/>
        </w:rPr>
        <w:t>β</w:t>
      </w:r>
      <w:r w:rsidR="00D27339" w:rsidRPr="009E1125">
        <w:rPr>
          <w:rFonts w:ascii="Times New Roman" w:hAnsi="Times New Roman" w:cs="Times New Roman"/>
        </w:rPr>
        <w:t>), coefficient of determination (</w:t>
      </w:r>
      <w:r w:rsidR="00D27339" w:rsidRPr="009E1125">
        <w:rPr>
          <w:rFonts w:ascii="Times New Roman" w:eastAsia="Times New Roman" w:hAnsi="Times New Roman" w:cs="Times New Roman"/>
          <w:i/>
          <w:iCs/>
        </w:rPr>
        <w:t>R</w:t>
      </w:r>
      <w:r w:rsidR="00D27339" w:rsidRPr="009E1125">
        <w:rPr>
          <w:rFonts w:ascii="Times New Roman" w:eastAsia="Times New Roman" w:hAnsi="Times New Roman" w:cs="Times New Roman"/>
          <w:i/>
          <w:iCs/>
          <w:vertAlign w:val="superscript"/>
        </w:rPr>
        <w:t>2</w:t>
      </w:r>
      <w:r w:rsidR="00D27339" w:rsidRPr="009E1125">
        <w:rPr>
          <w:rFonts w:ascii="Times New Roman" w:eastAsia="Times New Roman" w:hAnsi="Times New Roman" w:cs="Times New Roman"/>
        </w:rPr>
        <w:t xml:space="preserve">), </w:t>
      </w:r>
      <w:r w:rsidR="00D27339" w:rsidRPr="009E1125">
        <w:rPr>
          <w:rFonts w:ascii="Times New Roman" w:eastAsia="Times New Roman" w:hAnsi="Times New Roman" w:cs="Times New Roman"/>
          <w:i/>
          <w:iCs/>
        </w:rPr>
        <w:t>F-</w:t>
      </w:r>
      <w:r w:rsidR="00D27339" w:rsidRPr="009E1125">
        <w:rPr>
          <w:rFonts w:ascii="Times New Roman" w:eastAsia="Times New Roman" w:hAnsi="Times New Roman" w:cs="Times New Roman"/>
        </w:rPr>
        <w:t xml:space="preserve">value for the model comparison against an intercept-only model along with its respective </w:t>
      </w:r>
      <w:r w:rsidR="00D27339" w:rsidRPr="009E1125">
        <w:rPr>
          <w:rFonts w:ascii="Times New Roman" w:eastAsia="Times New Roman" w:hAnsi="Times New Roman" w:cs="Times New Roman"/>
          <w:i/>
          <w:iCs/>
        </w:rPr>
        <w:t>P</w:t>
      </w:r>
      <w:r w:rsidR="00D27339" w:rsidRPr="009E1125">
        <w:rPr>
          <w:rFonts w:ascii="Times New Roman" w:eastAsia="Times New Roman" w:hAnsi="Times New Roman" w:cs="Times New Roman"/>
        </w:rPr>
        <w:t xml:space="preserve">-value are provided. </w:t>
      </w:r>
      <w:r w:rsidR="00D27339" w:rsidRPr="009E1125">
        <w:rPr>
          <w:rFonts w:ascii="Times New Roman" w:eastAsia="Times New Roman" w:hAnsi="Times New Roman" w:cs="Times New Roman"/>
          <w:i/>
          <w:iCs/>
        </w:rPr>
        <w:t>Abbreviations</w:t>
      </w:r>
      <w:r w:rsidR="00D27339" w:rsidRPr="009E1125">
        <w:rPr>
          <w:rFonts w:ascii="Times New Roman" w:eastAsia="Times New Roman" w:hAnsi="Times New Roman" w:cs="Times New Roman"/>
        </w:rPr>
        <w:t xml:space="preserve">: </w:t>
      </w:r>
      <w:proofErr w:type="spellStart"/>
      <w:r w:rsidR="00D27339" w:rsidRPr="009E1125">
        <w:rPr>
          <w:rFonts w:ascii="Times New Roman" w:eastAsia="Times New Roman" w:hAnsi="Times New Roman" w:cs="Times New Roman"/>
        </w:rPr>
        <w:t>nBM</w:t>
      </w:r>
      <w:proofErr w:type="spellEnd"/>
      <w:r w:rsidR="00D27339" w:rsidRPr="009E1125">
        <w:rPr>
          <w:rFonts w:ascii="Times New Roman" w:eastAsia="Times New Roman" w:hAnsi="Times New Roman" w:cs="Times New Roman"/>
        </w:rPr>
        <w:t xml:space="preserve">, nucleus Basalis of </w:t>
      </w:r>
      <w:proofErr w:type="spellStart"/>
      <w:r w:rsidR="00D27339" w:rsidRPr="009E1125">
        <w:rPr>
          <w:rFonts w:ascii="Times New Roman" w:eastAsia="Times New Roman" w:hAnsi="Times New Roman" w:cs="Times New Roman"/>
        </w:rPr>
        <w:t>Meynert</w:t>
      </w:r>
      <w:proofErr w:type="spellEnd"/>
      <w:r w:rsidR="00D27339" w:rsidRPr="009E1125">
        <w:rPr>
          <w:rFonts w:ascii="Times New Roman" w:eastAsia="Times New Roman" w:hAnsi="Times New Roman" w:cs="Times New Roman"/>
        </w:rPr>
        <w:t>; PPN, pedunculopontine nucleus; LDTC, laterodorsal tegmental complex; MS, medial septum;  VLDB, vertical limb of the diagonal band; SChI, striatal cholinergic interneurons.</w:t>
      </w:r>
    </w:p>
    <w:tbl>
      <w:tblPr>
        <w:tblW w:w="0" w:type="auto"/>
        <w:tblCellMar>
          <w:top w:w="15" w:type="dxa"/>
          <w:left w:w="15" w:type="dxa"/>
          <w:bottom w:w="15" w:type="dxa"/>
          <w:right w:w="15" w:type="dxa"/>
        </w:tblCellMar>
        <w:tblLook w:val="04A0" w:firstRow="1" w:lastRow="0" w:firstColumn="1" w:lastColumn="0" w:noHBand="0" w:noVBand="1"/>
      </w:tblPr>
      <w:tblGrid>
        <w:gridCol w:w="2173"/>
        <w:gridCol w:w="1897"/>
        <w:gridCol w:w="846"/>
        <w:gridCol w:w="766"/>
        <w:gridCol w:w="886"/>
        <w:gridCol w:w="1126"/>
      </w:tblGrid>
      <w:tr w:rsidR="00D27339" w:rsidRPr="009E1125" w14:paraId="288E1501" w14:textId="77777777" w:rsidTr="001B77C8">
        <w:tc>
          <w:tcPr>
            <w:tcW w:w="0" w:type="auto"/>
            <w:tcBorders>
              <w:top w:val="double" w:sz="6" w:space="0" w:color="auto"/>
              <w:bottom w:val="single" w:sz="6" w:space="0" w:color="000000"/>
            </w:tcBorders>
            <w:tcMar>
              <w:top w:w="113" w:type="dxa"/>
              <w:left w:w="113" w:type="dxa"/>
              <w:bottom w:w="113" w:type="dxa"/>
              <w:right w:w="113" w:type="dxa"/>
            </w:tcMar>
            <w:vAlign w:val="center"/>
            <w:hideMark/>
          </w:tcPr>
          <w:p w14:paraId="0B9CD543" w14:textId="77777777" w:rsidR="00D27339" w:rsidRPr="009E1125" w:rsidRDefault="00D27339" w:rsidP="009E1125">
            <w:pPr>
              <w:spacing w:line="360" w:lineRule="auto"/>
              <w:rPr>
                <w:rFonts w:ascii="Times New Roman" w:eastAsia="Times New Roman" w:hAnsi="Times New Roman" w:cs="Times New Roman"/>
                <w:i/>
                <w:iCs/>
                <w:kern w:val="0"/>
                <w14:ligatures w14:val="none"/>
              </w:rPr>
            </w:pPr>
            <w:r w:rsidRPr="009E1125">
              <w:rPr>
                <w:rFonts w:ascii="Times New Roman" w:eastAsia="Times New Roman" w:hAnsi="Times New Roman" w:cs="Times New Roman"/>
                <w:i/>
                <w:iCs/>
              </w:rPr>
              <w:t>Region</w:t>
            </w:r>
          </w:p>
        </w:tc>
        <w:tc>
          <w:tcPr>
            <w:tcW w:w="0" w:type="auto"/>
            <w:tcBorders>
              <w:top w:val="double" w:sz="6" w:space="0" w:color="auto"/>
              <w:bottom w:val="single" w:sz="6" w:space="0" w:color="000000"/>
            </w:tcBorders>
          </w:tcPr>
          <w:p w14:paraId="79AF0BBC" w14:textId="7F8ED653" w:rsidR="00D27339" w:rsidRPr="009E1125" w:rsidRDefault="00D27339" w:rsidP="009E1125">
            <w:pPr>
              <w:spacing w:line="360" w:lineRule="auto"/>
              <w:jc w:val="center"/>
              <w:rPr>
                <w:rFonts w:ascii="Times New Roman" w:eastAsia="Times New Roman" w:hAnsi="Times New Roman" w:cs="Times New Roman"/>
                <w:i/>
                <w:iCs/>
              </w:rPr>
            </w:pPr>
            <w:r w:rsidRPr="009E1125">
              <w:rPr>
                <w:rFonts w:ascii="Times New Roman" w:eastAsia="Times New Roman" w:hAnsi="Times New Roman" w:cs="Times New Roman"/>
                <w:i/>
                <w:iCs/>
              </w:rPr>
              <w:t>Source</w:t>
            </w:r>
          </w:p>
        </w:tc>
        <w:tc>
          <w:tcPr>
            <w:tcW w:w="0" w:type="auto"/>
            <w:tcBorders>
              <w:top w:val="double" w:sz="6" w:space="0" w:color="auto"/>
              <w:bottom w:val="single" w:sz="6" w:space="0" w:color="000000"/>
            </w:tcBorders>
            <w:tcMar>
              <w:top w:w="113" w:type="dxa"/>
              <w:left w:w="113" w:type="dxa"/>
              <w:bottom w:w="113" w:type="dxa"/>
              <w:right w:w="113" w:type="dxa"/>
            </w:tcMar>
            <w:vAlign w:val="center"/>
            <w:hideMark/>
          </w:tcPr>
          <w:p w14:paraId="1AAE287C" w14:textId="0200F476" w:rsidR="00D27339" w:rsidRPr="009E1125" w:rsidRDefault="00D27339" w:rsidP="009E1125">
            <w:pPr>
              <w:spacing w:line="360" w:lineRule="auto"/>
              <w:jc w:val="center"/>
              <w:rPr>
                <w:rFonts w:ascii="Times New Roman" w:eastAsia="Times New Roman" w:hAnsi="Times New Roman" w:cs="Times New Roman"/>
                <w:i/>
                <w:iCs/>
              </w:rPr>
            </w:pPr>
            <w:r w:rsidRPr="009E1125">
              <w:rPr>
                <w:rFonts w:ascii="Times New Roman" w:eastAsia="Times New Roman" w:hAnsi="Times New Roman" w:cs="Times New Roman"/>
                <w:i/>
                <w:iCs/>
              </w:rPr>
              <w:t>β</w:t>
            </w:r>
          </w:p>
        </w:tc>
        <w:tc>
          <w:tcPr>
            <w:tcW w:w="0" w:type="auto"/>
            <w:tcBorders>
              <w:top w:val="double" w:sz="6" w:space="0" w:color="auto"/>
              <w:bottom w:val="single" w:sz="6" w:space="0" w:color="000000"/>
            </w:tcBorders>
            <w:tcMar>
              <w:top w:w="113" w:type="dxa"/>
              <w:left w:w="113" w:type="dxa"/>
              <w:bottom w:w="113" w:type="dxa"/>
              <w:right w:w="113" w:type="dxa"/>
            </w:tcMar>
            <w:vAlign w:val="center"/>
            <w:hideMark/>
          </w:tcPr>
          <w:p w14:paraId="2653D8EB" w14:textId="77777777" w:rsidR="00D27339" w:rsidRPr="009E1125" w:rsidRDefault="00D27339" w:rsidP="009E1125">
            <w:pPr>
              <w:spacing w:line="360" w:lineRule="auto"/>
              <w:jc w:val="center"/>
              <w:rPr>
                <w:rFonts w:ascii="Times New Roman" w:eastAsia="Times New Roman" w:hAnsi="Times New Roman" w:cs="Times New Roman"/>
                <w:i/>
                <w:iCs/>
              </w:rPr>
            </w:pPr>
            <w:r w:rsidRPr="009E1125">
              <w:rPr>
                <w:rFonts w:ascii="Times New Roman" w:eastAsia="Times New Roman" w:hAnsi="Times New Roman" w:cs="Times New Roman"/>
                <w:i/>
                <w:iCs/>
              </w:rPr>
              <w:t>R</w:t>
            </w:r>
            <w:r w:rsidRPr="009E1125">
              <w:rPr>
                <w:rFonts w:ascii="Times New Roman" w:eastAsia="Times New Roman" w:hAnsi="Times New Roman" w:cs="Times New Roman"/>
                <w:i/>
                <w:iCs/>
                <w:vertAlign w:val="superscript"/>
              </w:rPr>
              <w:t>2</w:t>
            </w:r>
          </w:p>
        </w:tc>
        <w:tc>
          <w:tcPr>
            <w:tcW w:w="0" w:type="auto"/>
            <w:tcBorders>
              <w:top w:val="double" w:sz="6" w:space="0" w:color="auto"/>
              <w:bottom w:val="single" w:sz="6" w:space="0" w:color="000000"/>
            </w:tcBorders>
            <w:tcMar>
              <w:top w:w="113" w:type="dxa"/>
              <w:left w:w="113" w:type="dxa"/>
              <w:bottom w:w="113" w:type="dxa"/>
              <w:right w:w="113" w:type="dxa"/>
            </w:tcMar>
            <w:vAlign w:val="center"/>
            <w:hideMark/>
          </w:tcPr>
          <w:p w14:paraId="79B567DD" w14:textId="77777777" w:rsidR="00D27339" w:rsidRPr="009E1125" w:rsidRDefault="00D27339" w:rsidP="009E1125">
            <w:pPr>
              <w:spacing w:line="360" w:lineRule="auto"/>
              <w:jc w:val="center"/>
              <w:rPr>
                <w:rFonts w:ascii="Times New Roman" w:eastAsia="Times New Roman" w:hAnsi="Times New Roman" w:cs="Times New Roman"/>
                <w:i/>
                <w:iCs/>
              </w:rPr>
            </w:pPr>
            <w:r w:rsidRPr="009E1125">
              <w:rPr>
                <w:rFonts w:ascii="Times New Roman" w:eastAsia="Times New Roman" w:hAnsi="Times New Roman" w:cs="Times New Roman"/>
                <w:i/>
                <w:iCs/>
              </w:rPr>
              <w:t>F</w:t>
            </w:r>
          </w:p>
        </w:tc>
        <w:tc>
          <w:tcPr>
            <w:tcW w:w="0" w:type="auto"/>
            <w:tcBorders>
              <w:top w:val="double" w:sz="6" w:space="0" w:color="auto"/>
              <w:bottom w:val="single" w:sz="6" w:space="0" w:color="000000"/>
            </w:tcBorders>
            <w:tcMar>
              <w:top w:w="113" w:type="dxa"/>
              <w:left w:w="113" w:type="dxa"/>
              <w:bottom w:w="113" w:type="dxa"/>
              <w:right w:w="113" w:type="dxa"/>
            </w:tcMar>
            <w:vAlign w:val="center"/>
            <w:hideMark/>
          </w:tcPr>
          <w:p w14:paraId="3F5E87D7" w14:textId="77777777" w:rsidR="00D27339" w:rsidRPr="009E1125" w:rsidRDefault="00D27339" w:rsidP="009E1125">
            <w:pPr>
              <w:spacing w:line="360" w:lineRule="auto"/>
              <w:jc w:val="center"/>
              <w:rPr>
                <w:rFonts w:ascii="Times New Roman" w:eastAsia="Times New Roman" w:hAnsi="Times New Roman" w:cs="Times New Roman"/>
                <w:i/>
                <w:iCs/>
              </w:rPr>
            </w:pPr>
            <w:r w:rsidRPr="009E1125">
              <w:rPr>
                <w:rFonts w:ascii="Times New Roman" w:eastAsia="Times New Roman" w:hAnsi="Times New Roman" w:cs="Times New Roman"/>
                <w:i/>
                <w:iCs/>
              </w:rPr>
              <w:t>P(&gt;|F|)</w:t>
            </w:r>
          </w:p>
        </w:tc>
      </w:tr>
      <w:tr w:rsidR="00D27339" w:rsidRPr="009E1125" w14:paraId="07ACFB87" w14:textId="77777777" w:rsidTr="001B77C8">
        <w:tc>
          <w:tcPr>
            <w:tcW w:w="0" w:type="auto"/>
            <w:tcMar>
              <w:top w:w="113" w:type="dxa"/>
              <w:left w:w="113" w:type="dxa"/>
              <w:bottom w:w="113" w:type="dxa"/>
              <w:right w:w="113" w:type="dxa"/>
            </w:tcMar>
            <w:hideMark/>
          </w:tcPr>
          <w:p w14:paraId="6DC88F4B" w14:textId="77777777" w:rsidR="00D27339" w:rsidRPr="009E1125" w:rsidRDefault="00D27339" w:rsidP="009E1125">
            <w:pPr>
              <w:spacing w:line="360" w:lineRule="auto"/>
              <w:rPr>
                <w:rFonts w:ascii="Times New Roman" w:eastAsia="Times New Roman" w:hAnsi="Times New Roman" w:cs="Times New Roman"/>
              </w:rPr>
            </w:pPr>
            <w:r w:rsidRPr="009E1125">
              <w:rPr>
                <w:rFonts w:ascii="Times New Roman" w:eastAsia="Times New Roman" w:hAnsi="Times New Roman" w:cs="Times New Roman"/>
              </w:rPr>
              <w:t>Cortex &amp; Amygdala</w:t>
            </w:r>
          </w:p>
        </w:tc>
        <w:tc>
          <w:tcPr>
            <w:tcW w:w="0" w:type="auto"/>
          </w:tcPr>
          <w:p w14:paraId="0F655F2D" w14:textId="34EDC5EC" w:rsidR="00D27339" w:rsidRPr="009E1125" w:rsidRDefault="00D27339" w:rsidP="009E1125">
            <w:pPr>
              <w:spacing w:line="360" w:lineRule="auto"/>
              <w:jc w:val="center"/>
              <w:rPr>
                <w:rFonts w:ascii="Times New Roman" w:eastAsia="Times New Roman" w:hAnsi="Times New Roman" w:cs="Times New Roman"/>
              </w:rPr>
            </w:pPr>
            <w:proofErr w:type="spellStart"/>
            <w:r w:rsidRPr="009E1125">
              <w:rPr>
                <w:rFonts w:ascii="Times New Roman" w:eastAsia="Times New Roman" w:hAnsi="Times New Roman" w:cs="Times New Roman"/>
              </w:rPr>
              <w:t>nBM</w:t>
            </w:r>
            <w:proofErr w:type="spellEnd"/>
          </w:p>
        </w:tc>
        <w:tc>
          <w:tcPr>
            <w:tcW w:w="0" w:type="auto"/>
            <w:tcMar>
              <w:top w:w="113" w:type="dxa"/>
              <w:left w:w="113" w:type="dxa"/>
              <w:bottom w:w="113" w:type="dxa"/>
              <w:right w:w="113" w:type="dxa"/>
            </w:tcMar>
            <w:hideMark/>
          </w:tcPr>
          <w:p w14:paraId="422E1879" w14:textId="4B622655" w:rsidR="00D27339" w:rsidRPr="009E1125" w:rsidRDefault="00D27339" w:rsidP="009E1125">
            <w:pPr>
              <w:spacing w:line="360" w:lineRule="auto"/>
              <w:jc w:val="center"/>
              <w:rPr>
                <w:rFonts w:ascii="Times New Roman" w:eastAsia="Times New Roman" w:hAnsi="Times New Roman" w:cs="Times New Roman"/>
              </w:rPr>
            </w:pPr>
            <w:r w:rsidRPr="009E1125">
              <w:rPr>
                <w:rFonts w:ascii="Times New Roman" w:eastAsia="Times New Roman" w:hAnsi="Times New Roman" w:cs="Times New Roman"/>
              </w:rPr>
              <w:t>-0.608</w:t>
            </w:r>
          </w:p>
        </w:tc>
        <w:tc>
          <w:tcPr>
            <w:tcW w:w="0" w:type="auto"/>
            <w:tcMar>
              <w:top w:w="113" w:type="dxa"/>
              <w:left w:w="113" w:type="dxa"/>
              <w:bottom w:w="113" w:type="dxa"/>
              <w:right w:w="113" w:type="dxa"/>
            </w:tcMar>
            <w:hideMark/>
          </w:tcPr>
          <w:p w14:paraId="7D6DA6E8" w14:textId="77777777" w:rsidR="00D27339" w:rsidRPr="009E1125" w:rsidRDefault="00D27339" w:rsidP="009E1125">
            <w:pPr>
              <w:spacing w:line="360" w:lineRule="auto"/>
              <w:jc w:val="center"/>
              <w:rPr>
                <w:rFonts w:ascii="Times New Roman" w:eastAsia="Times New Roman" w:hAnsi="Times New Roman" w:cs="Times New Roman"/>
              </w:rPr>
            </w:pPr>
            <w:r w:rsidRPr="009E1125">
              <w:rPr>
                <w:rFonts w:ascii="Times New Roman" w:eastAsia="Times New Roman" w:hAnsi="Times New Roman" w:cs="Times New Roman"/>
              </w:rPr>
              <w:t>0.369</w:t>
            </w:r>
          </w:p>
        </w:tc>
        <w:tc>
          <w:tcPr>
            <w:tcW w:w="0" w:type="auto"/>
            <w:tcMar>
              <w:top w:w="113" w:type="dxa"/>
              <w:left w:w="113" w:type="dxa"/>
              <w:bottom w:w="113" w:type="dxa"/>
              <w:right w:w="113" w:type="dxa"/>
            </w:tcMar>
            <w:hideMark/>
          </w:tcPr>
          <w:p w14:paraId="72A90106" w14:textId="77777777" w:rsidR="00D27339" w:rsidRPr="009E1125" w:rsidRDefault="00D27339" w:rsidP="009E1125">
            <w:pPr>
              <w:spacing w:line="360" w:lineRule="auto"/>
              <w:jc w:val="center"/>
              <w:rPr>
                <w:rFonts w:ascii="Times New Roman" w:eastAsia="Times New Roman" w:hAnsi="Times New Roman" w:cs="Times New Roman"/>
              </w:rPr>
            </w:pPr>
            <w:r w:rsidRPr="009E1125">
              <w:rPr>
                <w:rFonts w:ascii="Times New Roman" w:eastAsia="Times New Roman" w:hAnsi="Times New Roman" w:cs="Times New Roman"/>
              </w:rPr>
              <w:t>9.957</w:t>
            </w:r>
          </w:p>
        </w:tc>
        <w:tc>
          <w:tcPr>
            <w:tcW w:w="0" w:type="auto"/>
            <w:tcMar>
              <w:top w:w="113" w:type="dxa"/>
              <w:left w:w="113" w:type="dxa"/>
              <w:bottom w:w="113" w:type="dxa"/>
              <w:right w:w="113" w:type="dxa"/>
            </w:tcMar>
            <w:hideMark/>
          </w:tcPr>
          <w:p w14:paraId="58992F00" w14:textId="77777777" w:rsidR="00D27339" w:rsidRPr="009E1125" w:rsidRDefault="00D27339" w:rsidP="009E1125">
            <w:pPr>
              <w:spacing w:line="360" w:lineRule="auto"/>
              <w:jc w:val="center"/>
              <w:rPr>
                <w:rFonts w:ascii="Times New Roman" w:eastAsia="Times New Roman" w:hAnsi="Times New Roman" w:cs="Times New Roman"/>
              </w:rPr>
            </w:pPr>
            <w:r w:rsidRPr="009E1125">
              <w:rPr>
                <w:rFonts w:ascii="Times New Roman" w:eastAsia="Times New Roman" w:hAnsi="Times New Roman" w:cs="Times New Roman"/>
              </w:rPr>
              <w:t>0.005774</w:t>
            </w:r>
          </w:p>
        </w:tc>
      </w:tr>
      <w:tr w:rsidR="00D27339" w:rsidRPr="009E1125" w14:paraId="07BAF785" w14:textId="77777777" w:rsidTr="001B77C8">
        <w:tc>
          <w:tcPr>
            <w:tcW w:w="0" w:type="auto"/>
            <w:tcMar>
              <w:top w:w="113" w:type="dxa"/>
              <w:left w:w="113" w:type="dxa"/>
              <w:bottom w:w="113" w:type="dxa"/>
              <w:right w:w="113" w:type="dxa"/>
            </w:tcMar>
            <w:hideMark/>
          </w:tcPr>
          <w:p w14:paraId="123A2C6F" w14:textId="77777777" w:rsidR="00D27339" w:rsidRPr="009E1125" w:rsidRDefault="00D27339" w:rsidP="009E1125">
            <w:pPr>
              <w:spacing w:line="360" w:lineRule="auto"/>
              <w:rPr>
                <w:rFonts w:ascii="Times New Roman" w:eastAsia="Times New Roman" w:hAnsi="Times New Roman" w:cs="Times New Roman"/>
              </w:rPr>
            </w:pPr>
            <w:r w:rsidRPr="009E1125">
              <w:rPr>
                <w:rFonts w:ascii="Times New Roman" w:eastAsia="Times New Roman" w:hAnsi="Times New Roman" w:cs="Times New Roman"/>
              </w:rPr>
              <w:t>Cerebellum</w:t>
            </w:r>
          </w:p>
        </w:tc>
        <w:tc>
          <w:tcPr>
            <w:tcW w:w="0" w:type="auto"/>
          </w:tcPr>
          <w:p w14:paraId="24B9DD6F" w14:textId="2E0D56EE" w:rsidR="00D27339" w:rsidRPr="009E1125" w:rsidRDefault="00D27339" w:rsidP="009E1125">
            <w:pPr>
              <w:spacing w:line="360" w:lineRule="auto"/>
              <w:jc w:val="center"/>
              <w:rPr>
                <w:rFonts w:ascii="Times New Roman" w:eastAsia="Times New Roman" w:hAnsi="Times New Roman" w:cs="Times New Roman"/>
              </w:rPr>
            </w:pPr>
            <w:r w:rsidRPr="009E1125">
              <w:rPr>
                <w:rFonts w:ascii="Times New Roman" w:eastAsia="Times New Roman" w:hAnsi="Times New Roman" w:cs="Times New Roman"/>
              </w:rPr>
              <w:t>PPN, LDTC, MVN</w:t>
            </w:r>
          </w:p>
        </w:tc>
        <w:tc>
          <w:tcPr>
            <w:tcW w:w="0" w:type="auto"/>
            <w:tcMar>
              <w:top w:w="113" w:type="dxa"/>
              <w:left w:w="113" w:type="dxa"/>
              <w:bottom w:w="113" w:type="dxa"/>
              <w:right w:w="113" w:type="dxa"/>
            </w:tcMar>
            <w:hideMark/>
          </w:tcPr>
          <w:p w14:paraId="5CC74F40" w14:textId="3F010216" w:rsidR="00D27339" w:rsidRPr="009E1125" w:rsidRDefault="00D27339" w:rsidP="009E1125">
            <w:pPr>
              <w:spacing w:line="360" w:lineRule="auto"/>
              <w:jc w:val="center"/>
              <w:rPr>
                <w:rFonts w:ascii="Times New Roman" w:eastAsia="Times New Roman" w:hAnsi="Times New Roman" w:cs="Times New Roman"/>
              </w:rPr>
            </w:pPr>
            <w:r w:rsidRPr="009E1125">
              <w:rPr>
                <w:rFonts w:ascii="Times New Roman" w:eastAsia="Times New Roman" w:hAnsi="Times New Roman" w:cs="Times New Roman"/>
              </w:rPr>
              <w:t>-0.616</w:t>
            </w:r>
          </w:p>
        </w:tc>
        <w:tc>
          <w:tcPr>
            <w:tcW w:w="0" w:type="auto"/>
            <w:tcMar>
              <w:top w:w="113" w:type="dxa"/>
              <w:left w:w="113" w:type="dxa"/>
              <w:bottom w:w="113" w:type="dxa"/>
              <w:right w:w="113" w:type="dxa"/>
            </w:tcMar>
            <w:hideMark/>
          </w:tcPr>
          <w:p w14:paraId="65383B8A" w14:textId="77777777" w:rsidR="00D27339" w:rsidRPr="009E1125" w:rsidRDefault="00D27339" w:rsidP="009E1125">
            <w:pPr>
              <w:spacing w:line="360" w:lineRule="auto"/>
              <w:jc w:val="center"/>
              <w:rPr>
                <w:rFonts w:ascii="Times New Roman" w:eastAsia="Times New Roman" w:hAnsi="Times New Roman" w:cs="Times New Roman"/>
              </w:rPr>
            </w:pPr>
            <w:r w:rsidRPr="009E1125">
              <w:rPr>
                <w:rFonts w:ascii="Times New Roman" w:eastAsia="Times New Roman" w:hAnsi="Times New Roman" w:cs="Times New Roman"/>
              </w:rPr>
              <w:t>0.379</w:t>
            </w:r>
          </w:p>
        </w:tc>
        <w:tc>
          <w:tcPr>
            <w:tcW w:w="0" w:type="auto"/>
            <w:tcMar>
              <w:top w:w="113" w:type="dxa"/>
              <w:left w:w="113" w:type="dxa"/>
              <w:bottom w:w="113" w:type="dxa"/>
              <w:right w:w="113" w:type="dxa"/>
            </w:tcMar>
            <w:hideMark/>
          </w:tcPr>
          <w:p w14:paraId="39510F8D" w14:textId="77777777" w:rsidR="00D27339" w:rsidRPr="009E1125" w:rsidRDefault="00D27339" w:rsidP="009E1125">
            <w:pPr>
              <w:spacing w:line="360" w:lineRule="auto"/>
              <w:jc w:val="center"/>
              <w:rPr>
                <w:rFonts w:ascii="Times New Roman" w:eastAsia="Times New Roman" w:hAnsi="Times New Roman" w:cs="Times New Roman"/>
              </w:rPr>
            </w:pPr>
            <w:r w:rsidRPr="009E1125">
              <w:rPr>
                <w:rFonts w:ascii="Times New Roman" w:eastAsia="Times New Roman" w:hAnsi="Times New Roman" w:cs="Times New Roman"/>
              </w:rPr>
              <w:t>10.381</w:t>
            </w:r>
          </w:p>
        </w:tc>
        <w:tc>
          <w:tcPr>
            <w:tcW w:w="0" w:type="auto"/>
            <w:tcMar>
              <w:top w:w="113" w:type="dxa"/>
              <w:left w:w="113" w:type="dxa"/>
              <w:bottom w:w="113" w:type="dxa"/>
              <w:right w:w="113" w:type="dxa"/>
            </w:tcMar>
            <w:hideMark/>
          </w:tcPr>
          <w:p w14:paraId="75CE55B5" w14:textId="77777777" w:rsidR="00D27339" w:rsidRPr="009E1125" w:rsidRDefault="00D27339" w:rsidP="009E1125">
            <w:pPr>
              <w:spacing w:line="360" w:lineRule="auto"/>
              <w:jc w:val="center"/>
              <w:rPr>
                <w:rFonts w:ascii="Times New Roman" w:eastAsia="Times New Roman" w:hAnsi="Times New Roman" w:cs="Times New Roman"/>
              </w:rPr>
            </w:pPr>
            <w:r w:rsidRPr="009E1125">
              <w:rPr>
                <w:rFonts w:ascii="Times New Roman" w:eastAsia="Times New Roman" w:hAnsi="Times New Roman" w:cs="Times New Roman"/>
              </w:rPr>
              <w:t>0.005005</w:t>
            </w:r>
          </w:p>
        </w:tc>
      </w:tr>
      <w:tr w:rsidR="00D27339" w:rsidRPr="009E1125" w14:paraId="4D55DFB1" w14:textId="77777777" w:rsidTr="001B77C8">
        <w:tc>
          <w:tcPr>
            <w:tcW w:w="0" w:type="auto"/>
            <w:tcMar>
              <w:top w:w="113" w:type="dxa"/>
              <w:left w:w="113" w:type="dxa"/>
              <w:bottom w:w="113" w:type="dxa"/>
              <w:right w:w="113" w:type="dxa"/>
            </w:tcMar>
            <w:hideMark/>
          </w:tcPr>
          <w:p w14:paraId="2AB6590C" w14:textId="77777777" w:rsidR="00D27339" w:rsidRPr="009E1125" w:rsidRDefault="00D27339" w:rsidP="009E1125">
            <w:pPr>
              <w:spacing w:line="360" w:lineRule="auto"/>
              <w:rPr>
                <w:rFonts w:ascii="Times New Roman" w:eastAsia="Times New Roman" w:hAnsi="Times New Roman" w:cs="Times New Roman"/>
              </w:rPr>
            </w:pPr>
            <w:r w:rsidRPr="009E1125">
              <w:rPr>
                <w:rFonts w:ascii="Times New Roman" w:eastAsia="Times New Roman" w:hAnsi="Times New Roman" w:cs="Times New Roman"/>
              </w:rPr>
              <w:t>Hippocampus</w:t>
            </w:r>
          </w:p>
        </w:tc>
        <w:tc>
          <w:tcPr>
            <w:tcW w:w="0" w:type="auto"/>
          </w:tcPr>
          <w:p w14:paraId="46234F9C" w14:textId="5EB5A58F" w:rsidR="00D27339" w:rsidRPr="009E1125" w:rsidRDefault="00D27339" w:rsidP="009E1125">
            <w:pPr>
              <w:spacing w:line="360" w:lineRule="auto"/>
              <w:jc w:val="center"/>
              <w:rPr>
                <w:rFonts w:ascii="Times New Roman" w:eastAsia="Times New Roman" w:hAnsi="Times New Roman" w:cs="Times New Roman"/>
              </w:rPr>
            </w:pPr>
            <w:r w:rsidRPr="009E1125">
              <w:rPr>
                <w:rFonts w:ascii="Times New Roman" w:eastAsia="Times New Roman" w:hAnsi="Times New Roman" w:cs="Times New Roman"/>
              </w:rPr>
              <w:t>MS, VLDB</w:t>
            </w:r>
          </w:p>
        </w:tc>
        <w:tc>
          <w:tcPr>
            <w:tcW w:w="0" w:type="auto"/>
            <w:tcMar>
              <w:top w:w="113" w:type="dxa"/>
              <w:left w:w="113" w:type="dxa"/>
              <w:bottom w:w="113" w:type="dxa"/>
              <w:right w:w="113" w:type="dxa"/>
            </w:tcMar>
            <w:hideMark/>
          </w:tcPr>
          <w:p w14:paraId="3082EFE3" w14:textId="0970C431" w:rsidR="00D27339" w:rsidRPr="009E1125" w:rsidRDefault="00D27339" w:rsidP="009E1125">
            <w:pPr>
              <w:spacing w:line="360" w:lineRule="auto"/>
              <w:jc w:val="center"/>
              <w:rPr>
                <w:rFonts w:ascii="Times New Roman" w:eastAsia="Times New Roman" w:hAnsi="Times New Roman" w:cs="Times New Roman"/>
              </w:rPr>
            </w:pPr>
            <w:r w:rsidRPr="009E1125">
              <w:rPr>
                <w:rFonts w:ascii="Times New Roman" w:eastAsia="Times New Roman" w:hAnsi="Times New Roman" w:cs="Times New Roman"/>
              </w:rPr>
              <w:t>-0.678</w:t>
            </w:r>
          </w:p>
        </w:tc>
        <w:tc>
          <w:tcPr>
            <w:tcW w:w="0" w:type="auto"/>
            <w:tcMar>
              <w:top w:w="113" w:type="dxa"/>
              <w:left w:w="113" w:type="dxa"/>
              <w:bottom w:w="113" w:type="dxa"/>
              <w:right w:w="113" w:type="dxa"/>
            </w:tcMar>
            <w:hideMark/>
          </w:tcPr>
          <w:p w14:paraId="2A3998BB" w14:textId="77777777" w:rsidR="00D27339" w:rsidRPr="009E1125" w:rsidRDefault="00D27339" w:rsidP="009E1125">
            <w:pPr>
              <w:spacing w:line="360" w:lineRule="auto"/>
              <w:jc w:val="center"/>
              <w:rPr>
                <w:rFonts w:ascii="Times New Roman" w:eastAsia="Times New Roman" w:hAnsi="Times New Roman" w:cs="Times New Roman"/>
              </w:rPr>
            </w:pPr>
            <w:r w:rsidRPr="009E1125">
              <w:rPr>
                <w:rFonts w:ascii="Times New Roman" w:eastAsia="Times New Roman" w:hAnsi="Times New Roman" w:cs="Times New Roman"/>
              </w:rPr>
              <w:t>0.459</w:t>
            </w:r>
          </w:p>
        </w:tc>
        <w:tc>
          <w:tcPr>
            <w:tcW w:w="0" w:type="auto"/>
            <w:tcMar>
              <w:top w:w="113" w:type="dxa"/>
              <w:left w:w="113" w:type="dxa"/>
              <w:bottom w:w="113" w:type="dxa"/>
              <w:right w:w="113" w:type="dxa"/>
            </w:tcMar>
            <w:hideMark/>
          </w:tcPr>
          <w:p w14:paraId="7EA4F96C" w14:textId="77777777" w:rsidR="00D27339" w:rsidRPr="009E1125" w:rsidRDefault="00D27339" w:rsidP="009E1125">
            <w:pPr>
              <w:spacing w:line="360" w:lineRule="auto"/>
              <w:jc w:val="center"/>
              <w:rPr>
                <w:rFonts w:ascii="Times New Roman" w:eastAsia="Times New Roman" w:hAnsi="Times New Roman" w:cs="Times New Roman"/>
              </w:rPr>
            </w:pPr>
            <w:r w:rsidRPr="009E1125">
              <w:rPr>
                <w:rFonts w:ascii="Times New Roman" w:eastAsia="Times New Roman" w:hAnsi="Times New Roman" w:cs="Times New Roman"/>
              </w:rPr>
              <w:t>14.435</w:t>
            </w:r>
          </w:p>
        </w:tc>
        <w:tc>
          <w:tcPr>
            <w:tcW w:w="0" w:type="auto"/>
            <w:tcMar>
              <w:top w:w="113" w:type="dxa"/>
              <w:left w:w="113" w:type="dxa"/>
              <w:bottom w:w="113" w:type="dxa"/>
              <w:right w:w="113" w:type="dxa"/>
            </w:tcMar>
            <w:hideMark/>
          </w:tcPr>
          <w:p w14:paraId="1A01ACFB" w14:textId="77777777" w:rsidR="00D27339" w:rsidRPr="009E1125" w:rsidRDefault="00D27339" w:rsidP="009E1125">
            <w:pPr>
              <w:spacing w:line="360" w:lineRule="auto"/>
              <w:jc w:val="center"/>
              <w:rPr>
                <w:rFonts w:ascii="Times New Roman" w:eastAsia="Times New Roman" w:hAnsi="Times New Roman" w:cs="Times New Roman"/>
              </w:rPr>
            </w:pPr>
            <w:r w:rsidRPr="009E1125">
              <w:rPr>
                <w:rFonts w:ascii="Times New Roman" w:eastAsia="Times New Roman" w:hAnsi="Times New Roman" w:cs="Times New Roman"/>
              </w:rPr>
              <w:t>0.001433</w:t>
            </w:r>
          </w:p>
        </w:tc>
      </w:tr>
      <w:tr w:rsidR="00D27339" w:rsidRPr="009E1125" w14:paraId="112D4C30" w14:textId="77777777" w:rsidTr="001B77C8">
        <w:tc>
          <w:tcPr>
            <w:tcW w:w="0" w:type="auto"/>
            <w:tcMar>
              <w:top w:w="113" w:type="dxa"/>
              <w:left w:w="113" w:type="dxa"/>
              <w:bottom w:w="113" w:type="dxa"/>
              <w:right w:w="113" w:type="dxa"/>
            </w:tcMar>
            <w:hideMark/>
          </w:tcPr>
          <w:p w14:paraId="72736037" w14:textId="77777777" w:rsidR="00D27339" w:rsidRPr="009E1125" w:rsidRDefault="00D27339" w:rsidP="009E1125">
            <w:pPr>
              <w:spacing w:line="360" w:lineRule="auto"/>
              <w:rPr>
                <w:rFonts w:ascii="Times New Roman" w:eastAsia="Times New Roman" w:hAnsi="Times New Roman" w:cs="Times New Roman"/>
              </w:rPr>
            </w:pPr>
            <w:r w:rsidRPr="009E1125">
              <w:rPr>
                <w:rFonts w:ascii="Times New Roman" w:eastAsia="Times New Roman" w:hAnsi="Times New Roman" w:cs="Times New Roman"/>
              </w:rPr>
              <w:lastRenderedPageBreak/>
              <w:t>Thalamus</w:t>
            </w:r>
          </w:p>
        </w:tc>
        <w:tc>
          <w:tcPr>
            <w:tcW w:w="0" w:type="auto"/>
          </w:tcPr>
          <w:p w14:paraId="6E27D2C8" w14:textId="6A3C3C34" w:rsidR="00D27339" w:rsidRPr="009E1125" w:rsidRDefault="00D27339" w:rsidP="009E1125">
            <w:pPr>
              <w:spacing w:line="360" w:lineRule="auto"/>
              <w:jc w:val="center"/>
              <w:rPr>
                <w:rFonts w:ascii="Times New Roman" w:eastAsia="Times New Roman" w:hAnsi="Times New Roman" w:cs="Times New Roman"/>
              </w:rPr>
            </w:pPr>
            <w:r w:rsidRPr="009E1125">
              <w:rPr>
                <w:rFonts w:ascii="Times New Roman" w:eastAsia="Times New Roman" w:hAnsi="Times New Roman" w:cs="Times New Roman"/>
              </w:rPr>
              <w:t>PPN</w:t>
            </w:r>
          </w:p>
        </w:tc>
        <w:tc>
          <w:tcPr>
            <w:tcW w:w="0" w:type="auto"/>
            <w:tcMar>
              <w:top w:w="113" w:type="dxa"/>
              <w:left w:w="113" w:type="dxa"/>
              <w:bottom w:w="113" w:type="dxa"/>
              <w:right w:w="113" w:type="dxa"/>
            </w:tcMar>
            <w:hideMark/>
          </w:tcPr>
          <w:p w14:paraId="4F3F12CB" w14:textId="53B1FC45" w:rsidR="00D27339" w:rsidRPr="009E1125" w:rsidRDefault="00D27339" w:rsidP="009E1125">
            <w:pPr>
              <w:spacing w:line="360" w:lineRule="auto"/>
              <w:jc w:val="center"/>
              <w:rPr>
                <w:rFonts w:ascii="Times New Roman" w:eastAsia="Times New Roman" w:hAnsi="Times New Roman" w:cs="Times New Roman"/>
              </w:rPr>
            </w:pPr>
            <w:r w:rsidRPr="009E1125">
              <w:rPr>
                <w:rFonts w:ascii="Times New Roman" w:eastAsia="Times New Roman" w:hAnsi="Times New Roman" w:cs="Times New Roman"/>
              </w:rPr>
              <w:t>-0.672</w:t>
            </w:r>
          </w:p>
        </w:tc>
        <w:tc>
          <w:tcPr>
            <w:tcW w:w="0" w:type="auto"/>
            <w:tcMar>
              <w:top w:w="113" w:type="dxa"/>
              <w:left w:w="113" w:type="dxa"/>
              <w:bottom w:w="113" w:type="dxa"/>
              <w:right w:w="113" w:type="dxa"/>
            </w:tcMar>
            <w:hideMark/>
          </w:tcPr>
          <w:p w14:paraId="41C0D67B" w14:textId="77777777" w:rsidR="00D27339" w:rsidRPr="009E1125" w:rsidRDefault="00D27339" w:rsidP="009E1125">
            <w:pPr>
              <w:spacing w:line="360" w:lineRule="auto"/>
              <w:jc w:val="center"/>
              <w:rPr>
                <w:rFonts w:ascii="Times New Roman" w:eastAsia="Times New Roman" w:hAnsi="Times New Roman" w:cs="Times New Roman"/>
              </w:rPr>
            </w:pPr>
            <w:r w:rsidRPr="009E1125">
              <w:rPr>
                <w:rFonts w:ascii="Times New Roman" w:eastAsia="Times New Roman" w:hAnsi="Times New Roman" w:cs="Times New Roman"/>
              </w:rPr>
              <w:t>0.451</w:t>
            </w:r>
          </w:p>
        </w:tc>
        <w:tc>
          <w:tcPr>
            <w:tcW w:w="0" w:type="auto"/>
            <w:tcMar>
              <w:top w:w="113" w:type="dxa"/>
              <w:left w:w="113" w:type="dxa"/>
              <w:bottom w:w="113" w:type="dxa"/>
              <w:right w:w="113" w:type="dxa"/>
            </w:tcMar>
            <w:hideMark/>
          </w:tcPr>
          <w:p w14:paraId="1DF0F345" w14:textId="77777777" w:rsidR="00D27339" w:rsidRPr="009E1125" w:rsidRDefault="00D27339" w:rsidP="009E1125">
            <w:pPr>
              <w:spacing w:line="360" w:lineRule="auto"/>
              <w:jc w:val="center"/>
              <w:rPr>
                <w:rFonts w:ascii="Times New Roman" w:eastAsia="Times New Roman" w:hAnsi="Times New Roman" w:cs="Times New Roman"/>
              </w:rPr>
            </w:pPr>
            <w:r w:rsidRPr="009E1125">
              <w:rPr>
                <w:rFonts w:ascii="Times New Roman" w:eastAsia="Times New Roman" w:hAnsi="Times New Roman" w:cs="Times New Roman"/>
              </w:rPr>
              <w:t>13.964</w:t>
            </w:r>
          </w:p>
        </w:tc>
        <w:tc>
          <w:tcPr>
            <w:tcW w:w="0" w:type="auto"/>
            <w:tcMar>
              <w:top w:w="113" w:type="dxa"/>
              <w:left w:w="113" w:type="dxa"/>
              <w:bottom w:w="113" w:type="dxa"/>
              <w:right w:w="113" w:type="dxa"/>
            </w:tcMar>
            <w:hideMark/>
          </w:tcPr>
          <w:p w14:paraId="3FB15597" w14:textId="77777777" w:rsidR="00D27339" w:rsidRPr="009E1125" w:rsidRDefault="00D27339" w:rsidP="009E1125">
            <w:pPr>
              <w:spacing w:line="360" w:lineRule="auto"/>
              <w:jc w:val="center"/>
              <w:rPr>
                <w:rFonts w:ascii="Times New Roman" w:eastAsia="Times New Roman" w:hAnsi="Times New Roman" w:cs="Times New Roman"/>
              </w:rPr>
            </w:pPr>
            <w:r w:rsidRPr="009E1125">
              <w:rPr>
                <w:rFonts w:ascii="Times New Roman" w:eastAsia="Times New Roman" w:hAnsi="Times New Roman" w:cs="Times New Roman"/>
              </w:rPr>
              <w:t>0.001641</w:t>
            </w:r>
          </w:p>
        </w:tc>
      </w:tr>
      <w:tr w:rsidR="00D27339" w:rsidRPr="009E1125" w14:paraId="29743CA8" w14:textId="77777777" w:rsidTr="001B77C8">
        <w:tc>
          <w:tcPr>
            <w:tcW w:w="0" w:type="auto"/>
            <w:tcBorders>
              <w:bottom w:val="double" w:sz="6" w:space="0" w:color="auto"/>
            </w:tcBorders>
            <w:tcMar>
              <w:top w:w="113" w:type="dxa"/>
              <w:left w:w="113" w:type="dxa"/>
              <w:bottom w:w="113" w:type="dxa"/>
              <w:right w:w="113" w:type="dxa"/>
            </w:tcMar>
            <w:hideMark/>
          </w:tcPr>
          <w:p w14:paraId="11D0881C" w14:textId="77777777" w:rsidR="00D27339" w:rsidRPr="009E1125" w:rsidRDefault="00D27339" w:rsidP="009E1125">
            <w:pPr>
              <w:spacing w:line="360" w:lineRule="auto"/>
              <w:rPr>
                <w:rFonts w:ascii="Times New Roman" w:eastAsia="Times New Roman" w:hAnsi="Times New Roman" w:cs="Times New Roman"/>
              </w:rPr>
            </w:pPr>
            <w:r w:rsidRPr="009E1125">
              <w:rPr>
                <w:rFonts w:ascii="Times New Roman" w:eastAsia="Times New Roman" w:hAnsi="Times New Roman" w:cs="Times New Roman"/>
              </w:rPr>
              <w:t>Caudate</w:t>
            </w:r>
          </w:p>
        </w:tc>
        <w:tc>
          <w:tcPr>
            <w:tcW w:w="0" w:type="auto"/>
            <w:tcBorders>
              <w:bottom w:val="double" w:sz="6" w:space="0" w:color="auto"/>
            </w:tcBorders>
          </w:tcPr>
          <w:p w14:paraId="6AE7EF40" w14:textId="2128A887" w:rsidR="00D27339" w:rsidRPr="009E1125" w:rsidRDefault="00D27339" w:rsidP="009E1125">
            <w:pPr>
              <w:spacing w:line="360" w:lineRule="auto"/>
              <w:jc w:val="center"/>
              <w:rPr>
                <w:rFonts w:ascii="Times New Roman" w:eastAsia="Times New Roman" w:hAnsi="Times New Roman" w:cs="Times New Roman"/>
              </w:rPr>
            </w:pPr>
            <w:r w:rsidRPr="009E1125">
              <w:rPr>
                <w:rFonts w:ascii="Times New Roman" w:eastAsia="Times New Roman" w:hAnsi="Times New Roman" w:cs="Times New Roman"/>
              </w:rPr>
              <w:t>SChI</w:t>
            </w:r>
          </w:p>
        </w:tc>
        <w:tc>
          <w:tcPr>
            <w:tcW w:w="0" w:type="auto"/>
            <w:tcBorders>
              <w:bottom w:val="double" w:sz="6" w:space="0" w:color="auto"/>
            </w:tcBorders>
            <w:tcMar>
              <w:top w:w="113" w:type="dxa"/>
              <w:left w:w="113" w:type="dxa"/>
              <w:bottom w:w="113" w:type="dxa"/>
              <w:right w:w="113" w:type="dxa"/>
            </w:tcMar>
            <w:hideMark/>
          </w:tcPr>
          <w:p w14:paraId="08025645" w14:textId="08CE3C32" w:rsidR="00D27339" w:rsidRPr="009E1125" w:rsidRDefault="00D27339" w:rsidP="009E1125">
            <w:pPr>
              <w:spacing w:line="360" w:lineRule="auto"/>
              <w:jc w:val="center"/>
              <w:rPr>
                <w:rFonts w:ascii="Times New Roman" w:eastAsia="Times New Roman" w:hAnsi="Times New Roman" w:cs="Times New Roman"/>
              </w:rPr>
            </w:pPr>
            <w:r w:rsidRPr="009E1125">
              <w:rPr>
                <w:rFonts w:ascii="Times New Roman" w:eastAsia="Times New Roman" w:hAnsi="Times New Roman" w:cs="Times New Roman"/>
              </w:rPr>
              <w:t>-0.584</w:t>
            </w:r>
          </w:p>
        </w:tc>
        <w:tc>
          <w:tcPr>
            <w:tcW w:w="0" w:type="auto"/>
            <w:tcBorders>
              <w:bottom w:val="double" w:sz="6" w:space="0" w:color="auto"/>
            </w:tcBorders>
            <w:tcMar>
              <w:top w:w="113" w:type="dxa"/>
              <w:left w:w="113" w:type="dxa"/>
              <w:bottom w:w="113" w:type="dxa"/>
              <w:right w:w="113" w:type="dxa"/>
            </w:tcMar>
            <w:hideMark/>
          </w:tcPr>
          <w:p w14:paraId="5CB43C1A" w14:textId="77777777" w:rsidR="00D27339" w:rsidRPr="009E1125" w:rsidRDefault="00D27339" w:rsidP="009E1125">
            <w:pPr>
              <w:spacing w:line="360" w:lineRule="auto"/>
              <w:jc w:val="center"/>
              <w:rPr>
                <w:rFonts w:ascii="Times New Roman" w:eastAsia="Times New Roman" w:hAnsi="Times New Roman" w:cs="Times New Roman"/>
              </w:rPr>
            </w:pPr>
            <w:r w:rsidRPr="009E1125">
              <w:rPr>
                <w:rFonts w:ascii="Times New Roman" w:eastAsia="Times New Roman" w:hAnsi="Times New Roman" w:cs="Times New Roman"/>
              </w:rPr>
              <w:t>0.341</w:t>
            </w:r>
          </w:p>
        </w:tc>
        <w:tc>
          <w:tcPr>
            <w:tcW w:w="0" w:type="auto"/>
            <w:tcBorders>
              <w:bottom w:val="double" w:sz="6" w:space="0" w:color="auto"/>
            </w:tcBorders>
            <w:tcMar>
              <w:top w:w="113" w:type="dxa"/>
              <w:left w:w="113" w:type="dxa"/>
              <w:bottom w:w="113" w:type="dxa"/>
              <w:right w:w="113" w:type="dxa"/>
            </w:tcMar>
            <w:hideMark/>
          </w:tcPr>
          <w:p w14:paraId="0972A3A4" w14:textId="77777777" w:rsidR="00D27339" w:rsidRPr="009E1125" w:rsidRDefault="00D27339" w:rsidP="009E1125">
            <w:pPr>
              <w:spacing w:line="360" w:lineRule="auto"/>
              <w:jc w:val="center"/>
              <w:rPr>
                <w:rFonts w:ascii="Times New Roman" w:eastAsia="Times New Roman" w:hAnsi="Times New Roman" w:cs="Times New Roman"/>
              </w:rPr>
            </w:pPr>
            <w:r w:rsidRPr="009E1125">
              <w:rPr>
                <w:rFonts w:ascii="Times New Roman" w:eastAsia="Times New Roman" w:hAnsi="Times New Roman" w:cs="Times New Roman"/>
              </w:rPr>
              <w:t>8.807</w:t>
            </w:r>
          </w:p>
        </w:tc>
        <w:tc>
          <w:tcPr>
            <w:tcW w:w="0" w:type="auto"/>
            <w:tcBorders>
              <w:bottom w:val="double" w:sz="6" w:space="0" w:color="auto"/>
            </w:tcBorders>
            <w:tcMar>
              <w:top w:w="113" w:type="dxa"/>
              <w:left w:w="113" w:type="dxa"/>
              <w:bottom w:w="113" w:type="dxa"/>
              <w:right w:w="113" w:type="dxa"/>
            </w:tcMar>
            <w:hideMark/>
          </w:tcPr>
          <w:p w14:paraId="0DFC772A" w14:textId="77777777" w:rsidR="00D27339" w:rsidRPr="009E1125" w:rsidRDefault="00D27339" w:rsidP="009E1125">
            <w:pPr>
              <w:spacing w:line="360" w:lineRule="auto"/>
              <w:jc w:val="center"/>
              <w:rPr>
                <w:rFonts w:ascii="Times New Roman" w:eastAsia="Times New Roman" w:hAnsi="Times New Roman" w:cs="Times New Roman"/>
              </w:rPr>
            </w:pPr>
            <w:r w:rsidRPr="009E1125">
              <w:rPr>
                <w:rFonts w:ascii="Times New Roman" w:eastAsia="Times New Roman" w:hAnsi="Times New Roman" w:cs="Times New Roman"/>
              </w:rPr>
              <w:t>0.008629</w:t>
            </w:r>
          </w:p>
        </w:tc>
      </w:tr>
    </w:tbl>
    <w:p w14:paraId="6B47CDEC" w14:textId="77777777" w:rsidR="00EF26B8" w:rsidRDefault="00EF26B8" w:rsidP="009E1125">
      <w:pPr>
        <w:spacing w:line="360" w:lineRule="auto"/>
        <w:rPr>
          <w:rFonts w:ascii="Times New Roman" w:eastAsia="Times New Roman" w:hAnsi="Times New Roman" w:cs="Times New Roman"/>
        </w:rPr>
      </w:pPr>
    </w:p>
    <w:p w14:paraId="36F7CF83" w14:textId="77777777" w:rsidR="00860754" w:rsidRDefault="00860754" w:rsidP="00860754">
      <w:pPr>
        <w:spacing w:line="360" w:lineRule="auto"/>
        <w:rPr>
          <w:rFonts w:ascii="Times New Roman" w:hAnsi="Times New Roman" w:cs="Times New Roman"/>
          <w:u w:val="single"/>
        </w:rPr>
      </w:pPr>
    </w:p>
    <w:p w14:paraId="635AD102" w14:textId="710DA686" w:rsidR="00860754" w:rsidRPr="009F20B1" w:rsidRDefault="00860754" w:rsidP="00860754">
      <w:pPr>
        <w:spacing w:line="360" w:lineRule="auto"/>
        <w:rPr>
          <w:rFonts w:ascii="Times New Roman" w:hAnsi="Times New Roman" w:cs="Times New Roman"/>
          <w:u w:val="single"/>
        </w:rPr>
      </w:pPr>
      <w:r w:rsidRPr="009F20B1">
        <w:rPr>
          <w:rFonts w:ascii="Times New Roman" w:hAnsi="Times New Roman" w:cs="Times New Roman"/>
          <w:u w:val="single"/>
        </w:rPr>
        <w:t xml:space="preserve">Section </w:t>
      </w:r>
      <w:r w:rsidR="00A3198D">
        <w:rPr>
          <w:rFonts w:ascii="Times New Roman" w:hAnsi="Times New Roman" w:cs="Times New Roman"/>
          <w:u w:val="single"/>
        </w:rPr>
        <w:t>4</w:t>
      </w:r>
      <w:r w:rsidRPr="009F20B1">
        <w:rPr>
          <w:rFonts w:ascii="Times New Roman" w:hAnsi="Times New Roman" w:cs="Times New Roman"/>
          <w:u w:val="single"/>
        </w:rPr>
        <w:t>. Reference region validation analysis</w:t>
      </w:r>
    </w:p>
    <w:p w14:paraId="3549980C" w14:textId="2371DE34" w:rsidR="00860754" w:rsidRPr="009F20B1" w:rsidRDefault="00860754" w:rsidP="009E1125">
      <w:pPr>
        <w:spacing w:line="360" w:lineRule="auto"/>
        <w:rPr>
          <w:rFonts w:ascii="Times New Roman" w:eastAsia="Times New Roman" w:hAnsi="Times New Roman" w:cs="Times New Roman"/>
        </w:rPr>
      </w:pPr>
      <w:r w:rsidRPr="009F20B1">
        <w:rPr>
          <w:rFonts w:ascii="Times New Roman" w:eastAsia="Times New Roman" w:hAnsi="Times New Roman" w:cs="Times New Roman"/>
        </w:rPr>
        <w:tab/>
        <w:t xml:space="preserve">A supplementary analysis was performed, examining whether reference region standardized uptake value (SUV) associated significantly with any variables of interest, such as age, PIGD score, or site (University of Michigan vs. Groningen) to identify whether these variables might have introduced a quantification bias to our primary analyses. The procedure for calculating SUV values in a manner that makes them comparable across site is presented in our prior article involving a combined dataset from University of Michigan and Groningen </w:t>
      </w:r>
      <w:r w:rsidRPr="009F20B1">
        <w:rPr>
          <w:rFonts w:ascii="Times New Roman" w:eastAsia="Times New Roman" w:hAnsi="Times New Roman" w:cs="Times New Roman"/>
        </w:rPr>
        <w:fldChar w:fldCharType="begin" w:fldLock="1"/>
      </w:r>
      <w:r w:rsidRPr="009F20B1">
        <w:rPr>
          <w:rFonts w:ascii="Times New Roman" w:eastAsia="Times New Roman" w:hAnsi="Times New Roman" w:cs="Times New Roman"/>
        </w:rPr>
        <w:instrText>ADDIN paperpile_citation &lt;clusterId&gt;C898J956F446D139&lt;/clusterId&gt;&lt;metadata&gt;&lt;citation&gt;&lt;id&gt;95dbcbc8-6f9a-49aa-a864-fde4ae6eea21&lt;/id&gt;&lt;/citation&gt;&lt;/metadata&gt;&lt;data&gt;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&lt;/data&gt; \* MERGEFORMAT</w:instrText>
      </w:r>
      <w:r w:rsidRPr="009F20B1">
        <w:rPr>
          <w:rFonts w:ascii="Times New Roman" w:eastAsia="Times New Roman" w:hAnsi="Times New Roman" w:cs="Times New Roman"/>
        </w:rPr>
        <w:fldChar w:fldCharType="separate"/>
      </w:r>
      <w:r w:rsidRPr="009F20B1">
        <w:rPr>
          <w:rFonts w:ascii="Times New Roman" w:eastAsia="Times New Roman" w:hAnsi="Times New Roman" w:cs="Times New Roman"/>
          <w:noProof/>
        </w:rPr>
        <w:t>(Bohnen et al. 2025)</w:t>
      </w:r>
      <w:r w:rsidRPr="009F20B1">
        <w:rPr>
          <w:rFonts w:ascii="Times New Roman" w:eastAsia="Times New Roman" w:hAnsi="Times New Roman" w:cs="Times New Roman"/>
        </w:rPr>
        <w:fldChar w:fldCharType="end"/>
      </w:r>
      <w:r w:rsidRPr="009F20B1">
        <w:rPr>
          <w:rFonts w:ascii="Times New Roman" w:eastAsia="Times New Roman" w:hAnsi="Times New Roman" w:cs="Times New Roman"/>
        </w:rPr>
        <w:t>.</w:t>
      </w:r>
      <w:r w:rsidR="00E558CD" w:rsidRPr="009F20B1">
        <w:rPr>
          <w:rFonts w:ascii="Times New Roman" w:eastAsia="Times New Roman" w:hAnsi="Times New Roman" w:cs="Times New Roman"/>
        </w:rPr>
        <w:t xml:space="preserve"> Regression coefficients of the resulting multivariate model are presented below:</w:t>
      </w:r>
    </w:p>
    <w:tbl>
      <w:tblPr>
        <w:tblW w:w="0" w:type="auto"/>
        <w:tblCellMar>
          <w:top w:w="15" w:type="dxa"/>
          <w:left w:w="15" w:type="dxa"/>
          <w:bottom w:w="15" w:type="dxa"/>
          <w:right w:w="15" w:type="dxa"/>
        </w:tblCellMar>
        <w:tblLook w:val="04A0" w:firstRow="1" w:lastRow="0" w:firstColumn="1" w:lastColumn="0" w:noHBand="0" w:noVBand="1"/>
      </w:tblPr>
      <w:tblGrid>
        <w:gridCol w:w="1801"/>
        <w:gridCol w:w="1057"/>
        <w:gridCol w:w="1679"/>
        <w:gridCol w:w="808"/>
      </w:tblGrid>
      <w:tr w:rsidR="00E558CD" w:rsidRPr="009F20B1" w14:paraId="7FE4B935" w14:textId="77777777" w:rsidTr="00922460">
        <w:tc>
          <w:tcPr>
            <w:tcW w:w="0" w:type="auto"/>
            <w:tcBorders>
              <w:top w:val="double" w:sz="6" w:space="0" w:color="auto"/>
            </w:tcBorders>
            <w:tcMar>
              <w:top w:w="113" w:type="dxa"/>
              <w:left w:w="113" w:type="dxa"/>
              <w:bottom w:w="113" w:type="dxa"/>
              <w:right w:w="113" w:type="dxa"/>
            </w:tcMar>
            <w:vAlign w:val="center"/>
            <w:hideMark/>
          </w:tcPr>
          <w:p w14:paraId="1FB1D00E" w14:textId="77777777" w:rsidR="00E558CD" w:rsidRPr="009F20B1" w:rsidRDefault="00E558CD" w:rsidP="00922460">
            <w:pPr>
              <w:rPr>
                <w:rFonts w:eastAsia="Times New Roman"/>
                <w:b/>
                <w:bCs/>
                <w:kern w:val="0"/>
                <w14:ligatures w14:val="none"/>
              </w:rPr>
            </w:pPr>
            <w:r w:rsidRPr="009F20B1">
              <w:rPr>
                <w:rFonts w:eastAsia="Times New Roman"/>
                <w:b/>
                <w:bCs/>
              </w:rPr>
              <w:t> </w:t>
            </w:r>
          </w:p>
        </w:tc>
        <w:tc>
          <w:tcPr>
            <w:tcW w:w="0" w:type="auto"/>
            <w:gridSpan w:val="3"/>
            <w:tcBorders>
              <w:top w:val="double" w:sz="6" w:space="0" w:color="auto"/>
            </w:tcBorders>
            <w:tcMar>
              <w:top w:w="113" w:type="dxa"/>
              <w:left w:w="113" w:type="dxa"/>
              <w:bottom w:w="113" w:type="dxa"/>
              <w:right w:w="113" w:type="dxa"/>
            </w:tcMar>
            <w:vAlign w:val="center"/>
            <w:hideMark/>
          </w:tcPr>
          <w:p w14:paraId="03877D76" w14:textId="628B00FF" w:rsidR="00E558CD" w:rsidRPr="009F20B1" w:rsidRDefault="00E558CD" w:rsidP="00922460">
            <w:pPr>
              <w:jc w:val="center"/>
              <w:rPr>
                <w:rFonts w:eastAsia="Times New Roman"/>
                <w:b/>
                <w:bCs/>
              </w:rPr>
            </w:pPr>
            <w:r w:rsidRPr="009F20B1">
              <w:rPr>
                <w:rFonts w:eastAsia="Times New Roman"/>
                <w:b/>
                <w:bCs/>
              </w:rPr>
              <w:t>SUV</w:t>
            </w:r>
          </w:p>
        </w:tc>
      </w:tr>
      <w:tr w:rsidR="00E558CD" w:rsidRPr="009F20B1" w14:paraId="66A5961D" w14:textId="77777777" w:rsidTr="00922460">
        <w:tc>
          <w:tcPr>
            <w:tcW w:w="0" w:type="auto"/>
            <w:tcBorders>
              <w:bottom w:val="single" w:sz="6" w:space="0" w:color="auto"/>
            </w:tcBorders>
            <w:vAlign w:val="center"/>
            <w:hideMark/>
          </w:tcPr>
          <w:p w14:paraId="04A21FF1" w14:textId="77777777" w:rsidR="00E558CD" w:rsidRPr="009F20B1" w:rsidRDefault="00E558CD" w:rsidP="00922460">
            <w:pPr>
              <w:rPr>
                <w:rFonts w:eastAsia="Times New Roman"/>
                <w:i/>
                <w:iCs/>
              </w:rPr>
            </w:pPr>
            <w:r w:rsidRPr="009F20B1">
              <w:rPr>
                <w:rFonts w:eastAsia="Times New Roman"/>
                <w:i/>
                <w:iCs/>
              </w:rPr>
              <w:t>Predictors</w:t>
            </w:r>
          </w:p>
        </w:tc>
        <w:tc>
          <w:tcPr>
            <w:tcW w:w="0" w:type="auto"/>
            <w:tcBorders>
              <w:bottom w:val="single" w:sz="6" w:space="0" w:color="auto"/>
            </w:tcBorders>
            <w:vAlign w:val="center"/>
            <w:hideMark/>
          </w:tcPr>
          <w:p w14:paraId="5AB0136D" w14:textId="77777777" w:rsidR="00E558CD" w:rsidRPr="009F20B1" w:rsidRDefault="00E558CD" w:rsidP="00922460">
            <w:pPr>
              <w:jc w:val="center"/>
              <w:rPr>
                <w:rFonts w:eastAsia="Times New Roman"/>
                <w:i/>
                <w:iCs/>
              </w:rPr>
            </w:pPr>
            <w:r w:rsidRPr="009F20B1">
              <w:rPr>
                <w:rFonts w:eastAsia="Times New Roman"/>
                <w:i/>
                <w:iCs/>
              </w:rPr>
              <w:t>Estimates</w:t>
            </w:r>
          </w:p>
        </w:tc>
        <w:tc>
          <w:tcPr>
            <w:tcW w:w="0" w:type="auto"/>
            <w:tcBorders>
              <w:bottom w:val="single" w:sz="6" w:space="0" w:color="auto"/>
            </w:tcBorders>
            <w:vAlign w:val="center"/>
            <w:hideMark/>
          </w:tcPr>
          <w:p w14:paraId="2FE62340" w14:textId="77777777" w:rsidR="00E558CD" w:rsidRPr="009F20B1" w:rsidRDefault="00E558CD" w:rsidP="00922460">
            <w:pPr>
              <w:jc w:val="center"/>
              <w:rPr>
                <w:rFonts w:eastAsia="Times New Roman"/>
                <w:i/>
                <w:iCs/>
              </w:rPr>
            </w:pPr>
            <w:r w:rsidRPr="009F20B1">
              <w:rPr>
                <w:rFonts w:eastAsia="Times New Roman"/>
                <w:i/>
                <w:iCs/>
              </w:rPr>
              <w:t>CI</w:t>
            </w:r>
          </w:p>
        </w:tc>
        <w:tc>
          <w:tcPr>
            <w:tcW w:w="0" w:type="auto"/>
            <w:tcBorders>
              <w:bottom w:val="single" w:sz="6" w:space="0" w:color="auto"/>
            </w:tcBorders>
            <w:vAlign w:val="center"/>
            <w:hideMark/>
          </w:tcPr>
          <w:p w14:paraId="2AE3223F" w14:textId="77777777" w:rsidR="00E558CD" w:rsidRPr="009F20B1" w:rsidRDefault="00E558CD" w:rsidP="00922460">
            <w:pPr>
              <w:jc w:val="center"/>
              <w:rPr>
                <w:rFonts w:eastAsia="Times New Roman"/>
                <w:i/>
                <w:iCs/>
              </w:rPr>
            </w:pPr>
            <w:r w:rsidRPr="009F20B1">
              <w:rPr>
                <w:rFonts w:eastAsia="Times New Roman"/>
                <w:i/>
                <w:iCs/>
              </w:rPr>
              <w:t>p</w:t>
            </w:r>
          </w:p>
        </w:tc>
      </w:tr>
      <w:tr w:rsidR="00E558CD" w:rsidRPr="009F20B1" w14:paraId="70C1EA39" w14:textId="77777777" w:rsidTr="00922460">
        <w:tc>
          <w:tcPr>
            <w:tcW w:w="0" w:type="auto"/>
            <w:tcMar>
              <w:top w:w="113" w:type="dxa"/>
              <w:left w:w="113" w:type="dxa"/>
              <w:bottom w:w="113" w:type="dxa"/>
              <w:right w:w="113" w:type="dxa"/>
            </w:tcMar>
            <w:hideMark/>
          </w:tcPr>
          <w:p w14:paraId="797CBE75" w14:textId="77777777" w:rsidR="00E558CD" w:rsidRPr="009F20B1" w:rsidRDefault="00E558CD" w:rsidP="00922460">
            <w:pPr>
              <w:rPr>
                <w:rFonts w:eastAsia="Times New Roman"/>
              </w:rPr>
            </w:pPr>
            <w:r w:rsidRPr="009F20B1">
              <w:rPr>
                <w:rFonts w:eastAsia="Times New Roman"/>
              </w:rPr>
              <w:t>(Intercept)</w:t>
            </w:r>
          </w:p>
        </w:tc>
        <w:tc>
          <w:tcPr>
            <w:tcW w:w="0" w:type="auto"/>
            <w:tcMar>
              <w:top w:w="113" w:type="dxa"/>
              <w:left w:w="113" w:type="dxa"/>
              <w:bottom w:w="113" w:type="dxa"/>
              <w:right w:w="113" w:type="dxa"/>
            </w:tcMar>
            <w:hideMark/>
          </w:tcPr>
          <w:p w14:paraId="41A38C3C" w14:textId="77777777" w:rsidR="00E558CD" w:rsidRPr="009F20B1" w:rsidRDefault="00E558CD" w:rsidP="00922460">
            <w:pPr>
              <w:jc w:val="center"/>
              <w:rPr>
                <w:rFonts w:eastAsia="Times New Roman"/>
              </w:rPr>
            </w:pPr>
            <w:r w:rsidRPr="009F20B1">
              <w:rPr>
                <w:rFonts w:eastAsia="Times New Roman"/>
              </w:rPr>
              <w:t>0.897</w:t>
            </w:r>
          </w:p>
        </w:tc>
        <w:tc>
          <w:tcPr>
            <w:tcW w:w="0" w:type="auto"/>
            <w:tcMar>
              <w:top w:w="113" w:type="dxa"/>
              <w:left w:w="113" w:type="dxa"/>
              <w:bottom w:w="113" w:type="dxa"/>
              <w:right w:w="113" w:type="dxa"/>
            </w:tcMar>
            <w:hideMark/>
          </w:tcPr>
          <w:p w14:paraId="3A47ABD8" w14:textId="77777777" w:rsidR="00E558CD" w:rsidRPr="009F20B1" w:rsidRDefault="00E558CD" w:rsidP="00922460">
            <w:pPr>
              <w:jc w:val="center"/>
              <w:rPr>
                <w:rFonts w:eastAsia="Times New Roman"/>
              </w:rPr>
            </w:pPr>
            <w:r w:rsidRPr="009F20B1">
              <w:rPr>
                <w:rFonts w:eastAsia="Times New Roman"/>
              </w:rPr>
              <w:t>-0.846 – 2.639</w:t>
            </w:r>
          </w:p>
        </w:tc>
        <w:tc>
          <w:tcPr>
            <w:tcW w:w="0" w:type="auto"/>
            <w:tcMar>
              <w:top w:w="113" w:type="dxa"/>
              <w:left w:w="113" w:type="dxa"/>
              <w:bottom w:w="113" w:type="dxa"/>
              <w:right w:w="113" w:type="dxa"/>
            </w:tcMar>
            <w:hideMark/>
          </w:tcPr>
          <w:p w14:paraId="6A985356" w14:textId="77777777" w:rsidR="00E558CD" w:rsidRPr="009F20B1" w:rsidRDefault="00E558CD" w:rsidP="00922460">
            <w:pPr>
              <w:jc w:val="center"/>
              <w:rPr>
                <w:rFonts w:eastAsia="Times New Roman"/>
              </w:rPr>
            </w:pPr>
            <w:r w:rsidRPr="009F20B1">
              <w:rPr>
                <w:rFonts w:eastAsia="Times New Roman"/>
              </w:rPr>
              <w:t>0.290</w:t>
            </w:r>
          </w:p>
        </w:tc>
      </w:tr>
      <w:tr w:rsidR="00E558CD" w:rsidRPr="009F20B1" w14:paraId="3062F6C7" w14:textId="77777777" w:rsidTr="00922460">
        <w:tc>
          <w:tcPr>
            <w:tcW w:w="0" w:type="auto"/>
            <w:tcMar>
              <w:top w:w="113" w:type="dxa"/>
              <w:left w:w="113" w:type="dxa"/>
              <w:bottom w:w="113" w:type="dxa"/>
              <w:right w:w="113" w:type="dxa"/>
            </w:tcMar>
            <w:hideMark/>
          </w:tcPr>
          <w:p w14:paraId="5A4380B2" w14:textId="04FFB24D" w:rsidR="00E558CD" w:rsidRPr="009F20B1" w:rsidRDefault="00E558CD" w:rsidP="00922460">
            <w:pPr>
              <w:rPr>
                <w:rFonts w:eastAsia="Times New Roman"/>
              </w:rPr>
            </w:pPr>
            <w:r w:rsidRPr="009F20B1">
              <w:rPr>
                <w:rFonts w:eastAsia="Times New Roman"/>
              </w:rPr>
              <w:t>Age (years)</w:t>
            </w:r>
          </w:p>
        </w:tc>
        <w:tc>
          <w:tcPr>
            <w:tcW w:w="0" w:type="auto"/>
            <w:tcMar>
              <w:top w:w="113" w:type="dxa"/>
              <w:left w:w="113" w:type="dxa"/>
              <w:bottom w:w="113" w:type="dxa"/>
              <w:right w:w="113" w:type="dxa"/>
            </w:tcMar>
            <w:hideMark/>
          </w:tcPr>
          <w:p w14:paraId="6AAD0D65" w14:textId="77777777" w:rsidR="00E558CD" w:rsidRPr="009F20B1" w:rsidRDefault="00E558CD" w:rsidP="00922460">
            <w:pPr>
              <w:jc w:val="center"/>
              <w:rPr>
                <w:rFonts w:eastAsia="Times New Roman"/>
              </w:rPr>
            </w:pPr>
            <w:r w:rsidRPr="009F20B1">
              <w:rPr>
                <w:rFonts w:eastAsia="Times New Roman"/>
              </w:rPr>
              <w:t>0.418</w:t>
            </w:r>
          </w:p>
        </w:tc>
        <w:tc>
          <w:tcPr>
            <w:tcW w:w="0" w:type="auto"/>
            <w:tcMar>
              <w:top w:w="113" w:type="dxa"/>
              <w:left w:w="113" w:type="dxa"/>
              <w:bottom w:w="113" w:type="dxa"/>
              <w:right w:w="113" w:type="dxa"/>
            </w:tcMar>
            <w:hideMark/>
          </w:tcPr>
          <w:p w14:paraId="0BE7C8A4" w14:textId="77777777" w:rsidR="00E558CD" w:rsidRPr="009F20B1" w:rsidRDefault="00E558CD" w:rsidP="00922460">
            <w:pPr>
              <w:jc w:val="center"/>
              <w:rPr>
                <w:rFonts w:eastAsia="Times New Roman"/>
              </w:rPr>
            </w:pPr>
            <w:r w:rsidRPr="009F20B1">
              <w:rPr>
                <w:rFonts w:eastAsia="Times New Roman"/>
              </w:rPr>
              <w:t>-0.291 – 1.128</w:t>
            </w:r>
          </w:p>
        </w:tc>
        <w:tc>
          <w:tcPr>
            <w:tcW w:w="0" w:type="auto"/>
            <w:tcMar>
              <w:top w:w="113" w:type="dxa"/>
              <w:left w:w="113" w:type="dxa"/>
              <w:bottom w:w="113" w:type="dxa"/>
              <w:right w:w="113" w:type="dxa"/>
            </w:tcMar>
            <w:hideMark/>
          </w:tcPr>
          <w:p w14:paraId="5608F319" w14:textId="77777777" w:rsidR="00E558CD" w:rsidRPr="009F20B1" w:rsidRDefault="00E558CD" w:rsidP="00922460">
            <w:pPr>
              <w:jc w:val="center"/>
              <w:rPr>
                <w:rFonts w:eastAsia="Times New Roman"/>
              </w:rPr>
            </w:pPr>
            <w:r w:rsidRPr="009F20B1">
              <w:rPr>
                <w:rFonts w:eastAsia="Times New Roman"/>
              </w:rPr>
              <w:t>0.228</w:t>
            </w:r>
          </w:p>
        </w:tc>
      </w:tr>
      <w:tr w:rsidR="00E558CD" w:rsidRPr="009F20B1" w14:paraId="259448F5" w14:textId="77777777" w:rsidTr="00922460">
        <w:tc>
          <w:tcPr>
            <w:tcW w:w="0" w:type="auto"/>
            <w:tcMar>
              <w:top w:w="113" w:type="dxa"/>
              <w:left w:w="113" w:type="dxa"/>
              <w:bottom w:w="113" w:type="dxa"/>
              <w:right w:w="113" w:type="dxa"/>
            </w:tcMar>
            <w:hideMark/>
          </w:tcPr>
          <w:p w14:paraId="5FA1EAF6" w14:textId="7C9D17AF" w:rsidR="00E558CD" w:rsidRPr="009F20B1" w:rsidRDefault="00E558CD" w:rsidP="00922460">
            <w:pPr>
              <w:rPr>
                <w:rFonts w:eastAsia="Times New Roman"/>
              </w:rPr>
            </w:pPr>
            <w:r w:rsidRPr="009F20B1">
              <w:rPr>
                <w:rFonts w:eastAsia="Times New Roman"/>
              </w:rPr>
              <w:t>PIGD Score</w:t>
            </w:r>
          </w:p>
        </w:tc>
        <w:tc>
          <w:tcPr>
            <w:tcW w:w="0" w:type="auto"/>
            <w:tcMar>
              <w:top w:w="113" w:type="dxa"/>
              <w:left w:w="113" w:type="dxa"/>
              <w:bottom w:w="113" w:type="dxa"/>
              <w:right w:w="113" w:type="dxa"/>
            </w:tcMar>
            <w:hideMark/>
          </w:tcPr>
          <w:p w14:paraId="61BFC1D2" w14:textId="77777777" w:rsidR="00E558CD" w:rsidRPr="009F20B1" w:rsidRDefault="00E558CD" w:rsidP="00922460">
            <w:pPr>
              <w:jc w:val="center"/>
              <w:rPr>
                <w:rFonts w:eastAsia="Times New Roman"/>
              </w:rPr>
            </w:pPr>
            <w:r w:rsidRPr="009F20B1">
              <w:rPr>
                <w:rFonts w:eastAsia="Times New Roman"/>
              </w:rPr>
              <w:t>0.412</w:t>
            </w:r>
          </w:p>
        </w:tc>
        <w:tc>
          <w:tcPr>
            <w:tcW w:w="0" w:type="auto"/>
            <w:tcMar>
              <w:top w:w="113" w:type="dxa"/>
              <w:left w:w="113" w:type="dxa"/>
              <w:bottom w:w="113" w:type="dxa"/>
              <w:right w:w="113" w:type="dxa"/>
            </w:tcMar>
            <w:hideMark/>
          </w:tcPr>
          <w:p w14:paraId="147B890E" w14:textId="77777777" w:rsidR="00E558CD" w:rsidRPr="009F20B1" w:rsidRDefault="00E558CD" w:rsidP="00922460">
            <w:pPr>
              <w:jc w:val="center"/>
              <w:rPr>
                <w:rFonts w:eastAsia="Times New Roman"/>
              </w:rPr>
            </w:pPr>
            <w:r w:rsidRPr="009F20B1">
              <w:rPr>
                <w:rFonts w:eastAsia="Times New Roman"/>
              </w:rPr>
              <w:t>-0.242 – 1.065</w:t>
            </w:r>
          </w:p>
        </w:tc>
        <w:tc>
          <w:tcPr>
            <w:tcW w:w="0" w:type="auto"/>
            <w:tcMar>
              <w:top w:w="113" w:type="dxa"/>
              <w:left w:w="113" w:type="dxa"/>
              <w:bottom w:w="113" w:type="dxa"/>
              <w:right w:w="113" w:type="dxa"/>
            </w:tcMar>
            <w:hideMark/>
          </w:tcPr>
          <w:p w14:paraId="6245A9E9" w14:textId="77777777" w:rsidR="00E558CD" w:rsidRPr="009F20B1" w:rsidRDefault="00E558CD" w:rsidP="00922460">
            <w:pPr>
              <w:jc w:val="center"/>
              <w:rPr>
                <w:rFonts w:eastAsia="Times New Roman"/>
              </w:rPr>
            </w:pPr>
            <w:r w:rsidRPr="009F20B1">
              <w:rPr>
                <w:rFonts w:eastAsia="Times New Roman"/>
              </w:rPr>
              <w:t>0.199</w:t>
            </w:r>
          </w:p>
        </w:tc>
      </w:tr>
      <w:tr w:rsidR="00E558CD" w:rsidRPr="009F20B1" w14:paraId="6C0B3181" w14:textId="77777777" w:rsidTr="00922460">
        <w:tc>
          <w:tcPr>
            <w:tcW w:w="0" w:type="auto"/>
            <w:tcMar>
              <w:top w:w="113" w:type="dxa"/>
              <w:left w:w="113" w:type="dxa"/>
              <w:bottom w:w="113" w:type="dxa"/>
              <w:right w:w="113" w:type="dxa"/>
            </w:tcMar>
            <w:hideMark/>
          </w:tcPr>
          <w:p w14:paraId="44BF9567" w14:textId="4756274D" w:rsidR="00E558CD" w:rsidRPr="009F20B1" w:rsidRDefault="00E558CD" w:rsidP="00922460">
            <w:pPr>
              <w:rPr>
                <w:rFonts w:eastAsia="Times New Roman"/>
              </w:rPr>
            </w:pPr>
            <w:r w:rsidRPr="009F20B1">
              <w:rPr>
                <w:rFonts w:eastAsia="Times New Roman"/>
              </w:rPr>
              <w:t>Site</w:t>
            </w:r>
          </w:p>
        </w:tc>
        <w:tc>
          <w:tcPr>
            <w:tcW w:w="0" w:type="auto"/>
            <w:tcMar>
              <w:top w:w="113" w:type="dxa"/>
              <w:left w:w="113" w:type="dxa"/>
              <w:bottom w:w="113" w:type="dxa"/>
              <w:right w:w="113" w:type="dxa"/>
            </w:tcMar>
            <w:hideMark/>
          </w:tcPr>
          <w:p w14:paraId="04D36551" w14:textId="77777777" w:rsidR="00E558CD" w:rsidRPr="009F20B1" w:rsidRDefault="00E558CD" w:rsidP="00922460">
            <w:pPr>
              <w:jc w:val="center"/>
              <w:rPr>
                <w:rFonts w:eastAsia="Times New Roman"/>
              </w:rPr>
            </w:pPr>
            <w:r w:rsidRPr="009F20B1">
              <w:rPr>
                <w:rFonts w:eastAsia="Times New Roman"/>
              </w:rPr>
              <w:t>-1.065</w:t>
            </w:r>
          </w:p>
        </w:tc>
        <w:tc>
          <w:tcPr>
            <w:tcW w:w="0" w:type="auto"/>
            <w:tcMar>
              <w:top w:w="113" w:type="dxa"/>
              <w:left w:w="113" w:type="dxa"/>
              <w:bottom w:w="113" w:type="dxa"/>
              <w:right w:w="113" w:type="dxa"/>
            </w:tcMar>
            <w:hideMark/>
          </w:tcPr>
          <w:p w14:paraId="3CE2802F" w14:textId="77777777" w:rsidR="00E558CD" w:rsidRPr="009F20B1" w:rsidRDefault="00E558CD" w:rsidP="00922460">
            <w:pPr>
              <w:jc w:val="center"/>
              <w:rPr>
                <w:rFonts w:eastAsia="Times New Roman"/>
              </w:rPr>
            </w:pPr>
            <w:r w:rsidRPr="009F20B1">
              <w:rPr>
                <w:rFonts w:eastAsia="Times New Roman"/>
              </w:rPr>
              <w:t>-3.060 – 0.930</w:t>
            </w:r>
          </w:p>
        </w:tc>
        <w:tc>
          <w:tcPr>
            <w:tcW w:w="0" w:type="auto"/>
            <w:tcMar>
              <w:top w:w="113" w:type="dxa"/>
              <w:left w:w="113" w:type="dxa"/>
              <w:bottom w:w="113" w:type="dxa"/>
              <w:right w:w="113" w:type="dxa"/>
            </w:tcMar>
            <w:hideMark/>
          </w:tcPr>
          <w:p w14:paraId="585C67E9" w14:textId="77777777" w:rsidR="00E558CD" w:rsidRPr="009F20B1" w:rsidRDefault="00E558CD" w:rsidP="00922460">
            <w:pPr>
              <w:jc w:val="center"/>
              <w:rPr>
                <w:rFonts w:eastAsia="Times New Roman"/>
              </w:rPr>
            </w:pPr>
            <w:r w:rsidRPr="009F20B1">
              <w:rPr>
                <w:rFonts w:eastAsia="Times New Roman"/>
              </w:rPr>
              <w:t>0.273</w:t>
            </w:r>
          </w:p>
        </w:tc>
      </w:tr>
      <w:tr w:rsidR="00E558CD" w:rsidRPr="009F20B1" w14:paraId="7BC15E5D" w14:textId="77777777" w:rsidTr="00922460">
        <w:tc>
          <w:tcPr>
            <w:tcW w:w="0" w:type="auto"/>
            <w:tcBorders>
              <w:top w:val="single" w:sz="6" w:space="0" w:color="auto"/>
            </w:tcBorders>
            <w:tcMar>
              <w:top w:w="57" w:type="dxa"/>
              <w:left w:w="113" w:type="dxa"/>
              <w:bottom w:w="57" w:type="dxa"/>
              <w:right w:w="113" w:type="dxa"/>
            </w:tcMar>
            <w:hideMark/>
          </w:tcPr>
          <w:p w14:paraId="0477163B" w14:textId="77777777" w:rsidR="00E558CD" w:rsidRPr="009F20B1" w:rsidRDefault="00E558CD" w:rsidP="00922460">
            <w:pPr>
              <w:rPr>
                <w:rFonts w:eastAsia="Times New Roman"/>
              </w:rPr>
            </w:pPr>
            <w:r w:rsidRPr="009F20B1">
              <w:rPr>
                <w:rFonts w:eastAsia="Times New Roman"/>
              </w:rPr>
              <w:t>Observations</w:t>
            </w:r>
          </w:p>
        </w:tc>
        <w:tc>
          <w:tcPr>
            <w:tcW w:w="0" w:type="auto"/>
            <w:gridSpan w:val="3"/>
            <w:tcBorders>
              <w:top w:val="single" w:sz="6" w:space="0" w:color="auto"/>
            </w:tcBorders>
            <w:tcMar>
              <w:top w:w="57" w:type="dxa"/>
              <w:left w:w="113" w:type="dxa"/>
              <w:bottom w:w="57" w:type="dxa"/>
              <w:right w:w="113" w:type="dxa"/>
            </w:tcMar>
            <w:hideMark/>
          </w:tcPr>
          <w:p w14:paraId="679C8C5B" w14:textId="77777777" w:rsidR="00E558CD" w:rsidRPr="009F20B1" w:rsidRDefault="00E558CD" w:rsidP="00922460">
            <w:pPr>
              <w:rPr>
                <w:rFonts w:eastAsia="Times New Roman"/>
              </w:rPr>
            </w:pPr>
            <w:r w:rsidRPr="009F20B1">
              <w:rPr>
                <w:rFonts w:eastAsia="Times New Roman"/>
              </w:rPr>
              <w:t>19</w:t>
            </w:r>
          </w:p>
        </w:tc>
      </w:tr>
      <w:tr w:rsidR="00E558CD" w:rsidRPr="009F20B1" w14:paraId="4CBF66C4" w14:textId="77777777" w:rsidTr="00922460">
        <w:tc>
          <w:tcPr>
            <w:tcW w:w="0" w:type="auto"/>
            <w:tcMar>
              <w:top w:w="57" w:type="dxa"/>
              <w:left w:w="113" w:type="dxa"/>
              <w:bottom w:w="57" w:type="dxa"/>
              <w:right w:w="113" w:type="dxa"/>
            </w:tcMar>
            <w:hideMark/>
          </w:tcPr>
          <w:p w14:paraId="444E17C9" w14:textId="77777777" w:rsidR="00E558CD" w:rsidRPr="009F20B1" w:rsidRDefault="00E558CD" w:rsidP="00922460">
            <w:pPr>
              <w:rPr>
                <w:rFonts w:eastAsia="Times New Roman"/>
              </w:rPr>
            </w:pPr>
            <w:r w:rsidRPr="009F20B1">
              <w:rPr>
                <w:rFonts w:eastAsia="Times New Roman"/>
              </w:rPr>
              <w:t>R</w:t>
            </w:r>
            <w:r w:rsidRPr="009F20B1">
              <w:rPr>
                <w:rFonts w:eastAsia="Times New Roman"/>
                <w:vertAlign w:val="superscript"/>
              </w:rPr>
              <w:t>2</w:t>
            </w:r>
            <w:r w:rsidRPr="009F20B1">
              <w:rPr>
                <w:rFonts w:eastAsia="Times New Roman"/>
              </w:rPr>
              <w:t xml:space="preserve"> / R</w:t>
            </w:r>
            <w:r w:rsidRPr="009F20B1">
              <w:rPr>
                <w:rFonts w:eastAsia="Times New Roman"/>
                <w:vertAlign w:val="superscript"/>
              </w:rPr>
              <w:t>2</w:t>
            </w:r>
            <w:r w:rsidRPr="009F20B1">
              <w:rPr>
                <w:rFonts w:eastAsia="Times New Roman"/>
              </w:rPr>
              <w:t xml:space="preserve"> adjusted</w:t>
            </w:r>
          </w:p>
        </w:tc>
        <w:tc>
          <w:tcPr>
            <w:tcW w:w="0" w:type="auto"/>
            <w:gridSpan w:val="3"/>
            <w:tcMar>
              <w:top w:w="57" w:type="dxa"/>
              <w:left w:w="113" w:type="dxa"/>
              <w:bottom w:w="57" w:type="dxa"/>
              <w:right w:w="113" w:type="dxa"/>
            </w:tcMar>
            <w:hideMark/>
          </w:tcPr>
          <w:p w14:paraId="02F3598F" w14:textId="77777777" w:rsidR="00E558CD" w:rsidRPr="009F20B1" w:rsidRDefault="00E558CD" w:rsidP="00922460">
            <w:pPr>
              <w:rPr>
                <w:rFonts w:eastAsia="Times New Roman"/>
              </w:rPr>
            </w:pPr>
            <w:r w:rsidRPr="009F20B1">
              <w:rPr>
                <w:rFonts w:eastAsia="Times New Roman"/>
              </w:rPr>
              <w:t>0.256 / 0.108</w:t>
            </w:r>
          </w:p>
        </w:tc>
      </w:tr>
    </w:tbl>
    <w:p w14:paraId="7981A6F0" w14:textId="0B59451A" w:rsidR="00E558CD" w:rsidRPr="009E1125" w:rsidRDefault="00E558CD" w:rsidP="009E1125">
      <w:pPr>
        <w:spacing w:line="360" w:lineRule="auto"/>
        <w:rPr>
          <w:rFonts w:ascii="Times New Roman" w:eastAsia="Times New Roman" w:hAnsi="Times New Roman" w:cs="Times New Roman"/>
        </w:rPr>
      </w:pPr>
      <w:r w:rsidRPr="009F20B1">
        <w:rPr>
          <w:rFonts w:ascii="Times New Roman" w:eastAsia="Times New Roman" w:hAnsi="Times New Roman" w:cs="Times New Roman"/>
        </w:rPr>
        <w:t xml:space="preserve">None of the regression coefficients were statistically significant, which supports the conclusion that variance in reference region uptake across sites, age, and outcome measure (PIGD score) </w:t>
      </w:r>
      <w:r w:rsidRPr="009F20B1">
        <w:rPr>
          <w:rFonts w:ascii="Times New Roman" w:eastAsia="Times New Roman" w:hAnsi="Times New Roman" w:cs="Times New Roman"/>
        </w:rPr>
        <w:lastRenderedPageBreak/>
        <w:t>values did not bias the quantification of [</w:t>
      </w:r>
      <w:r w:rsidRPr="009F20B1">
        <w:rPr>
          <w:rFonts w:ascii="Times New Roman" w:eastAsia="Times New Roman" w:hAnsi="Times New Roman" w:cs="Times New Roman"/>
          <w:vertAlign w:val="superscript"/>
        </w:rPr>
        <w:t>18</w:t>
      </w:r>
      <w:r w:rsidRPr="009F20B1">
        <w:rPr>
          <w:rFonts w:ascii="Times New Roman" w:eastAsia="Times New Roman" w:hAnsi="Times New Roman" w:cs="Times New Roman"/>
        </w:rPr>
        <w:t>F]-FEOBV uptake, thus making it unlikely that our choice of reference region was a significant biasing factor in our findings.</w:t>
      </w:r>
    </w:p>
    <w:p w14:paraId="468E22C4" w14:textId="40EA4FF2" w:rsidR="00D27339" w:rsidRPr="009E1125" w:rsidRDefault="000C695E" w:rsidP="009E1125">
      <w:pPr>
        <w:spacing w:line="360" w:lineRule="auto"/>
        <w:rPr>
          <w:rFonts w:ascii="Times New Roman" w:hAnsi="Times New Roman" w:cs="Times New Roman"/>
        </w:rPr>
      </w:pPr>
      <w:r w:rsidRPr="009E1125">
        <w:rPr>
          <w:rFonts w:ascii="Times New Roman" w:hAnsi="Times New Roman" w:cs="Times New Roman"/>
          <w:b/>
          <w:bCs/>
        </w:rPr>
        <w:t>References</w:t>
      </w:r>
    </w:p>
    <w:p w14:paraId="5F3FFF96" w14:textId="5C940072" w:rsidR="00860754" w:rsidRDefault="00D27339" w:rsidP="009E1125">
      <w:pPr>
        <w:spacing w:after="0" w:line="360" w:lineRule="auto"/>
        <w:ind w:left="720" w:hanging="720"/>
        <w:rPr>
          <w:rFonts w:ascii="Times New Roman" w:hAnsi="Times New Roman" w:cs="Times New Roman"/>
          <w:noProof/>
        </w:rPr>
      </w:pPr>
      <w:r w:rsidRPr="009E1125">
        <w:rPr>
          <w:rFonts w:ascii="Times New Roman" w:hAnsi="Times New Roman" w:cs="Times New Roman"/>
        </w:rPr>
        <w:fldChar w:fldCharType="begin" w:fldLock="1"/>
      </w:r>
      <w:r w:rsidR="00860754">
        <w:rPr>
          <w:rFonts w:ascii="Times New Roman" w:hAnsi="Times New Roman" w:cs="Times New Roman"/>
        </w:rPr>
        <w:instrText>ADDIN paperpile_bibliography &lt;pp-bibliography&gt;&lt;first-reference-indices&gt;&lt;formatting&gt;1&lt;/formatting&gt;&lt;space-after&gt;1&lt;/space-after&gt;&lt;/first-reference-indices&gt;&lt;/pp-bibliography&gt; \* MERGEFORMAT</w:instrText>
      </w:r>
      <w:r w:rsidRPr="009E1125">
        <w:rPr>
          <w:rFonts w:ascii="Times New Roman" w:hAnsi="Times New Roman" w:cs="Times New Roman"/>
        </w:rPr>
        <w:fldChar w:fldCharType="separate"/>
      </w:r>
      <w:r w:rsidR="00860754">
        <w:rPr>
          <w:rFonts w:ascii="Times New Roman" w:hAnsi="Times New Roman" w:cs="Times New Roman"/>
          <w:noProof/>
        </w:rPr>
        <w:t xml:space="preserve">Bohnen, Nicolaas I., Stiven Roytman, Sygrid van der Zee, Giulia Carli, Fotini Michalakis, Austin Luker, Sofie Slingerland, et al. 2025. “A Multicenter Longitudinal Study of Cholinergic Subgroups in Parkinson Disease.” </w:t>
      </w:r>
      <w:r w:rsidR="00860754" w:rsidRPr="00860754">
        <w:rPr>
          <w:rFonts w:ascii="Times New Roman" w:hAnsi="Times New Roman" w:cs="Times New Roman"/>
          <w:i/>
          <w:noProof/>
        </w:rPr>
        <w:t>Nature Communications</w:t>
      </w:r>
      <w:r w:rsidR="00860754">
        <w:rPr>
          <w:rFonts w:ascii="Times New Roman" w:hAnsi="Times New Roman" w:cs="Times New Roman"/>
          <w:noProof/>
        </w:rPr>
        <w:t>. https://doi.org/10.1038/s41467-025-60815-0.</w:t>
      </w:r>
    </w:p>
    <w:p w14:paraId="70688059" w14:textId="7F5C4460" w:rsidR="00D27339" w:rsidRPr="009E1125" w:rsidRDefault="00860754" w:rsidP="009E1125">
      <w:pPr>
        <w:spacing w:after="0" w:line="360" w:lineRule="auto"/>
        <w:ind w:left="720" w:hanging="720"/>
        <w:rPr>
          <w:rFonts w:ascii="Times New Roman" w:hAnsi="Times New Roman" w:cs="Times New Roman"/>
        </w:rPr>
      </w:pPr>
      <w:r>
        <w:rPr>
          <w:rFonts w:ascii="Times New Roman" w:hAnsi="Times New Roman" w:cs="Times New Roman"/>
          <w:noProof/>
        </w:rPr>
        <w:t xml:space="preserve">Kanel, Prabesh, Sygrid van der Zee, Carlos A. Sanchez-Catasus, Robert A. Koeppe, Peter J. H. Scott, Teus van Laar, Roger L. Albin, and Nicolaas I. Bohnen. 2022. “Cerebral Topography of Vesicular Cholinergic Transporter Changes in Neurologically Intact Adults: A [18F]FEOBV PET Study.” </w:t>
      </w:r>
      <w:r w:rsidRPr="00860754">
        <w:rPr>
          <w:rFonts w:ascii="Times New Roman" w:hAnsi="Times New Roman" w:cs="Times New Roman"/>
          <w:i/>
          <w:noProof/>
        </w:rPr>
        <w:t>Aging Brain</w:t>
      </w:r>
      <w:r>
        <w:rPr>
          <w:rFonts w:ascii="Times New Roman" w:hAnsi="Times New Roman" w:cs="Times New Roman"/>
          <w:noProof/>
        </w:rPr>
        <w:t xml:space="preserve"> 2 (100039): 100039.</w:t>
      </w:r>
      <w:r w:rsidR="00D27339" w:rsidRPr="009E1125">
        <w:rPr>
          <w:rFonts w:ascii="Times New Roman" w:hAnsi="Times New Roman" w:cs="Times New Roman"/>
          <w:noProof/>
        </w:rPr>
        <w:fldChar w:fldCharType="end"/>
      </w:r>
    </w:p>
    <w:sectPr w:rsidR="00D27339" w:rsidRPr="009E1125" w:rsidSect="00E51E6C">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006128" w14:textId="77777777" w:rsidR="00F95545" w:rsidRDefault="00F95545" w:rsidP="00B55984">
      <w:pPr>
        <w:spacing w:after="0" w:line="240" w:lineRule="auto"/>
      </w:pPr>
      <w:r>
        <w:separator/>
      </w:r>
    </w:p>
  </w:endnote>
  <w:endnote w:type="continuationSeparator" w:id="0">
    <w:p w14:paraId="012B69D0" w14:textId="77777777" w:rsidR="00F95545" w:rsidRDefault="00F95545" w:rsidP="00B55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07167082"/>
      <w:docPartObj>
        <w:docPartGallery w:val="Page Numbers (Bottom of Page)"/>
        <w:docPartUnique/>
      </w:docPartObj>
    </w:sdtPr>
    <w:sdtEndPr>
      <w:rPr>
        <w:noProof/>
      </w:rPr>
    </w:sdtEndPr>
    <w:sdtContent>
      <w:p w14:paraId="027FCA38" w14:textId="17EAFCA3" w:rsidR="00B55984" w:rsidRDefault="00B5598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2096335" w14:textId="77777777" w:rsidR="00B55984" w:rsidRDefault="00B559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159F8E" w14:textId="77777777" w:rsidR="00F95545" w:rsidRDefault="00F95545" w:rsidP="00B55984">
      <w:pPr>
        <w:spacing w:after="0" w:line="240" w:lineRule="auto"/>
      </w:pPr>
      <w:r>
        <w:separator/>
      </w:r>
    </w:p>
  </w:footnote>
  <w:footnote w:type="continuationSeparator" w:id="0">
    <w:p w14:paraId="24630F19" w14:textId="77777777" w:rsidR="00F95545" w:rsidRDefault="00F95545" w:rsidP="00B5598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paperpile-clusterType" w:val="normal"/>
    <w:docVar w:name="paperpile-doc-id" w:val="Z751N711J291G812"/>
    <w:docVar w:name="paperpile-doc-name" w:val="SupplementaryMaterials.docx"/>
    <w:docVar w:name="paperpile-includeDoi" w:val="false"/>
    <w:docVar w:name="paperpile-styleFile" w:val="chicago-author-date.csl"/>
    <w:docVar w:name="paperpile-styleId" w:val="pp-chicago-author-date"/>
    <w:docVar w:name="paperpile-styleLabel" w:val="Chicago Manual of Style 17th edition (author-date)"/>
    <w:docVar w:name="paperpile-styleLocale" w:val="en-US"/>
  </w:docVars>
  <w:rsids>
    <w:rsidRoot w:val="00E51E6C"/>
    <w:rsid w:val="00015950"/>
    <w:rsid w:val="00060FD9"/>
    <w:rsid w:val="0006202A"/>
    <w:rsid w:val="000623E1"/>
    <w:rsid w:val="00077DCB"/>
    <w:rsid w:val="000859F6"/>
    <w:rsid w:val="00086D24"/>
    <w:rsid w:val="000A3ED5"/>
    <w:rsid w:val="000A6D1D"/>
    <w:rsid w:val="000B2C65"/>
    <w:rsid w:val="000B358F"/>
    <w:rsid w:val="000B592B"/>
    <w:rsid w:val="000C0D7B"/>
    <w:rsid w:val="000C695E"/>
    <w:rsid w:val="000E20D5"/>
    <w:rsid w:val="000E20E3"/>
    <w:rsid w:val="000E49ED"/>
    <w:rsid w:val="00120F61"/>
    <w:rsid w:val="00131747"/>
    <w:rsid w:val="001509E5"/>
    <w:rsid w:val="00165BA1"/>
    <w:rsid w:val="00167010"/>
    <w:rsid w:val="001879F6"/>
    <w:rsid w:val="00197B78"/>
    <w:rsid w:val="001A3550"/>
    <w:rsid w:val="001B1746"/>
    <w:rsid w:val="001B6B2C"/>
    <w:rsid w:val="001C7547"/>
    <w:rsid w:val="001E03E0"/>
    <w:rsid w:val="00213C5E"/>
    <w:rsid w:val="00223865"/>
    <w:rsid w:val="002308D9"/>
    <w:rsid w:val="00234289"/>
    <w:rsid w:val="00234496"/>
    <w:rsid w:val="00244B2A"/>
    <w:rsid w:val="00260045"/>
    <w:rsid w:val="00260FB1"/>
    <w:rsid w:val="00262184"/>
    <w:rsid w:val="0026315E"/>
    <w:rsid w:val="002701A0"/>
    <w:rsid w:val="00271BF0"/>
    <w:rsid w:val="0028769A"/>
    <w:rsid w:val="00291724"/>
    <w:rsid w:val="00297266"/>
    <w:rsid w:val="002A12B4"/>
    <w:rsid w:val="002B2ECC"/>
    <w:rsid w:val="002B706C"/>
    <w:rsid w:val="002C05F9"/>
    <w:rsid w:val="002C1150"/>
    <w:rsid w:val="002C1C6C"/>
    <w:rsid w:val="002D40D7"/>
    <w:rsid w:val="002E186C"/>
    <w:rsid w:val="002E443F"/>
    <w:rsid w:val="00301D79"/>
    <w:rsid w:val="00307824"/>
    <w:rsid w:val="00316C4D"/>
    <w:rsid w:val="00320981"/>
    <w:rsid w:val="00356B3A"/>
    <w:rsid w:val="0035723F"/>
    <w:rsid w:val="00357F1D"/>
    <w:rsid w:val="00360156"/>
    <w:rsid w:val="003752E3"/>
    <w:rsid w:val="0038192F"/>
    <w:rsid w:val="0038387E"/>
    <w:rsid w:val="00386E7C"/>
    <w:rsid w:val="00390ADB"/>
    <w:rsid w:val="003A6A7F"/>
    <w:rsid w:val="003C4174"/>
    <w:rsid w:val="003D5C99"/>
    <w:rsid w:val="00400A05"/>
    <w:rsid w:val="00414FA5"/>
    <w:rsid w:val="00417B81"/>
    <w:rsid w:val="00424A13"/>
    <w:rsid w:val="004413C3"/>
    <w:rsid w:val="00450BC2"/>
    <w:rsid w:val="0045322C"/>
    <w:rsid w:val="00480ACC"/>
    <w:rsid w:val="00496E32"/>
    <w:rsid w:val="004A1FBA"/>
    <w:rsid w:val="004D1EC6"/>
    <w:rsid w:val="004D3C2B"/>
    <w:rsid w:val="004E301C"/>
    <w:rsid w:val="004E59AF"/>
    <w:rsid w:val="004F0CC6"/>
    <w:rsid w:val="004F1710"/>
    <w:rsid w:val="004F4D9B"/>
    <w:rsid w:val="0050167A"/>
    <w:rsid w:val="0051124F"/>
    <w:rsid w:val="00514913"/>
    <w:rsid w:val="00514ACC"/>
    <w:rsid w:val="00542482"/>
    <w:rsid w:val="00551DD0"/>
    <w:rsid w:val="00555197"/>
    <w:rsid w:val="005741BE"/>
    <w:rsid w:val="0057553E"/>
    <w:rsid w:val="0057605A"/>
    <w:rsid w:val="005830E3"/>
    <w:rsid w:val="005A2172"/>
    <w:rsid w:val="005B1EEF"/>
    <w:rsid w:val="005B3A9E"/>
    <w:rsid w:val="005B5D3F"/>
    <w:rsid w:val="005C078D"/>
    <w:rsid w:val="005C655C"/>
    <w:rsid w:val="005C6AD9"/>
    <w:rsid w:val="005D5261"/>
    <w:rsid w:val="005E063C"/>
    <w:rsid w:val="005E7508"/>
    <w:rsid w:val="005F55F5"/>
    <w:rsid w:val="006046B4"/>
    <w:rsid w:val="00613473"/>
    <w:rsid w:val="00615F0A"/>
    <w:rsid w:val="00621047"/>
    <w:rsid w:val="006229A1"/>
    <w:rsid w:val="00623CD8"/>
    <w:rsid w:val="00631112"/>
    <w:rsid w:val="0065492D"/>
    <w:rsid w:val="006615FF"/>
    <w:rsid w:val="00662679"/>
    <w:rsid w:val="0066696E"/>
    <w:rsid w:val="00682410"/>
    <w:rsid w:val="0068258B"/>
    <w:rsid w:val="006835E9"/>
    <w:rsid w:val="00695383"/>
    <w:rsid w:val="006959F4"/>
    <w:rsid w:val="006A647C"/>
    <w:rsid w:val="006C59BE"/>
    <w:rsid w:val="006C69AA"/>
    <w:rsid w:val="006D44AE"/>
    <w:rsid w:val="006F76D3"/>
    <w:rsid w:val="007007E1"/>
    <w:rsid w:val="00702A34"/>
    <w:rsid w:val="007130D3"/>
    <w:rsid w:val="007152B3"/>
    <w:rsid w:val="00735090"/>
    <w:rsid w:val="0074317F"/>
    <w:rsid w:val="007611FE"/>
    <w:rsid w:val="0076209F"/>
    <w:rsid w:val="007662B9"/>
    <w:rsid w:val="00770003"/>
    <w:rsid w:val="00774653"/>
    <w:rsid w:val="00777343"/>
    <w:rsid w:val="0078524E"/>
    <w:rsid w:val="00787159"/>
    <w:rsid w:val="007949D1"/>
    <w:rsid w:val="007958D5"/>
    <w:rsid w:val="00796676"/>
    <w:rsid w:val="007A6556"/>
    <w:rsid w:val="007A7191"/>
    <w:rsid w:val="007B3CDD"/>
    <w:rsid w:val="007B3EDE"/>
    <w:rsid w:val="007B456C"/>
    <w:rsid w:val="007C1136"/>
    <w:rsid w:val="007F0905"/>
    <w:rsid w:val="007F0D88"/>
    <w:rsid w:val="007F468C"/>
    <w:rsid w:val="008011F3"/>
    <w:rsid w:val="00807975"/>
    <w:rsid w:val="0081317A"/>
    <w:rsid w:val="00820274"/>
    <w:rsid w:val="00822BF2"/>
    <w:rsid w:val="00824B65"/>
    <w:rsid w:val="00825B05"/>
    <w:rsid w:val="00825FEF"/>
    <w:rsid w:val="00826A9E"/>
    <w:rsid w:val="00830B93"/>
    <w:rsid w:val="008532BA"/>
    <w:rsid w:val="00857CDE"/>
    <w:rsid w:val="00860754"/>
    <w:rsid w:val="0086221E"/>
    <w:rsid w:val="0086626D"/>
    <w:rsid w:val="00874D2E"/>
    <w:rsid w:val="00895434"/>
    <w:rsid w:val="008A36FA"/>
    <w:rsid w:val="008B4334"/>
    <w:rsid w:val="008C3931"/>
    <w:rsid w:val="008C4DFC"/>
    <w:rsid w:val="008D609B"/>
    <w:rsid w:val="008E53BC"/>
    <w:rsid w:val="008F266B"/>
    <w:rsid w:val="00927A29"/>
    <w:rsid w:val="00940653"/>
    <w:rsid w:val="00944A3B"/>
    <w:rsid w:val="00944EA4"/>
    <w:rsid w:val="00947E57"/>
    <w:rsid w:val="00951637"/>
    <w:rsid w:val="00953D35"/>
    <w:rsid w:val="00991E03"/>
    <w:rsid w:val="009A123F"/>
    <w:rsid w:val="009A5EF6"/>
    <w:rsid w:val="009A7085"/>
    <w:rsid w:val="009B0603"/>
    <w:rsid w:val="009D08D1"/>
    <w:rsid w:val="009D339E"/>
    <w:rsid w:val="009E1125"/>
    <w:rsid w:val="009E2AA6"/>
    <w:rsid w:val="009E3FAA"/>
    <w:rsid w:val="009F20B1"/>
    <w:rsid w:val="009F610D"/>
    <w:rsid w:val="009F7A48"/>
    <w:rsid w:val="00A17227"/>
    <w:rsid w:val="00A17A6B"/>
    <w:rsid w:val="00A3198D"/>
    <w:rsid w:val="00A31D9B"/>
    <w:rsid w:val="00A33EAB"/>
    <w:rsid w:val="00A558C5"/>
    <w:rsid w:val="00A56849"/>
    <w:rsid w:val="00A57F7E"/>
    <w:rsid w:val="00A60CFF"/>
    <w:rsid w:val="00A71478"/>
    <w:rsid w:val="00A732EF"/>
    <w:rsid w:val="00A91852"/>
    <w:rsid w:val="00A93E93"/>
    <w:rsid w:val="00A947F2"/>
    <w:rsid w:val="00AA2297"/>
    <w:rsid w:val="00AA4315"/>
    <w:rsid w:val="00AB6454"/>
    <w:rsid w:val="00AC5CCD"/>
    <w:rsid w:val="00AD50DD"/>
    <w:rsid w:val="00AD69E9"/>
    <w:rsid w:val="00AF0440"/>
    <w:rsid w:val="00B00027"/>
    <w:rsid w:val="00B100E5"/>
    <w:rsid w:val="00B119A1"/>
    <w:rsid w:val="00B23B0B"/>
    <w:rsid w:val="00B241FE"/>
    <w:rsid w:val="00B55984"/>
    <w:rsid w:val="00B56696"/>
    <w:rsid w:val="00B7629F"/>
    <w:rsid w:val="00BB02B4"/>
    <w:rsid w:val="00BB7465"/>
    <w:rsid w:val="00BC0069"/>
    <w:rsid w:val="00BD2ACF"/>
    <w:rsid w:val="00BD2D42"/>
    <w:rsid w:val="00BD576D"/>
    <w:rsid w:val="00BE04AB"/>
    <w:rsid w:val="00BE0DEA"/>
    <w:rsid w:val="00BF08CB"/>
    <w:rsid w:val="00C27977"/>
    <w:rsid w:val="00C306FB"/>
    <w:rsid w:val="00C376A8"/>
    <w:rsid w:val="00C37928"/>
    <w:rsid w:val="00C4098E"/>
    <w:rsid w:val="00C44DA1"/>
    <w:rsid w:val="00C52D3A"/>
    <w:rsid w:val="00C542C7"/>
    <w:rsid w:val="00C67FDD"/>
    <w:rsid w:val="00C95257"/>
    <w:rsid w:val="00CA586F"/>
    <w:rsid w:val="00CA714C"/>
    <w:rsid w:val="00CB48BC"/>
    <w:rsid w:val="00CC3091"/>
    <w:rsid w:val="00CE7E0A"/>
    <w:rsid w:val="00CF566C"/>
    <w:rsid w:val="00D02413"/>
    <w:rsid w:val="00D04DD6"/>
    <w:rsid w:val="00D1349E"/>
    <w:rsid w:val="00D16E9E"/>
    <w:rsid w:val="00D17166"/>
    <w:rsid w:val="00D22594"/>
    <w:rsid w:val="00D25084"/>
    <w:rsid w:val="00D27339"/>
    <w:rsid w:val="00D352BD"/>
    <w:rsid w:val="00D564A1"/>
    <w:rsid w:val="00D65C84"/>
    <w:rsid w:val="00D66A2D"/>
    <w:rsid w:val="00D72916"/>
    <w:rsid w:val="00D879D6"/>
    <w:rsid w:val="00D908CC"/>
    <w:rsid w:val="00D909AA"/>
    <w:rsid w:val="00D97395"/>
    <w:rsid w:val="00DA1E29"/>
    <w:rsid w:val="00DA3242"/>
    <w:rsid w:val="00DA43D8"/>
    <w:rsid w:val="00DA6804"/>
    <w:rsid w:val="00DC41F9"/>
    <w:rsid w:val="00DE1C55"/>
    <w:rsid w:val="00DE698A"/>
    <w:rsid w:val="00DF3821"/>
    <w:rsid w:val="00E05ECB"/>
    <w:rsid w:val="00E06024"/>
    <w:rsid w:val="00E108C9"/>
    <w:rsid w:val="00E11917"/>
    <w:rsid w:val="00E168A0"/>
    <w:rsid w:val="00E231E4"/>
    <w:rsid w:val="00E2401D"/>
    <w:rsid w:val="00E32321"/>
    <w:rsid w:val="00E50A3F"/>
    <w:rsid w:val="00E51E6C"/>
    <w:rsid w:val="00E558CD"/>
    <w:rsid w:val="00E6665A"/>
    <w:rsid w:val="00E679F8"/>
    <w:rsid w:val="00E728A3"/>
    <w:rsid w:val="00E72A6E"/>
    <w:rsid w:val="00E83E84"/>
    <w:rsid w:val="00E91A70"/>
    <w:rsid w:val="00E97CA1"/>
    <w:rsid w:val="00ED28A4"/>
    <w:rsid w:val="00EE5FC0"/>
    <w:rsid w:val="00EF26B8"/>
    <w:rsid w:val="00F0435C"/>
    <w:rsid w:val="00F14E22"/>
    <w:rsid w:val="00F271D9"/>
    <w:rsid w:val="00F36F02"/>
    <w:rsid w:val="00F43CAC"/>
    <w:rsid w:val="00F51012"/>
    <w:rsid w:val="00F73F9F"/>
    <w:rsid w:val="00F745E7"/>
    <w:rsid w:val="00F92109"/>
    <w:rsid w:val="00F95545"/>
    <w:rsid w:val="00FA4F8C"/>
    <w:rsid w:val="00FB12FC"/>
    <w:rsid w:val="00FC15EC"/>
    <w:rsid w:val="00FC7886"/>
    <w:rsid w:val="00FD294C"/>
    <w:rsid w:val="00FE4054"/>
    <w:rsid w:val="00FF1C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4E906"/>
  <w15:chartTrackingRefBased/>
  <w15:docId w15:val="{0458479F-288F-DC42-AF18-B2E4FC836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1E6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51E6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51E6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51E6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51E6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51E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1E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1E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1E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1E6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51E6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1E6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1E6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1E6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1E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1E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1E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1E6C"/>
    <w:rPr>
      <w:rFonts w:eastAsiaTheme="majorEastAsia" w:cstheme="majorBidi"/>
      <w:color w:val="272727" w:themeColor="text1" w:themeTint="D8"/>
    </w:rPr>
  </w:style>
  <w:style w:type="paragraph" w:styleId="Title">
    <w:name w:val="Title"/>
    <w:basedOn w:val="Normal"/>
    <w:next w:val="Normal"/>
    <w:link w:val="TitleChar"/>
    <w:uiPriority w:val="10"/>
    <w:qFormat/>
    <w:rsid w:val="00E51E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1E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1E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1E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1E6C"/>
    <w:pPr>
      <w:spacing w:before="160"/>
      <w:jc w:val="center"/>
    </w:pPr>
    <w:rPr>
      <w:i/>
      <w:iCs/>
      <w:color w:val="404040" w:themeColor="text1" w:themeTint="BF"/>
    </w:rPr>
  </w:style>
  <w:style w:type="character" w:customStyle="1" w:styleId="QuoteChar">
    <w:name w:val="Quote Char"/>
    <w:basedOn w:val="DefaultParagraphFont"/>
    <w:link w:val="Quote"/>
    <w:uiPriority w:val="29"/>
    <w:rsid w:val="00E51E6C"/>
    <w:rPr>
      <w:i/>
      <w:iCs/>
      <w:color w:val="404040" w:themeColor="text1" w:themeTint="BF"/>
    </w:rPr>
  </w:style>
  <w:style w:type="paragraph" w:styleId="ListParagraph">
    <w:name w:val="List Paragraph"/>
    <w:basedOn w:val="Normal"/>
    <w:uiPriority w:val="34"/>
    <w:qFormat/>
    <w:rsid w:val="00E51E6C"/>
    <w:pPr>
      <w:ind w:left="720"/>
      <w:contextualSpacing/>
    </w:pPr>
  </w:style>
  <w:style w:type="character" w:styleId="IntenseEmphasis">
    <w:name w:val="Intense Emphasis"/>
    <w:basedOn w:val="DefaultParagraphFont"/>
    <w:uiPriority w:val="21"/>
    <w:qFormat/>
    <w:rsid w:val="00E51E6C"/>
    <w:rPr>
      <w:i/>
      <w:iCs/>
      <w:color w:val="0F4761" w:themeColor="accent1" w:themeShade="BF"/>
    </w:rPr>
  </w:style>
  <w:style w:type="paragraph" w:styleId="IntenseQuote">
    <w:name w:val="Intense Quote"/>
    <w:basedOn w:val="Normal"/>
    <w:next w:val="Normal"/>
    <w:link w:val="IntenseQuoteChar"/>
    <w:uiPriority w:val="30"/>
    <w:qFormat/>
    <w:rsid w:val="00E51E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51E6C"/>
    <w:rPr>
      <w:i/>
      <w:iCs/>
      <w:color w:val="0F4761" w:themeColor="accent1" w:themeShade="BF"/>
    </w:rPr>
  </w:style>
  <w:style w:type="character" w:styleId="IntenseReference">
    <w:name w:val="Intense Reference"/>
    <w:basedOn w:val="DefaultParagraphFont"/>
    <w:uiPriority w:val="32"/>
    <w:qFormat/>
    <w:rsid w:val="00E51E6C"/>
    <w:rPr>
      <w:b/>
      <w:bCs/>
      <w:smallCaps/>
      <w:color w:val="0F4761" w:themeColor="accent1" w:themeShade="BF"/>
      <w:spacing w:val="5"/>
    </w:rPr>
  </w:style>
  <w:style w:type="character" w:styleId="CommentReference">
    <w:name w:val="annotation reference"/>
    <w:basedOn w:val="DefaultParagraphFont"/>
    <w:uiPriority w:val="99"/>
    <w:semiHidden/>
    <w:unhideWhenUsed/>
    <w:rsid w:val="00F43CAC"/>
    <w:rPr>
      <w:sz w:val="16"/>
      <w:szCs w:val="16"/>
    </w:rPr>
  </w:style>
  <w:style w:type="paragraph" w:styleId="CommentText">
    <w:name w:val="annotation text"/>
    <w:basedOn w:val="Normal"/>
    <w:link w:val="CommentTextChar"/>
    <w:uiPriority w:val="99"/>
    <w:semiHidden/>
    <w:unhideWhenUsed/>
    <w:rsid w:val="00F43CAC"/>
    <w:pPr>
      <w:spacing w:line="240" w:lineRule="auto"/>
    </w:pPr>
    <w:rPr>
      <w:sz w:val="20"/>
      <w:szCs w:val="20"/>
    </w:rPr>
  </w:style>
  <w:style w:type="character" w:customStyle="1" w:styleId="CommentTextChar">
    <w:name w:val="Comment Text Char"/>
    <w:basedOn w:val="DefaultParagraphFont"/>
    <w:link w:val="CommentText"/>
    <w:uiPriority w:val="99"/>
    <w:semiHidden/>
    <w:rsid w:val="00F43CAC"/>
    <w:rPr>
      <w:sz w:val="20"/>
      <w:szCs w:val="20"/>
    </w:rPr>
  </w:style>
  <w:style w:type="paragraph" w:styleId="CommentSubject">
    <w:name w:val="annotation subject"/>
    <w:basedOn w:val="CommentText"/>
    <w:next w:val="CommentText"/>
    <w:link w:val="CommentSubjectChar"/>
    <w:uiPriority w:val="99"/>
    <w:semiHidden/>
    <w:unhideWhenUsed/>
    <w:rsid w:val="00F43CAC"/>
    <w:rPr>
      <w:b/>
      <w:bCs/>
    </w:rPr>
  </w:style>
  <w:style w:type="character" w:customStyle="1" w:styleId="CommentSubjectChar">
    <w:name w:val="Comment Subject Char"/>
    <w:basedOn w:val="CommentTextChar"/>
    <w:link w:val="CommentSubject"/>
    <w:uiPriority w:val="99"/>
    <w:semiHidden/>
    <w:rsid w:val="00F43CAC"/>
    <w:rPr>
      <w:b/>
      <w:bCs/>
      <w:sz w:val="20"/>
      <w:szCs w:val="20"/>
    </w:rPr>
  </w:style>
  <w:style w:type="paragraph" w:styleId="Revision">
    <w:name w:val="Revision"/>
    <w:hidden/>
    <w:uiPriority w:val="99"/>
    <w:semiHidden/>
    <w:rsid w:val="005E7508"/>
    <w:pPr>
      <w:spacing w:after="0" w:line="240" w:lineRule="auto"/>
    </w:pPr>
  </w:style>
  <w:style w:type="paragraph" w:styleId="Header">
    <w:name w:val="header"/>
    <w:basedOn w:val="Normal"/>
    <w:link w:val="HeaderChar"/>
    <w:uiPriority w:val="99"/>
    <w:unhideWhenUsed/>
    <w:rsid w:val="00B559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5984"/>
  </w:style>
  <w:style w:type="paragraph" w:styleId="Footer">
    <w:name w:val="footer"/>
    <w:basedOn w:val="Normal"/>
    <w:link w:val="FooterChar"/>
    <w:uiPriority w:val="99"/>
    <w:unhideWhenUsed/>
    <w:rsid w:val="00B559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5984"/>
  </w:style>
  <w:style w:type="character" w:styleId="Strong">
    <w:name w:val="Strong"/>
    <w:basedOn w:val="DefaultParagraphFont"/>
    <w:uiPriority w:val="22"/>
    <w:qFormat/>
    <w:rsid w:val="002C1150"/>
    <w:rPr>
      <w:b/>
      <w:bCs/>
    </w:rPr>
  </w:style>
  <w:style w:type="character" w:styleId="Emphasis">
    <w:name w:val="Emphasis"/>
    <w:basedOn w:val="DefaultParagraphFont"/>
    <w:uiPriority w:val="20"/>
    <w:qFormat/>
    <w:rsid w:val="002C115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4B8460-CF3E-4064-A609-510A2152BC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TotalTime>
  <Pages>6</Pages>
  <Words>1639</Words>
  <Characters>9756</Characters>
  <Application>Microsoft Office Word</Application>
  <DocSecurity>0</DocSecurity>
  <Lines>390</Lines>
  <Paragraphs>203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Roytman, Stiven</dc:creator>
  <cp:keywords/>
  <dc:description/>
  <cp:lastModifiedBy>Kanel, Prabesh</cp:lastModifiedBy>
  <cp:revision>26</cp:revision>
  <dcterms:created xsi:type="dcterms:W3CDTF">2025-06-01T21:40:00Z</dcterms:created>
  <dcterms:modified xsi:type="dcterms:W3CDTF">2026-01-14T18:41:00Z</dcterms:modified>
</cp:coreProperties>
</file>