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A8FE4" w14:textId="77777777" w:rsidR="0088597E" w:rsidRPr="00565AFA" w:rsidRDefault="0088597E" w:rsidP="0088597E">
      <w:pPr>
        <w:pStyle w:val="Heading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621E">
        <w:rPr>
          <w:rStyle w:val="Strong"/>
          <w:rFonts w:ascii="Times New Roman" w:eastAsia="Times New Roman" w:hAnsi="Times New Roman" w:cs="Times New Roman"/>
          <w:color w:val="000000"/>
          <w:sz w:val="24"/>
          <w:szCs w:val="24"/>
        </w:rPr>
        <w:t>TABLES</w:t>
      </w:r>
    </w:p>
    <w:p w14:paraId="1E5EC7CA" w14:textId="77777777" w:rsidR="0088597E" w:rsidRPr="004C218C" w:rsidRDefault="0088597E" w:rsidP="0088597E">
      <w:pPr>
        <w:spacing w:before="100" w:beforeAutospacing="1" w:after="100" w:afterAutospacing="1"/>
        <w:outlineLvl w:val="2"/>
        <w:rPr>
          <w:rFonts w:eastAsia="Times New Roman"/>
          <w:b/>
          <w:bCs/>
          <w:color w:val="000000"/>
        </w:rPr>
      </w:pPr>
      <w:r w:rsidRPr="004C218C">
        <w:rPr>
          <w:rFonts w:eastAsia="Times New Roman"/>
          <w:b/>
          <w:bCs/>
          <w:color w:val="000000"/>
        </w:rPr>
        <w:t>Table 1. Baseline Demographic and Clinical Characteristics of the Study Population</w:t>
      </w:r>
    </w:p>
    <w:tbl>
      <w:tblPr>
        <w:tblStyle w:val="ListTable4-Accent5"/>
        <w:tblW w:w="0" w:type="auto"/>
        <w:tblLook w:val="04A0" w:firstRow="1" w:lastRow="0" w:firstColumn="1" w:lastColumn="0" w:noHBand="0" w:noVBand="1"/>
      </w:tblPr>
      <w:tblGrid>
        <w:gridCol w:w="3327"/>
        <w:gridCol w:w="2408"/>
        <w:gridCol w:w="2373"/>
        <w:gridCol w:w="908"/>
      </w:tblGrid>
      <w:tr w:rsidR="0088597E" w:rsidRPr="004C218C" w14:paraId="4321D119" w14:textId="77777777" w:rsidTr="004D1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235F6F" w14:textId="77777777" w:rsidR="0088597E" w:rsidRPr="004C218C" w:rsidRDefault="0088597E" w:rsidP="004D1CE0">
            <w:r w:rsidRPr="004C218C">
              <w:t>Variable</w:t>
            </w:r>
          </w:p>
        </w:tc>
        <w:tc>
          <w:tcPr>
            <w:tcW w:w="0" w:type="auto"/>
            <w:hideMark/>
          </w:tcPr>
          <w:p w14:paraId="2910F101" w14:textId="77777777" w:rsidR="0088597E" w:rsidRPr="004C218C" w:rsidRDefault="0088597E" w:rsidP="004D1C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Leukemia Group (n = 22)</w:t>
            </w:r>
          </w:p>
        </w:tc>
        <w:tc>
          <w:tcPr>
            <w:tcW w:w="0" w:type="auto"/>
            <w:hideMark/>
          </w:tcPr>
          <w:p w14:paraId="09FA7860" w14:textId="77777777" w:rsidR="0088597E" w:rsidRPr="004C218C" w:rsidRDefault="0088597E" w:rsidP="004D1C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Healthy Controls (n = 25)</w:t>
            </w:r>
          </w:p>
        </w:tc>
        <w:tc>
          <w:tcPr>
            <w:tcW w:w="0" w:type="auto"/>
            <w:hideMark/>
          </w:tcPr>
          <w:p w14:paraId="68E8B983" w14:textId="77777777" w:rsidR="0088597E" w:rsidRPr="004C218C" w:rsidRDefault="0088597E" w:rsidP="004D1C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p value</w:t>
            </w:r>
          </w:p>
        </w:tc>
      </w:tr>
      <w:tr w:rsidR="0088597E" w:rsidRPr="004C218C" w14:paraId="680B1D0D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5F8540" w14:textId="77777777" w:rsidR="0088597E" w:rsidRPr="004C218C" w:rsidRDefault="0088597E" w:rsidP="004D1CE0">
            <w:r w:rsidRPr="004C218C">
              <w:t>Age, years</w:t>
            </w:r>
          </w:p>
        </w:tc>
        <w:tc>
          <w:tcPr>
            <w:tcW w:w="0" w:type="auto"/>
            <w:hideMark/>
          </w:tcPr>
          <w:p w14:paraId="0287A193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11.2 ± 2.7</w:t>
            </w:r>
          </w:p>
        </w:tc>
        <w:tc>
          <w:tcPr>
            <w:tcW w:w="0" w:type="auto"/>
            <w:hideMark/>
          </w:tcPr>
          <w:p w14:paraId="284E3628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11.9 ± 2.7</w:t>
            </w:r>
          </w:p>
        </w:tc>
        <w:tc>
          <w:tcPr>
            <w:tcW w:w="0" w:type="auto"/>
            <w:hideMark/>
          </w:tcPr>
          <w:p w14:paraId="5B806763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NS</w:t>
            </w:r>
          </w:p>
        </w:tc>
      </w:tr>
      <w:tr w:rsidR="0088597E" w:rsidRPr="004C218C" w14:paraId="5952E4E8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665EA2" w14:textId="77777777" w:rsidR="0088597E" w:rsidRPr="004C218C" w:rsidRDefault="0088597E" w:rsidP="004D1CE0">
            <w:r w:rsidRPr="004C218C">
              <w:t>Male sex, n (%)</w:t>
            </w:r>
          </w:p>
        </w:tc>
        <w:tc>
          <w:tcPr>
            <w:tcW w:w="0" w:type="auto"/>
            <w:hideMark/>
          </w:tcPr>
          <w:p w14:paraId="2B491756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14 (63.6)</w:t>
            </w:r>
          </w:p>
        </w:tc>
        <w:tc>
          <w:tcPr>
            <w:tcW w:w="0" w:type="auto"/>
            <w:hideMark/>
          </w:tcPr>
          <w:p w14:paraId="2E1117B5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14 (56.0)</w:t>
            </w:r>
          </w:p>
        </w:tc>
        <w:tc>
          <w:tcPr>
            <w:tcW w:w="0" w:type="auto"/>
            <w:hideMark/>
          </w:tcPr>
          <w:p w14:paraId="60C74FF2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NS</w:t>
            </w:r>
          </w:p>
        </w:tc>
      </w:tr>
      <w:tr w:rsidR="0088597E" w:rsidRPr="004C218C" w14:paraId="57F74CFA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248AFF" w14:textId="77777777" w:rsidR="0088597E" w:rsidRPr="004C218C" w:rsidRDefault="0088597E" w:rsidP="004D1CE0">
            <w:r w:rsidRPr="004C218C">
              <w:t>Body weight, kg</w:t>
            </w:r>
          </w:p>
        </w:tc>
        <w:tc>
          <w:tcPr>
            <w:tcW w:w="0" w:type="auto"/>
            <w:hideMark/>
          </w:tcPr>
          <w:p w14:paraId="00F53600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35.2 ± 10.3</w:t>
            </w:r>
          </w:p>
        </w:tc>
        <w:tc>
          <w:tcPr>
            <w:tcW w:w="0" w:type="auto"/>
            <w:hideMark/>
          </w:tcPr>
          <w:p w14:paraId="5A255DEA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46.4 ± 16.9</w:t>
            </w:r>
          </w:p>
        </w:tc>
        <w:tc>
          <w:tcPr>
            <w:tcW w:w="0" w:type="auto"/>
            <w:hideMark/>
          </w:tcPr>
          <w:p w14:paraId="6690B186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&lt;0.05</w:t>
            </w:r>
          </w:p>
        </w:tc>
      </w:tr>
      <w:tr w:rsidR="0088597E" w:rsidRPr="004C218C" w14:paraId="3D5A7D8D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50F0DB" w14:textId="77777777" w:rsidR="0088597E" w:rsidRPr="004C218C" w:rsidRDefault="0088597E" w:rsidP="004D1CE0">
            <w:r w:rsidRPr="004C218C">
              <w:t>Cumulative doxorubicin dose, mg/m²</w:t>
            </w:r>
          </w:p>
        </w:tc>
        <w:tc>
          <w:tcPr>
            <w:tcW w:w="0" w:type="auto"/>
            <w:hideMark/>
          </w:tcPr>
          <w:p w14:paraId="4D34D9D3" w14:textId="77777777" w:rsidR="0088597E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240 (n:20)</w:t>
            </w:r>
          </w:p>
          <w:p w14:paraId="7F954C70" w14:textId="77777777" w:rsidR="0088597E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420 (n:1)</w:t>
            </w:r>
          </w:p>
          <w:p w14:paraId="1DA26E42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480 (n:1)</w:t>
            </w:r>
          </w:p>
        </w:tc>
        <w:tc>
          <w:tcPr>
            <w:tcW w:w="0" w:type="auto"/>
            <w:hideMark/>
          </w:tcPr>
          <w:p w14:paraId="7B6CA055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–</w:t>
            </w:r>
          </w:p>
        </w:tc>
        <w:tc>
          <w:tcPr>
            <w:tcW w:w="0" w:type="auto"/>
            <w:hideMark/>
          </w:tcPr>
          <w:p w14:paraId="114FCC3A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–</w:t>
            </w:r>
          </w:p>
        </w:tc>
      </w:tr>
      <w:tr w:rsidR="0088597E" w:rsidRPr="004C218C" w14:paraId="3BB9525B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8F51B4" w14:textId="77777777" w:rsidR="0088597E" w:rsidRPr="004C218C" w:rsidRDefault="0088597E" w:rsidP="004D1CE0">
            <w:r w:rsidRPr="004C218C">
              <w:t>High-risk protocol, n</w:t>
            </w:r>
          </w:p>
        </w:tc>
        <w:tc>
          <w:tcPr>
            <w:tcW w:w="0" w:type="auto"/>
            <w:hideMark/>
          </w:tcPr>
          <w:p w14:paraId="3C3E4B2B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2</w:t>
            </w:r>
          </w:p>
        </w:tc>
        <w:tc>
          <w:tcPr>
            <w:tcW w:w="0" w:type="auto"/>
            <w:hideMark/>
          </w:tcPr>
          <w:p w14:paraId="3CD69639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–</w:t>
            </w:r>
          </w:p>
        </w:tc>
        <w:tc>
          <w:tcPr>
            <w:tcW w:w="0" w:type="auto"/>
            <w:hideMark/>
          </w:tcPr>
          <w:p w14:paraId="0F4DEE3D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C218C">
              <w:t>–</w:t>
            </w:r>
          </w:p>
        </w:tc>
      </w:tr>
      <w:tr w:rsidR="0088597E" w:rsidRPr="004C218C" w14:paraId="35E10004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994FBD" w14:textId="77777777" w:rsidR="0088597E" w:rsidRPr="004C218C" w:rsidRDefault="0088597E" w:rsidP="004D1CE0">
            <w:r w:rsidRPr="004C218C">
              <w:t>Follow-up duration, years</w:t>
            </w:r>
          </w:p>
        </w:tc>
        <w:tc>
          <w:tcPr>
            <w:tcW w:w="0" w:type="auto"/>
            <w:hideMark/>
          </w:tcPr>
          <w:p w14:paraId="4794E7F7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4.6 ± 2.6</w:t>
            </w:r>
          </w:p>
        </w:tc>
        <w:tc>
          <w:tcPr>
            <w:tcW w:w="0" w:type="auto"/>
            <w:hideMark/>
          </w:tcPr>
          <w:p w14:paraId="3693D48F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–</w:t>
            </w:r>
          </w:p>
        </w:tc>
        <w:tc>
          <w:tcPr>
            <w:tcW w:w="0" w:type="auto"/>
            <w:hideMark/>
          </w:tcPr>
          <w:p w14:paraId="604E4604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218C">
              <w:t>–</w:t>
            </w:r>
          </w:p>
        </w:tc>
      </w:tr>
    </w:tbl>
    <w:p w14:paraId="13CA56E6" w14:textId="77777777" w:rsidR="0088597E" w:rsidRDefault="0088597E" w:rsidP="0088597E">
      <w:pPr>
        <w:spacing w:before="100" w:beforeAutospacing="1" w:after="100" w:afterAutospacing="1"/>
        <w:rPr>
          <w:color w:val="000000"/>
        </w:rPr>
      </w:pPr>
      <w:r w:rsidRPr="004C218C">
        <w:rPr>
          <w:b/>
          <w:bCs/>
          <w:color w:val="000000"/>
        </w:rPr>
        <w:t>Abbreviations:</w:t>
      </w:r>
      <w:r w:rsidRPr="004C218C">
        <w:rPr>
          <w:color w:val="000000"/>
        </w:rPr>
        <w:t> NS, not significant.</w:t>
      </w:r>
      <w:r w:rsidRPr="004C218C">
        <w:rPr>
          <w:color w:val="000000"/>
        </w:rPr>
        <w:br/>
      </w:r>
      <w:r w:rsidRPr="004C218C">
        <w:rPr>
          <w:b/>
          <w:bCs/>
          <w:color w:val="000000"/>
        </w:rPr>
        <w:t>Data are presented as</w:t>
      </w:r>
      <w:r w:rsidRPr="004C218C">
        <w:rPr>
          <w:color w:val="000000"/>
        </w:rPr>
        <w:t> mean ± SD or median (interquartile range, IQR).</w:t>
      </w:r>
    </w:p>
    <w:p w14:paraId="547466EE" w14:textId="77777777" w:rsidR="0088597E" w:rsidRPr="004C218C" w:rsidRDefault="0088597E" w:rsidP="0088597E">
      <w:pPr>
        <w:spacing w:before="100" w:beforeAutospacing="1" w:after="100" w:afterAutospacing="1"/>
        <w:rPr>
          <w:color w:val="000000"/>
        </w:rPr>
      </w:pPr>
      <w:r w:rsidRPr="00FA3A10">
        <w:rPr>
          <w:b/>
          <w:bCs/>
          <w:color w:val="000000"/>
        </w:rPr>
        <w:t>Table 1</w:t>
      </w:r>
      <w:r w:rsidRPr="00FA3A10">
        <w:rPr>
          <w:color w:val="000000"/>
        </w:rPr>
        <w:t> summarizes the baseline demographic characteristics of the pediatric patients with leukemia and the healthy control group.</w:t>
      </w:r>
    </w:p>
    <w:p w14:paraId="109DAD34" w14:textId="77777777" w:rsidR="0088597E" w:rsidRPr="004C218C" w:rsidRDefault="0088597E" w:rsidP="0088597E">
      <w:pPr>
        <w:rPr>
          <w:rFonts w:eastAsia="Times New Roman"/>
        </w:rPr>
      </w:pPr>
      <w:r>
        <w:rPr>
          <w:rFonts w:eastAsia="Times New Roman"/>
        </w:rPr>
        <w:pict w14:anchorId="3CB9D212">
          <v:rect id="_x0000_i1025" style="width:0;height:1.5pt" o:hralign="center" o:hrstd="t" o:hr="t" fillcolor="#f0f0f0" stroked="f"/>
        </w:pict>
      </w:r>
    </w:p>
    <w:p w14:paraId="0C0A5738" w14:textId="77777777" w:rsidR="0088597E" w:rsidRPr="004C218C" w:rsidRDefault="0088597E" w:rsidP="0088597E">
      <w:pPr>
        <w:spacing w:before="100" w:beforeAutospacing="1" w:after="100" w:afterAutospacing="1"/>
        <w:outlineLvl w:val="2"/>
        <w:rPr>
          <w:rFonts w:eastAsia="Times New Roman"/>
          <w:b/>
          <w:bCs/>
          <w:color w:val="000000"/>
          <w:sz w:val="27"/>
          <w:szCs w:val="27"/>
        </w:rPr>
      </w:pPr>
      <w:r w:rsidRPr="004C218C">
        <w:rPr>
          <w:rFonts w:eastAsia="Times New Roman"/>
          <w:b/>
          <w:bCs/>
          <w:color w:val="000000"/>
          <w:sz w:val="27"/>
          <w:szCs w:val="27"/>
        </w:rPr>
        <w:t>Table 2. Comparison of Left Atrial and Left Ventricular Myocardial Deformation Parameters</w:t>
      </w:r>
    </w:p>
    <w:tbl>
      <w:tblPr>
        <w:tblStyle w:val="ListTable4-Accent5"/>
        <w:tblW w:w="0" w:type="auto"/>
        <w:tblLook w:val="04A0" w:firstRow="1" w:lastRow="0" w:firstColumn="1" w:lastColumn="0" w:noHBand="0" w:noVBand="1"/>
      </w:tblPr>
      <w:tblGrid>
        <w:gridCol w:w="2569"/>
        <w:gridCol w:w="1861"/>
        <w:gridCol w:w="1839"/>
        <w:gridCol w:w="1822"/>
        <w:gridCol w:w="925"/>
      </w:tblGrid>
      <w:tr w:rsidR="0088597E" w:rsidRPr="004C218C" w14:paraId="157E701F" w14:textId="77777777" w:rsidTr="004D1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C0C315" w14:textId="77777777" w:rsidR="0088597E" w:rsidRPr="004C218C" w:rsidRDefault="0088597E" w:rsidP="004D1CE0">
            <w:pPr>
              <w:jc w:val="center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Parameter</w:t>
            </w:r>
          </w:p>
        </w:tc>
        <w:tc>
          <w:tcPr>
            <w:tcW w:w="0" w:type="auto"/>
            <w:hideMark/>
          </w:tcPr>
          <w:p w14:paraId="1508B7E6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Leukemia Group</w:t>
            </w:r>
          </w:p>
        </w:tc>
        <w:tc>
          <w:tcPr>
            <w:tcW w:w="0" w:type="auto"/>
            <w:hideMark/>
          </w:tcPr>
          <w:p w14:paraId="0A83C009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Healthy Controls</w:t>
            </w:r>
          </w:p>
        </w:tc>
        <w:tc>
          <w:tcPr>
            <w:tcW w:w="0" w:type="auto"/>
            <w:hideMark/>
          </w:tcPr>
          <w:p w14:paraId="7B6AC5B3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Mean Difference</w:t>
            </w:r>
          </w:p>
        </w:tc>
        <w:tc>
          <w:tcPr>
            <w:tcW w:w="0" w:type="auto"/>
            <w:hideMark/>
          </w:tcPr>
          <w:p w14:paraId="4A2F5937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p value</w:t>
            </w:r>
          </w:p>
        </w:tc>
      </w:tr>
      <w:tr w:rsidR="0088597E" w:rsidRPr="004C218C" w14:paraId="06414F8E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A00046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LA reservoir strain, %</w:t>
            </w:r>
          </w:p>
        </w:tc>
        <w:tc>
          <w:tcPr>
            <w:tcW w:w="0" w:type="auto"/>
            <w:hideMark/>
          </w:tcPr>
          <w:p w14:paraId="4B373AF2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39.4 ± 7.8</w:t>
            </w:r>
          </w:p>
        </w:tc>
        <w:tc>
          <w:tcPr>
            <w:tcW w:w="0" w:type="auto"/>
            <w:hideMark/>
          </w:tcPr>
          <w:p w14:paraId="20DD34A0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48.9 ± 6.5</w:t>
            </w:r>
          </w:p>
        </w:tc>
        <w:tc>
          <w:tcPr>
            <w:tcW w:w="0" w:type="auto"/>
            <w:hideMark/>
          </w:tcPr>
          <w:p w14:paraId="6138A861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−9.5</w:t>
            </w:r>
          </w:p>
        </w:tc>
        <w:tc>
          <w:tcPr>
            <w:tcW w:w="0" w:type="auto"/>
            <w:hideMark/>
          </w:tcPr>
          <w:p w14:paraId="55A06B4D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0.353</w:t>
            </w:r>
          </w:p>
        </w:tc>
      </w:tr>
      <w:tr w:rsidR="0088597E" w:rsidRPr="004C218C" w14:paraId="005608B1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95A141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LA conduit strain, %</w:t>
            </w:r>
          </w:p>
        </w:tc>
        <w:tc>
          <w:tcPr>
            <w:tcW w:w="0" w:type="auto"/>
            <w:hideMark/>
          </w:tcPr>
          <w:p w14:paraId="1157E39A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25.1 ± 6.3</w:t>
            </w:r>
          </w:p>
        </w:tc>
        <w:tc>
          <w:tcPr>
            <w:tcW w:w="0" w:type="auto"/>
            <w:hideMark/>
          </w:tcPr>
          <w:p w14:paraId="73C34C21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32.4 ± 7.1</w:t>
            </w:r>
          </w:p>
        </w:tc>
        <w:tc>
          <w:tcPr>
            <w:tcW w:w="0" w:type="auto"/>
            <w:hideMark/>
          </w:tcPr>
          <w:p w14:paraId="264C8F3E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−7.3</w:t>
            </w:r>
          </w:p>
        </w:tc>
        <w:tc>
          <w:tcPr>
            <w:tcW w:w="0" w:type="auto"/>
            <w:hideMark/>
          </w:tcPr>
          <w:p w14:paraId="621FFDBC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0.078</w:t>
            </w:r>
          </w:p>
        </w:tc>
      </w:tr>
      <w:tr w:rsidR="0088597E" w:rsidRPr="004C218C" w14:paraId="1392EE45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981748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LA contraction strain, %</w:t>
            </w:r>
          </w:p>
        </w:tc>
        <w:tc>
          <w:tcPr>
            <w:tcW w:w="0" w:type="auto"/>
            <w:hideMark/>
          </w:tcPr>
          <w:p w14:paraId="08C23313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14.3 ± 4.5</w:t>
            </w:r>
          </w:p>
        </w:tc>
        <w:tc>
          <w:tcPr>
            <w:tcW w:w="0" w:type="auto"/>
            <w:hideMark/>
          </w:tcPr>
          <w:p w14:paraId="1D2E22D1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16.4 ± 3.8</w:t>
            </w:r>
          </w:p>
        </w:tc>
        <w:tc>
          <w:tcPr>
            <w:tcW w:w="0" w:type="auto"/>
            <w:hideMark/>
          </w:tcPr>
          <w:p w14:paraId="0DFA6746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−2.1</w:t>
            </w:r>
          </w:p>
        </w:tc>
        <w:tc>
          <w:tcPr>
            <w:tcW w:w="0" w:type="auto"/>
            <w:hideMark/>
          </w:tcPr>
          <w:p w14:paraId="5A589682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0.325</w:t>
            </w:r>
          </w:p>
        </w:tc>
      </w:tr>
      <w:tr w:rsidR="0088597E" w:rsidRPr="004C218C" w14:paraId="1AE8ECFA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CB75E8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LV GLS, %</w:t>
            </w:r>
          </w:p>
        </w:tc>
        <w:tc>
          <w:tcPr>
            <w:tcW w:w="0" w:type="auto"/>
            <w:hideMark/>
          </w:tcPr>
          <w:p w14:paraId="4676F888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−19.1 ± 2.2</w:t>
            </w:r>
          </w:p>
        </w:tc>
        <w:tc>
          <w:tcPr>
            <w:tcW w:w="0" w:type="auto"/>
            <w:hideMark/>
          </w:tcPr>
          <w:p w14:paraId="5D295C89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−20.4 ± 2.0</w:t>
            </w:r>
          </w:p>
        </w:tc>
        <w:tc>
          <w:tcPr>
            <w:tcW w:w="0" w:type="auto"/>
            <w:hideMark/>
          </w:tcPr>
          <w:p w14:paraId="16CFD986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+1.3</w:t>
            </w:r>
          </w:p>
        </w:tc>
        <w:tc>
          <w:tcPr>
            <w:tcW w:w="0" w:type="auto"/>
            <w:hideMark/>
          </w:tcPr>
          <w:p w14:paraId="3ED8B6C8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0.983</w:t>
            </w:r>
          </w:p>
        </w:tc>
      </w:tr>
    </w:tbl>
    <w:p w14:paraId="74D7EFE2" w14:textId="77777777" w:rsidR="0088597E" w:rsidRDefault="0088597E" w:rsidP="0088597E">
      <w:pPr>
        <w:spacing w:before="100" w:beforeAutospacing="1" w:after="100" w:afterAutospacing="1"/>
        <w:rPr>
          <w:color w:val="000000"/>
        </w:rPr>
      </w:pPr>
      <w:r w:rsidRPr="004C218C">
        <w:rPr>
          <w:b/>
          <w:bCs/>
          <w:color w:val="000000"/>
        </w:rPr>
        <w:t>Abbreviations:</w:t>
      </w:r>
      <w:r w:rsidRPr="004C218C">
        <w:rPr>
          <w:color w:val="000000"/>
        </w:rPr>
        <w:t> LA, left atrial; LV, left ventricular; GLS, global longitudinal strain.</w:t>
      </w:r>
      <w:r w:rsidRPr="004C218C">
        <w:rPr>
          <w:color w:val="000000"/>
        </w:rPr>
        <w:br/>
      </w:r>
      <w:r w:rsidRPr="004C218C">
        <w:rPr>
          <w:b/>
          <w:bCs/>
          <w:color w:val="000000"/>
        </w:rPr>
        <w:t>Values are presented as</w:t>
      </w:r>
      <w:r w:rsidRPr="004C218C">
        <w:rPr>
          <w:color w:val="000000"/>
        </w:rPr>
        <w:t> mean ± SD.</w:t>
      </w:r>
    </w:p>
    <w:p w14:paraId="1B1AB2BB" w14:textId="77777777" w:rsidR="0088597E" w:rsidRPr="00FA3A10" w:rsidRDefault="0088597E" w:rsidP="0088597E">
      <w:pPr>
        <w:spacing w:before="100" w:beforeAutospacing="1" w:after="100" w:afterAutospacing="1"/>
        <w:rPr>
          <w:color w:val="000000"/>
        </w:rPr>
      </w:pPr>
      <w:r w:rsidRPr="00FA3A10">
        <w:rPr>
          <w:b/>
          <w:bCs/>
          <w:color w:val="000000"/>
        </w:rPr>
        <w:t>Table 2</w:t>
      </w:r>
      <w:r w:rsidRPr="00FA3A10">
        <w:rPr>
          <w:color w:val="000000"/>
        </w:rPr>
        <w:t> </w:t>
      </w:r>
      <w:r>
        <w:rPr>
          <w:color w:val="000000"/>
        </w:rPr>
        <w:t>P</w:t>
      </w:r>
      <w:r w:rsidRPr="00FA3A10">
        <w:rPr>
          <w:color w:val="000000"/>
        </w:rPr>
        <w:t>resents the comparison of left atrial strain components (reservoir, conduit, and contraction phases), left ventricular global longitudinal strain (GLS), and conventional two-dimensional echocardiographic parameters between the leukemia and healthy control groups. Left ve</w:t>
      </w:r>
      <w:r>
        <w:rPr>
          <w:color w:val="000000"/>
        </w:rPr>
        <w:t>ntricular wall thickness (LVWD),</w:t>
      </w:r>
      <w:r w:rsidRPr="0054174E">
        <w:rPr>
          <w:color w:val="000000"/>
        </w:rPr>
        <w:t xml:space="preserve"> </w:t>
      </w:r>
      <w:r w:rsidRPr="00FA3A10">
        <w:rPr>
          <w:color w:val="000000"/>
        </w:rPr>
        <w:t xml:space="preserve">Left ventricular end-diastolic diameter (LVDd) </w:t>
      </w:r>
      <w:r>
        <w:rPr>
          <w:color w:val="000000"/>
        </w:rPr>
        <w:t>,</w:t>
      </w:r>
      <w:r w:rsidRPr="00FA3A10">
        <w:rPr>
          <w:color w:val="000000"/>
        </w:rPr>
        <w:t>left ventricular ejection fraction (EF).</w:t>
      </w:r>
    </w:p>
    <w:p w14:paraId="6A476CB3" w14:textId="77777777" w:rsidR="0088597E" w:rsidRPr="004C218C" w:rsidRDefault="0088597E" w:rsidP="0088597E">
      <w:pPr>
        <w:spacing w:before="100" w:beforeAutospacing="1" w:after="100" w:afterAutospacing="1"/>
        <w:rPr>
          <w:color w:val="000000"/>
        </w:rPr>
      </w:pPr>
    </w:p>
    <w:p w14:paraId="5121F4C7" w14:textId="77777777" w:rsidR="0088597E" w:rsidRPr="004C218C" w:rsidRDefault="0088597E" w:rsidP="0088597E">
      <w:pPr>
        <w:rPr>
          <w:rFonts w:eastAsia="Times New Roman"/>
        </w:rPr>
      </w:pPr>
      <w:r>
        <w:rPr>
          <w:rFonts w:eastAsia="Times New Roman"/>
        </w:rPr>
        <w:pict w14:anchorId="3FBCE2D1">
          <v:rect id="_x0000_i1026" style="width:0;height:1.5pt" o:hralign="center" o:hrstd="t" o:hr="t" fillcolor="#f0f0f0" stroked="f"/>
        </w:pict>
      </w:r>
    </w:p>
    <w:p w14:paraId="1EB869C3" w14:textId="77777777" w:rsidR="0088597E" w:rsidRPr="004C218C" w:rsidRDefault="0088597E" w:rsidP="0088597E">
      <w:pPr>
        <w:spacing w:before="100" w:beforeAutospacing="1" w:after="100" w:afterAutospacing="1"/>
        <w:outlineLvl w:val="2"/>
        <w:rPr>
          <w:rFonts w:eastAsia="Times New Roman"/>
          <w:b/>
          <w:bCs/>
          <w:color w:val="000000"/>
          <w:sz w:val="27"/>
          <w:szCs w:val="27"/>
        </w:rPr>
      </w:pPr>
      <w:r w:rsidRPr="004C218C">
        <w:rPr>
          <w:rFonts w:eastAsia="Times New Roman"/>
          <w:b/>
          <w:bCs/>
          <w:color w:val="000000"/>
          <w:sz w:val="27"/>
          <w:szCs w:val="27"/>
        </w:rPr>
        <w:lastRenderedPageBreak/>
        <w:t>Table 3. Comparison of Conventional Two-Dimensional Echocardiographic Parameters</w:t>
      </w:r>
    </w:p>
    <w:tbl>
      <w:tblPr>
        <w:tblStyle w:val="ListTable4-Accent5"/>
        <w:tblW w:w="0" w:type="auto"/>
        <w:tblLook w:val="04A0" w:firstRow="1" w:lastRow="0" w:firstColumn="1" w:lastColumn="0" w:noHBand="0" w:noVBand="1"/>
      </w:tblPr>
      <w:tblGrid>
        <w:gridCol w:w="2963"/>
        <w:gridCol w:w="1983"/>
        <w:gridCol w:w="1983"/>
        <w:gridCol w:w="1116"/>
      </w:tblGrid>
      <w:tr w:rsidR="0088597E" w:rsidRPr="004C218C" w14:paraId="7A907E8E" w14:textId="77777777" w:rsidTr="004D1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  <w:hideMark/>
          </w:tcPr>
          <w:p w14:paraId="23BE0DCC" w14:textId="77777777" w:rsidR="0088597E" w:rsidRPr="004C218C" w:rsidRDefault="0088597E" w:rsidP="004D1CE0">
            <w:pPr>
              <w:jc w:val="center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Parameter</w:t>
            </w:r>
          </w:p>
        </w:tc>
        <w:tc>
          <w:tcPr>
            <w:tcW w:w="0" w:type="auto"/>
            <w:hideMark/>
          </w:tcPr>
          <w:p w14:paraId="4D24082D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Leukemia Group</w:t>
            </w:r>
          </w:p>
        </w:tc>
        <w:tc>
          <w:tcPr>
            <w:tcW w:w="0" w:type="auto"/>
            <w:hideMark/>
          </w:tcPr>
          <w:p w14:paraId="7A5A819B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Healthy Controls</w:t>
            </w:r>
          </w:p>
        </w:tc>
        <w:tc>
          <w:tcPr>
            <w:tcW w:w="0" w:type="auto"/>
            <w:hideMark/>
          </w:tcPr>
          <w:p w14:paraId="7D2B20A6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p value</w:t>
            </w:r>
          </w:p>
        </w:tc>
      </w:tr>
      <w:tr w:rsidR="0088597E" w:rsidRPr="004C218C" w14:paraId="7D68C15B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  <w:hideMark/>
          </w:tcPr>
          <w:p w14:paraId="14541057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LV wall thickness, cm</w:t>
            </w:r>
          </w:p>
        </w:tc>
        <w:tc>
          <w:tcPr>
            <w:tcW w:w="0" w:type="auto"/>
            <w:hideMark/>
          </w:tcPr>
          <w:p w14:paraId="78038BBB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0.50 ± 0.10</w:t>
            </w:r>
          </w:p>
        </w:tc>
        <w:tc>
          <w:tcPr>
            <w:tcW w:w="0" w:type="auto"/>
            <w:hideMark/>
          </w:tcPr>
          <w:p w14:paraId="3B1472A1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0.63 ± 0.13</w:t>
            </w:r>
          </w:p>
        </w:tc>
        <w:tc>
          <w:tcPr>
            <w:tcW w:w="0" w:type="auto"/>
            <w:hideMark/>
          </w:tcPr>
          <w:p w14:paraId="1A7E6155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0.0006</w:t>
            </w:r>
          </w:p>
        </w:tc>
      </w:tr>
      <w:tr w:rsidR="0088597E" w:rsidRPr="004C218C" w14:paraId="4B615E79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  <w:hideMark/>
          </w:tcPr>
          <w:p w14:paraId="36CECB34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LV end-diastolic diameter, cm</w:t>
            </w:r>
          </w:p>
        </w:tc>
        <w:tc>
          <w:tcPr>
            <w:tcW w:w="0" w:type="auto"/>
            <w:hideMark/>
          </w:tcPr>
          <w:p w14:paraId="36564935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3.65 ± 0.45</w:t>
            </w:r>
          </w:p>
        </w:tc>
        <w:tc>
          <w:tcPr>
            <w:tcW w:w="0" w:type="auto"/>
            <w:hideMark/>
          </w:tcPr>
          <w:p w14:paraId="27433C63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3.92 ± 0.42</w:t>
            </w:r>
          </w:p>
        </w:tc>
        <w:tc>
          <w:tcPr>
            <w:tcW w:w="0" w:type="auto"/>
            <w:hideMark/>
          </w:tcPr>
          <w:p w14:paraId="59707C67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0.039</w:t>
            </w:r>
          </w:p>
        </w:tc>
      </w:tr>
      <w:tr w:rsidR="0088597E" w:rsidRPr="004C218C" w14:paraId="1F12809A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  <w:hideMark/>
          </w:tcPr>
          <w:p w14:paraId="717226BD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LV ejection fraction, %</w:t>
            </w:r>
          </w:p>
        </w:tc>
        <w:tc>
          <w:tcPr>
            <w:tcW w:w="0" w:type="auto"/>
            <w:hideMark/>
          </w:tcPr>
          <w:p w14:paraId="4345183F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68.1 ± 3.8</w:t>
            </w:r>
          </w:p>
        </w:tc>
        <w:tc>
          <w:tcPr>
            <w:tcW w:w="0" w:type="auto"/>
            <w:hideMark/>
          </w:tcPr>
          <w:p w14:paraId="4CBFFED4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68.0 ± 4.9</w:t>
            </w:r>
          </w:p>
        </w:tc>
        <w:tc>
          <w:tcPr>
            <w:tcW w:w="0" w:type="auto"/>
            <w:hideMark/>
          </w:tcPr>
          <w:p w14:paraId="7C9FF1F7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0.93</w:t>
            </w:r>
          </w:p>
        </w:tc>
      </w:tr>
      <w:tr w:rsidR="0088597E" w:rsidRPr="004C218C" w14:paraId="6752F32B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24"/>
            </w:tblGrid>
            <w:tr w:rsidR="0088597E" w14:paraId="55C67F3B" w14:textId="77777777" w:rsidTr="004D1CE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DC4EC4" w14:textId="77777777" w:rsidR="0088597E" w:rsidRDefault="0088597E" w:rsidP="004D1CE0">
                  <w:pPr>
                    <w:rPr>
                      <w:rFonts w:eastAsia="Times New Roman"/>
                      <w:color w:val="000000"/>
                    </w:rPr>
                  </w:pPr>
                  <w:r>
                    <w:rPr>
                      <w:rStyle w:val="Strong"/>
                      <w:rFonts w:eastAsia="Times New Roman"/>
                      <w:color w:val="000000"/>
                    </w:rPr>
                    <w:t>IVS thickness, cm</w:t>
                  </w:r>
                </w:p>
              </w:tc>
            </w:tr>
          </w:tbl>
          <w:p w14:paraId="3B0BE5F5" w14:textId="77777777" w:rsidR="0088597E" w:rsidRDefault="0088597E" w:rsidP="004D1CE0">
            <w:pPr>
              <w:rPr>
                <w:rFonts w:eastAsia="Times New Roman"/>
                <w:vanish/>
              </w:rPr>
            </w:pPr>
          </w:p>
          <w:p w14:paraId="5281B494" w14:textId="77777777" w:rsidR="0088597E" w:rsidRPr="004C218C" w:rsidRDefault="0088597E" w:rsidP="004D1CE0">
            <w:pPr>
              <w:rPr>
                <w:rFonts w:eastAsia="Times New Roman"/>
              </w:rPr>
            </w:pPr>
          </w:p>
        </w:tc>
        <w:tc>
          <w:tcPr>
            <w:tcW w:w="0" w:type="auto"/>
          </w:tcPr>
          <w:p w14:paraId="54F98408" w14:textId="77777777" w:rsidR="0088597E" w:rsidRPr="00D20D1D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D20D1D">
              <w:rPr>
                <w:rStyle w:val="Strong"/>
                <w:rFonts w:eastAsia="Times New Roman"/>
                <w:color w:val="000000"/>
              </w:rPr>
              <w:t>0.55 ± 0.08</w:t>
            </w:r>
          </w:p>
        </w:tc>
        <w:tc>
          <w:tcPr>
            <w:tcW w:w="0" w:type="auto"/>
          </w:tcPr>
          <w:p w14:paraId="034B00D3" w14:textId="77777777" w:rsidR="0088597E" w:rsidRPr="00D20D1D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D20D1D">
              <w:rPr>
                <w:rStyle w:val="Strong"/>
                <w:rFonts w:eastAsia="Times New Roman"/>
                <w:color w:val="000000"/>
              </w:rPr>
              <w:t>0.56 ± 0.09</w:t>
            </w:r>
          </w:p>
        </w:tc>
        <w:tc>
          <w:tcPr>
            <w:tcW w:w="0" w:type="auto"/>
          </w:tcPr>
          <w:tbl>
            <w:tblPr>
              <w:tblW w:w="90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0"/>
            </w:tblGrid>
            <w:tr w:rsidR="0088597E" w:rsidRPr="00D20D1D" w14:paraId="030C8FBC" w14:textId="77777777" w:rsidTr="004D1CE0">
              <w:trPr>
                <w:tblCellSpacing w:w="15" w:type="dxa"/>
              </w:trPr>
              <w:tc>
                <w:tcPr>
                  <w:tcW w:w="840" w:type="dxa"/>
                  <w:vAlign w:val="center"/>
                  <w:hideMark/>
                </w:tcPr>
                <w:p w14:paraId="6F6B50ED" w14:textId="77777777" w:rsidR="0088597E" w:rsidRPr="00D20D1D" w:rsidRDefault="0088597E" w:rsidP="004D1CE0">
                  <w:pPr>
                    <w:rPr>
                      <w:rFonts w:eastAsia="Times New Roman"/>
                      <w:color w:val="000000"/>
                    </w:rPr>
                  </w:pPr>
                  <w:r w:rsidRPr="00D20D1D">
                    <w:rPr>
                      <w:rStyle w:val="Strong"/>
                      <w:rFonts w:eastAsia="Times New Roman"/>
                      <w:color w:val="000000"/>
                    </w:rPr>
                    <w:t>0.72</w:t>
                  </w:r>
                </w:p>
              </w:tc>
            </w:tr>
          </w:tbl>
          <w:p w14:paraId="13F2DE9D" w14:textId="77777777" w:rsidR="0088597E" w:rsidRPr="00D20D1D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88597E" w:rsidRPr="004C218C" w14:paraId="0AA2A608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</w:tcPr>
          <w:p w14:paraId="7447AA0F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LV end-</w:t>
            </w:r>
            <w:r>
              <w:rPr>
                <w:rFonts w:eastAsia="Times New Roman"/>
              </w:rPr>
              <w:t>sis</w:t>
            </w:r>
            <w:r w:rsidRPr="004C218C">
              <w:rPr>
                <w:rFonts w:eastAsia="Times New Roman"/>
              </w:rPr>
              <w:t>tolic diameter, cm</w:t>
            </w:r>
          </w:p>
        </w:tc>
        <w:tc>
          <w:tcPr>
            <w:tcW w:w="0" w:type="auto"/>
          </w:tcPr>
          <w:p w14:paraId="7C5401CC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2.30</w:t>
            </w:r>
            <w:r w:rsidRPr="004C218C">
              <w:rPr>
                <w:rFonts w:eastAsia="Times New Roman"/>
              </w:rPr>
              <w:t xml:space="preserve"> ±</w:t>
            </w:r>
            <w:r>
              <w:rPr>
                <w:rFonts w:eastAsia="Times New Roman"/>
              </w:rPr>
              <w:t xml:space="preserve"> 0.35</w:t>
            </w:r>
          </w:p>
        </w:tc>
        <w:tc>
          <w:tcPr>
            <w:tcW w:w="0" w:type="auto"/>
          </w:tcPr>
          <w:p w14:paraId="3DD5F528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2.42</w:t>
            </w:r>
            <w:r w:rsidRPr="004C218C">
              <w:rPr>
                <w:rFonts w:eastAsia="Times New Roman"/>
              </w:rPr>
              <w:t xml:space="preserve"> ± </w:t>
            </w:r>
            <w:r>
              <w:rPr>
                <w:rFonts w:eastAsia="Times New Roman"/>
              </w:rPr>
              <w:t>0.33</w:t>
            </w:r>
          </w:p>
        </w:tc>
        <w:tc>
          <w:tcPr>
            <w:tcW w:w="0" w:type="auto"/>
          </w:tcPr>
          <w:p w14:paraId="542AD7B9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0.18</w:t>
            </w:r>
          </w:p>
        </w:tc>
      </w:tr>
      <w:tr w:rsidR="0088597E" w:rsidRPr="004C218C" w14:paraId="4331EF20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3" w:type="dxa"/>
          </w:tcPr>
          <w:p w14:paraId="1CC841DF" w14:textId="77777777" w:rsidR="0088597E" w:rsidRPr="004C218C" w:rsidRDefault="0088597E" w:rsidP="004D1CE0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Fractional shortening (KF),%</w:t>
            </w:r>
          </w:p>
        </w:tc>
        <w:tc>
          <w:tcPr>
            <w:tcW w:w="0" w:type="auto"/>
          </w:tcPr>
          <w:p w14:paraId="4993CDFF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35.8</w:t>
            </w:r>
            <w:r w:rsidRPr="004C218C">
              <w:rPr>
                <w:rFonts w:eastAsia="Times New Roman"/>
              </w:rPr>
              <w:t xml:space="preserve"> ± </w:t>
            </w:r>
            <w:r>
              <w:rPr>
                <w:rFonts w:eastAsia="Times New Roman"/>
              </w:rPr>
              <w:t xml:space="preserve">4.5    </w:t>
            </w:r>
          </w:p>
        </w:tc>
        <w:tc>
          <w:tcPr>
            <w:tcW w:w="0" w:type="auto"/>
          </w:tcPr>
          <w:p w14:paraId="46527C23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36.2</w:t>
            </w:r>
            <w:r w:rsidRPr="004C218C">
              <w:rPr>
                <w:rFonts w:eastAsia="Times New Roman"/>
              </w:rPr>
              <w:t xml:space="preserve"> ±</w:t>
            </w:r>
            <w:r>
              <w:rPr>
                <w:rFonts w:eastAsia="Times New Roman"/>
              </w:rPr>
              <w:t xml:space="preserve"> 4.1</w:t>
            </w:r>
          </w:p>
        </w:tc>
        <w:tc>
          <w:tcPr>
            <w:tcW w:w="0" w:type="auto"/>
          </w:tcPr>
          <w:p w14:paraId="65713603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0.81</w:t>
            </w:r>
          </w:p>
        </w:tc>
      </w:tr>
    </w:tbl>
    <w:p w14:paraId="6DAF76E3" w14:textId="77777777" w:rsidR="0088597E" w:rsidRDefault="0088597E" w:rsidP="0088597E">
      <w:pPr>
        <w:spacing w:before="100" w:beforeAutospacing="1" w:after="100" w:afterAutospacing="1"/>
        <w:rPr>
          <w:color w:val="000000"/>
        </w:rPr>
      </w:pPr>
      <w:r w:rsidRPr="004C218C">
        <w:rPr>
          <w:b/>
          <w:bCs/>
          <w:color w:val="000000"/>
        </w:rPr>
        <w:t>Abbreviations:</w:t>
      </w:r>
      <w:r w:rsidRPr="004C218C">
        <w:rPr>
          <w:color w:val="000000"/>
        </w:rPr>
        <w:t> LV, left ventricle.</w:t>
      </w:r>
      <w:r w:rsidRPr="004C218C">
        <w:rPr>
          <w:color w:val="000000"/>
        </w:rPr>
        <w:br/>
      </w:r>
      <w:r w:rsidRPr="004C218C">
        <w:rPr>
          <w:b/>
          <w:bCs/>
          <w:color w:val="000000"/>
        </w:rPr>
        <w:t>Values are presented as</w:t>
      </w:r>
      <w:r w:rsidRPr="004C218C">
        <w:rPr>
          <w:color w:val="000000"/>
        </w:rPr>
        <w:t> mean ± SD.</w:t>
      </w:r>
    </w:p>
    <w:p w14:paraId="7F70E19D" w14:textId="77777777" w:rsidR="0088597E" w:rsidRPr="00FA3A10" w:rsidRDefault="0088597E" w:rsidP="0088597E">
      <w:pPr>
        <w:spacing w:before="100" w:beforeAutospacing="1" w:after="100" w:afterAutospacing="1"/>
        <w:rPr>
          <w:color w:val="000000"/>
        </w:rPr>
      </w:pPr>
      <w:r w:rsidRPr="00FA3A10">
        <w:rPr>
          <w:b/>
          <w:bCs/>
          <w:color w:val="000000"/>
        </w:rPr>
        <w:t>Table 3</w:t>
      </w:r>
      <w:r w:rsidRPr="00FA3A10">
        <w:rPr>
          <w:color w:val="000000"/>
        </w:rPr>
        <w:t xml:space="preserve"> </w:t>
      </w:r>
      <w:r w:rsidRPr="00FC246F">
        <w:rPr>
          <w:color w:val="000000"/>
        </w:rPr>
        <w:t>summarizes conventional echocardiographic measurements in the study groups. While left ventricular wall thickness and end-diastolic diameter were reduced in the leukemia group, interventricular septal thickness, ejection fraction, and fractional shortening were similar between groups, indicating preserved systolic function.</w:t>
      </w:r>
    </w:p>
    <w:p w14:paraId="288C4DAE" w14:textId="77777777" w:rsidR="0088597E" w:rsidRPr="004C218C" w:rsidRDefault="0088597E" w:rsidP="0088597E">
      <w:pPr>
        <w:rPr>
          <w:rFonts w:eastAsia="Times New Roman"/>
        </w:rPr>
      </w:pPr>
    </w:p>
    <w:p w14:paraId="298CD99D" w14:textId="77777777" w:rsidR="0088597E" w:rsidRPr="004C218C" w:rsidRDefault="0088597E" w:rsidP="0088597E">
      <w:pPr>
        <w:spacing w:before="100" w:beforeAutospacing="1" w:after="100" w:afterAutospacing="1"/>
        <w:outlineLvl w:val="2"/>
        <w:rPr>
          <w:rFonts w:eastAsia="Times New Roman"/>
          <w:b/>
          <w:bCs/>
          <w:color w:val="000000"/>
          <w:sz w:val="27"/>
          <w:szCs w:val="27"/>
        </w:rPr>
      </w:pPr>
      <w:r>
        <w:rPr>
          <w:rFonts w:eastAsia="Times New Roman"/>
          <w:b/>
          <w:bCs/>
          <w:color w:val="000000"/>
          <w:sz w:val="27"/>
          <w:szCs w:val="27"/>
        </w:rPr>
        <w:t>Table 4</w:t>
      </w:r>
      <w:r w:rsidRPr="004C218C">
        <w:rPr>
          <w:rFonts w:eastAsia="Times New Roman"/>
          <w:b/>
          <w:bCs/>
          <w:color w:val="000000"/>
          <w:sz w:val="27"/>
          <w:szCs w:val="27"/>
        </w:rPr>
        <w:t>. Correlation Between Follow-up Duration and Myocardial Deformation Parameters</w:t>
      </w:r>
    </w:p>
    <w:tbl>
      <w:tblPr>
        <w:tblStyle w:val="ListTable4-Accent5"/>
        <w:tblW w:w="0" w:type="auto"/>
        <w:tblLook w:val="04A0" w:firstRow="1" w:lastRow="0" w:firstColumn="1" w:lastColumn="0" w:noHBand="0" w:noVBand="1"/>
      </w:tblPr>
      <w:tblGrid>
        <w:gridCol w:w="2443"/>
        <w:gridCol w:w="2855"/>
      </w:tblGrid>
      <w:tr w:rsidR="0088597E" w:rsidRPr="004C218C" w14:paraId="4EE2E032" w14:textId="77777777" w:rsidTr="004D1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8527DD" w14:textId="77777777" w:rsidR="0088597E" w:rsidRPr="004C218C" w:rsidRDefault="0088597E" w:rsidP="004D1CE0">
            <w:pPr>
              <w:jc w:val="center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Parameter</w:t>
            </w:r>
          </w:p>
        </w:tc>
        <w:tc>
          <w:tcPr>
            <w:tcW w:w="0" w:type="auto"/>
            <w:hideMark/>
          </w:tcPr>
          <w:p w14:paraId="5E571C3B" w14:textId="77777777" w:rsidR="0088597E" w:rsidRPr="004C218C" w:rsidRDefault="0088597E" w:rsidP="004D1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Correlation coefficient (r)</w:t>
            </w:r>
          </w:p>
        </w:tc>
      </w:tr>
      <w:tr w:rsidR="0088597E" w:rsidRPr="004C218C" w14:paraId="46CC75E0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BFB30E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LA reservoir strain</w:t>
            </w:r>
          </w:p>
        </w:tc>
        <w:tc>
          <w:tcPr>
            <w:tcW w:w="0" w:type="auto"/>
            <w:hideMark/>
          </w:tcPr>
          <w:p w14:paraId="05451893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</w:t>
            </w:r>
            <w:r w:rsidRPr="004C218C">
              <w:rPr>
                <w:rFonts w:eastAsia="Times New Roman"/>
              </w:rPr>
              <w:t>0.02</w:t>
            </w:r>
          </w:p>
        </w:tc>
      </w:tr>
      <w:tr w:rsidR="0088597E" w:rsidRPr="004C218C" w14:paraId="314ACA1B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D2EE3D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LA conduit strain</w:t>
            </w:r>
          </w:p>
        </w:tc>
        <w:tc>
          <w:tcPr>
            <w:tcW w:w="0" w:type="auto"/>
            <w:hideMark/>
          </w:tcPr>
          <w:p w14:paraId="330A6829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</w:t>
            </w:r>
            <w:r w:rsidRPr="004C218C">
              <w:rPr>
                <w:rFonts w:eastAsia="Times New Roman"/>
              </w:rPr>
              <w:t>0.20</w:t>
            </w:r>
          </w:p>
        </w:tc>
      </w:tr>
      <w:tr w:rsidR="0088597E" w:rsidRPr="004C218C" w14:paraId="69441665" w14:textId="77777777" w:rsidTr="004D1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384627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LA contraction strain</w:t>
            </w:r>
          </w:p>
        </w:tc>
        <w:tc>
          <w:tcPr>
            <w:tcW w:w="0" w:type="auto"/>
            <w:hideMark/>
          </w:tcPr>
          <w:p w14:paraId="12E7FF91" w14:textId="77777777" w:rsidR="0088597E" w:rsidRPr="004C218C" w:rsidRDefault="0088597E" w:rsidP="004D1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−0.19</w:t>
            </w:r>
          </w:p>
        </w:tc>
      </w:tr>
      <w:tr w:rsidR="0088597E" w:rsidRPr="004C218C" w14:paraId="6FEAF7A1" w14:textId="77777777" w:rsidTr="004D1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1C0DC9" w14:textId="77777777" w:rsidR="0088597E" w:rsidRPr="004C218C" w:rsidRDefault="0088597E" w:rsidP="004D1CE0">
            <w:pPr>
              <w:rPr>
                <w:rFonts w:eastAsia="Times New Roman"/>
              </w:rPr>
            </w:pPr>
            <w:r w:rsidRPr="004C218C">
              <w:rPr>
                <w:rFonts w:eastAsia="Times New Roman"/>
              </w:rPr>
              <w:t>LV GLS</w:t>
            </w:r>
          </w:p>
        </w:tc>
        <w:tc>
          <w:tcPr>
            <w:tcW w:w="0" w:type="auto"/>
            <w:hideMark/>
          </w:tcPr>
          <w:p w14:paraId="7349C3D7" w14:textId="77777777" w:rsidR="0088597E" w:rsidRPr="004C218C" w:rsidRDefault="0088597E" w:rsidP="004D1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</w:t>
            </w:r>
            <w:r w:rsidRPr="004C218C">
              <w:rPr>
                <w:rFonts w:eastAsia="Times New Roman"/>
              </w:rPr>
              <w:t>0.04</w:t>
            </w:r>
          </w:p>
        </w:tc>
      </w:tr>
    </w:tbl>
    <w:p w14:paraId="242AC451" w14:textId="77777777" w:rsidR="0088597E" w:rsidRDefault="0088597E" w:rsidP="0088597E"/>
    <w:p w14:paraId="17BA0F66" w14:textId="77777777" w:rsidR="0088597E" w:rsidRDefault="0088597E" w:rsidP="0088597E"/>
    <w:p w14:paraId="57ED89D4" w14:textId="77777777" w:rsidR="0088597E" w:rsidRDefault="0088597E" w:rsidP="0088597E">
      <w:pPr>
        <w:rPr>
          <w:rFonts w:eastAsia="Times New Roman"/>
          <w:color w:val="000000"/>
        </w:rPr>
      </w:pPr>
      <w:r w:rsidRPr="00FA3A10">
        <w:rPr>
          <w:b/>
          <w:bCs/>
          <w:color w:val="000000"/>
        </w:rPr>
        <w:t xml:space="preserve">Table </w:t>
      </w:r>
      <w:r>
        <w:rPr>
          <w:b/>
          <w:bCs/>
          <w:color w:val="000000"/>
        </w:rPr>
        <w:t xml:space="preserve">4 </w:t>
      </w:r>
      <w:r w:rsidRPr="00C025F5">
        <w:rPr>
          <w:rFonts w:eastAsia="Times New Roman"/>
          <w:color w:val="000000"/>
        </w:rPr>
        <w:t>No statistically significant correlations were observed between follow-up duration and left atrial strain components or left ventricular global longitudinal strain.</w:t>
      </w:r>
    </w:p>
    <w:p w14:paraId="4ECD78AF" w14:textId="77777777" w:rsidR="0088597E" w:rsidRDefault="0088597E" w:rsidP="0088597E">
      <w:pPr>
        <w:rPr>
          <w:rFonts w:eastAsia="Times New Roman"/>
          <w:color w:val="000000"/>
        </w:rPr>
      </w:pPr>
    </w:p>
    <w:p w14:paraId="3B9BB647" w14:textId="77777777" w:rsidR="0088597E" w:rsidRDefault="0088597E" w:rsidP="0088597E">
      <w:pPr>
        <w:rPr>
          <w:b/>
        </w:rPr>
      </w:pPr>
    </w:p>
    <w:p w14:paraId="5FACA06D" w14:textId="77777777" w:rsidR="0088597E" w:rsidRDefault="0088597E" w:rsidP="0088597E">
      <w:pPr>
        <w:rPr>
          <w:b/>
        </w:rPr>
      </w:pPr>
    </w:p>
    <w:p w14:paraId="7C935F3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97E"/>
    <w:rsid w:val="000C4033"/>
    <w:rsid w:val="004B42CB"/>
    <w:rsid w:val="006E1731"/>
    <w:rsid w:val="0088597E"/>
    <w:rsid w:val="00B260B7"/>
    <w:rsid w:val="00B85331"/>
    <w:rsid w:val="00B90266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D38CE"/>
  <w15:chartTrackingRefBased/>
  <w15:docId w15:val="{DB7E0939-DDA7-41F3-8F5C-8740B02AB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97E"/>
    <w:pPr>
      <w:spacing w:after="0" w:line="240" w:lineRule="auto"/>
    </w:pPr>
    <w:rPr>
      <w:rFonts w:ascii="Times New Roman" w:hAnsi="Times New Roman" w:cs="Times New Roman"/>
      <w:kern w:val="0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597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597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97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97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97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97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97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97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97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9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59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9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9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9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9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9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9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9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9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59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97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59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97E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59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97E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59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9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9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97E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8597E"/>
    <w:rPr>
      <w:b/>
      <w:bCs/>
    </w:rPr>
  </w:style>
  <w:style w:type="table" w:styleId="ListTable4-Accent5">
    <w:name w:val="List Table 4 Accent 5"/>
    <w:basedOn w:val="TableNormal"/>
    <w:uiPriority w:val="49"/>
    <w:rsid w:val="0088597E"/>
    <w:pPr>
      <w:spacing w:after="0" w:line="240" w:lineRule="auto"/>
    </w:pPr>
    <w:rPr>
      <w:kern w:val="0"/>
      <w:lang w:val="tr-TR"/>
      <w14:ligatures w14:val="none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2457</Characters>
  <Application>Microsoft Office Word</Application>
  <DocSecurity>0</DocSecurity>
  <Lines>54</Lines>
  <Paragraphs>20</Paragraphs>
  <ScaleCrop>false</ScaleCrop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2026-02-24T18:25:00Z</dcterms:created>
  <dcterms:modified xsi:type="dcterms:W3CDTF">2026-02-24T18:25:00Z</dcterms:modified>
</cp:coreProperties>
</file>