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F047C" w:rsidRPr="00C31A1E" w:rsidRDefault="00EF047C" w:rsidP="009C0D37">
      <w:pPr>
        <w:jc w:val="center"/>
        <w:rPr>
          <w:rFonts w:ascii="Times New Roman" w:hAnsi="Times New Roman" w:cs="Times New Roman"/>
          <w:b/>
          <w:bCs/>
          <w:sz w:val="28"/>
          <w:szCs w:val="28"/>
        </w:rPr>
      </w:pPr>
      <w:bookmarkStart w:id="0" w:name="OLE_LINK27"/>
      <w:r w:rsidRPr="00C31A1E">
        <w:rPr>
          <w:rFonts w:ascii="Times New Roman" w:hAnsi="Times New Roman" w:cs="Times New Roman"/>
          <w:b/>
          <w:bCs/>
          <w:sz w:val="28"/>
          <w:szCs w:val="28"/>
        </w:rPr>
        <w:t>Supplementary Appendix</w:t>
      </w:r>
    </w:p>
    <w:p w:rsidR="006E2C89" w:rsidRPr="00C31A1E" w:rsidRDefault="00C20480" w:rsidP="00D44BCB">
      <w:pPr>
        <w:rPr>
          <w:rFonts w:ascii="Times New Roman" w:hAnsi="Times New Roman" w:cs="Times New Roman"/>
          <w:b/>
          <w:bCs/>
        </w:rPr>
      </w:pPr>
      <w:bookmarkStart w:id="1" w:name="OLE_LINK20"/>
      <w:bookmarkEnd w:id="0"/>
      <w:r w:rsidRPr="00C31A1E">
        <w:rPr>
          <w:rFonts w:ascii="Times New Roman" w:hAnsi="Times New Roman" w:cs="Times New Roman"/>
          <w:b/>
          <w:bCs/>
        </w:rPr>
        <w:t>1.</w:t>
      </w:r>
      <w:r w:rsidR="006E2C89" w:rsidRPr="00C31A1E">
        <w:rPr>
          <w:rFonts w:ascii="Times New Roman" w:hAnsi="Times New Roman" w:cs="Times New Roman"/>
          <w:b/>
          <w:bCs/>
        </w:rPr>
        <w:t>Supplementary Statistical Methods</w:t>
      </w:r>
    </w:p>
    <w:p w:rsidR="00B15B1C" w:rsidRPr="00C31A1E" w:rsidRDefault="00B15B1C" w:rsidP="00B15B1C">
      <w:pPr>
        <w:rPr>
          <w:rFonts w:ascii="Times New Roman" w:hAnsi="Times New Roman" w:cs="Times New Roman"/>
        </w:rPr>
      </w:pPr>
      <w:r w:rsidRPr="00C31A1E">
        <w:rPr>
          <w:rFonts w:ascii="Times New Roman" w:hAnsi="Times New Roman" w:cs="Times New Roman"/>
        </w:rPr>
        <w:t>Additional methodological details are provided to support model validity and reproducibility.</w:t>
      </w:r>
    </w:p>
    <w:p w:rsidR="006E2C89" w:rsidRPr="00C31A1E" w:rsidRDefault="006E2C89" w:rsidP="00D44BCB">
      <w:pPr>
        <w:rPr>
          <w:rFonts w:ascii="Times New Roman" w:hAnsi="Times New Roman" w:cs="Times New Roman"/>
          <w:b/>
          <w:bCs/>
        </w:rPr>
      </w:pPr>
    </w:p>
    <w:p w:rsidR="00EF047C" w:rsidRPr="00C31A1E" w:rsidRDefault="00C20480" w:rsidP="00D44BCB">
      <w:pPr>
        <w:rPr>
          <w:rFonts w:ascii="Times New Roman" w:hAnsi="Times New Roman" w:cs="Times New Roman"/>
        </w:rPr>
      </w:pPr>
      <w:r w:rsidRPr="00C31A1E">
        <w:rPr>
          <w:rFonts w:ascii="Times New Roman" w:hAnsi="Times New Roman" w:cs="Times New Roman"/>
          <w:b/>
          <w:bCs/>
        </w:rPr>
        <w:t>2.</w:t>
      </w:r>
      <w:r w:rsidR="00EF047C" w:rsidRPr="00C31A1E">
        <w:rPr>
          <w:rFonts w:ascii="Times New Roman" w:hAnsi="Times New Roman" w:cs="Times New Roman"/>
          <w:b/>
          <w:bCs/>
        </w:rPr>
        <w:t>Supplementary Tables</w:t>
      </w:r>
    </w:p>
    <w:p w:rsidR="0063015A" w:rsidRPr="00C31A1E" w:rsidRDefault="0063015A" w:rsidP="00D44BCB">
      <w:pPr>
        <w:ind w:leftChars="202" w:left="424"/>
        <w:rPr>
          <w:rFonts w:ascii="Times New Roman" w:hAnsi="Times New Roman" w:cs="Times New Roman"/>
        </w:rPr>
      </w:pPr>
      <w:r w:rsidRPr="00C31A1E">
        <w:rPr>
          <w:rFonts w:ascii="Times New Roman" w:hAnsi="Times New Roman" w:cs="Times New Roman"/>
        </w:rPr>
        <w:t>• Table S1. Extended baseline laboratory and metabolic variables by collateral group (0-1, 2, 3-4)</w:t>
      </w:r>
    </w:p>
    <w:p w:rsidR="0063015A" w:rsidRPr="00C31A1E" w:rsidRDefault="0063015A" w:rsidP="00D44BCB">
      <w:pPr>
        <w:ind w:leftChars="202" w:left="424"/>
        <w:rPr>
          <w:rFonts w:ascii="Times New Roman" w:hAnsi="Times New Roman" w:cs="Times New Roman"/>
        </w:rPr>
      </w:pPr>
      <w:r w:rsidRPr="00C31A1E">
        <w:rPr>
          <w:rFonts w:ascii="Times New Roman" w:hAnsi="Times New Roman" w:cs="Times New Roman"/>
        </w:rPr>
        <w:t>• Table S2. Full multivariable model coefficients for primary outcome (90-day mRS shift): overall cohort (N=196)</w:t>
      </w:r>
    </w:p>
    <w:p w:rsidR="0063015A" w:rsidRPr="00C31A1E" w:rsidRDefault="0063015A" w:rsidP="00D44BCB">
      <w:pPr>
        <w:ind w:leftChars="202" w:left="424"/>
        <w:rPr>
          <w:rFonts w:ascii="Times New Roman" w:hAnsi="Times New Roman" w:cs="Times New Roman"/>
        </w:rPr>
      </w:pPr>
      <w:r w:rsidRPr="00C31A1E">
        <w:rPr>
          <w:rFonts w:ascii="Times New Roman" w:hAnsi="Times New Roman" w:cs="Times New Roman"/>
        </w:rPr>
        <w:t>• Table S3. Full multivariable model coefficients for primary outcome (90-day mRS shift): EVT subgroup (N=116)</w:t>
      </w:r>
    </w:p>
    <w:p w:rsidR="0063015A" w:rsidRPr="00C31A1E" w:rsidRDefault="0063015A" w:rsidP="00D44BCB">
      <w:pPr>
        <w:ind w:leftChars="202" w:left="424"/>
        <w:rPr>
          <w:rFonts w:ascii="Times New Roman" w:hAnsi="Times New Roman" w:cs="Times New Roman"/>
        </w:rPr>
      </w:pPr>
      <w:r w:rsidRPr="00C31A1E">
        <w:rPr>
          <w:rFonts w:ascii="Times New Roman" w:hAnsi="Times New Roman" w:cs="Times New Roman"/>
        </w:rPr>
        <w:t>• Table S4. Sensitivity analysis for parenchymal hematoma (PH): three-category collateral (0-1, 2, 3-4), Firth logistic regression: overall cohort (N=196)</w:t>
      </w:r>
    </w:p>
    <w:p w:rsidR="0063015A" w:rsidRPr="00C31A1E" w:rsidRDefault="0063015A" w:rsidP="00D44BCB">
      <w:pPr>
        <w:ind w:leftChars="202" w:left="424"/>
        <w:rPr>
          <w:rFonts w:ascii="Times New Roman" w:hAnsi="Times New Roman" w:cs="Times New Roman"/>
        </w:rPr>
      </w:pPr>
      <w:r w:rsidRPr="00C31A1E">
        <w:rPr>
          <w:rFonts w:ascii="Times New Roman" w:hAnsi="Times New Roman" w:cs="Times New Roman"/>
        </w:rPr>
        <w:t>• Table S5. Sensitivity analysis for parenchymal hematoma (PH): three-category collateral (0-1, 2, 3-4), Firth logistic regression: EVT subgroup (N=116)</w:t>
      </w:r>
    </w:p>
    <w:p w:rsidR="0063015A" w:rsidRPr="00C31A1E" w:rsidRDefault="0063015A" w:rsidP="00D44BCB">
      <w:pPr>
        <w:ind w:leftChars="202" w:left="424"/>
        <w:rPr>
          <w:rFonts w:ascii="Times New Roman" w:hAnsi="Times New Roman" w:cs="Times New Roman"/>
        </w:rPr>
      </w:pPr>
      <w:r w:rsidRPr="00C31A1E">
        <w:rPr>
          <w:rFonts w:ascii="Times New Roman" w:hAnsi="Times New Roman" w:cs="Times New Roman"/>
        </w:rPr>
        <w:t>• Table S6. Sensitivity analysis using collateral score as a continuous variable (per 1-point increase): 90-day mRS shift and parenchymal hematoma (PH) in overall and EVT cohorts</w:t>
      </w:r>
    </w:p>
    <w:p w:rsidR="0063015A" w:rsidRPr="00C31A1E" w:rsidRDefault="0063015A" w:rsidP="00D44BCB">
      <w:pPr>
        <w:ind w:leftChars="202" w:left="424"/>
        <w:rPr>
          <w:rFonts w:ascii="Times New Roman" w:hAnsi="Times New Roman" w:cs="Times New Roman"/>
        </w:rPr>
      </w:pPr>
      <w:r w:rsidRPr="00C31A1E">
        <w:rPr>
          <w:rFonts w:ascii="Times New Roman" w:hAnsi="Times New Roman" w:cs="Times New Roman"/>
        </w:rPr>
        <w:t>• Table S7. Covariate balance before and after inverse probability of treatment weighting (IPTW)</w:t>
      </w:r>
    </w:p>
    <w:p w:rsidR="0063015A" w:rsidRPr="00C31A1E" w:rsidRDefault="0063015A" w:rsidP="00D44BCB">
      <w:pPr>
        <w:ind w:leftChars="202" w:left="424"/>
        <w:rPr>
          <w:rFonts w:ascii="Times New Roman" w:hAnsi="Times New Roman" w:cs="Times New Roman"/>
        </w:rPr>
      </w:pPr>
      <w:r w:rsidRPr="00C31A1E">
        <w:rPr>
          <w:rFonts w:ascii="Times New Roman" w:hAnsi="Times New Roman" w:cs="Times New Roman"/>
        </w:rPr>
        <w:t>• Table S8. Association of endovascular thrombectomy (EVT) with outcomes: unadjusted, IPTW-weighted, and doubly robust analyses</w:t>
      </w:r>
    </w:p>
    <w:p w:rsidR="00210122" w:rsidRPr="00C31A1E" w:rsidRDefault="007C0550" w:rsidP="00D44BCB">
      <w:pPr>
        <w:ind w:leftChars="202" w:left="424"/>
        <w:rPr>
          <w:rFonts w:ascii="Times New Roman" w:hAnsi="Times New Roman" w:cs="Times New Roman"/>
        </w:rPr>
      </w:pPr>
      <w:r w:rsidRPr="00C31A1E">
        <w:rPr>
          <w:rFonts w:ascii="Times New Roman" w:hAnsi="Times New Roman" w:cs="Times New Roman"/>
        </w:rPr>
        <w:t>• Table S9. Global test for collateral-by-endovascular thrombectomy (EVT) interaction on 90-day mRS shift (proportional odds model)</w:t>
      </w:r>
      <w:r w:rsidRPr="00C31A1E">
        <w:rPr>
          <w:rFonts w:ascii="Times New Roman" w:hAnsi="Times New Roman" w:cs="Times New Roman"/>
        </w:rPr>
        <w:br/>
        <w:t>• Table S10. Inter-rater reliability for 4D-CTA collateral grading (0-4)</w:t>
      </w:r>
    </w:p>
    <w:p w:rsidR="0063015A" w:rsidRPr="00C31A1E" w:rsidRDefault="0063015A" w:rsidP="00D44BCB">
      <w:pPr>
        <w:ind w:left="360"/>
        <w:rPr>
          <w:rFonts w:ascii="Times New Roman" w:hAnsi="Times New Roman" w:cs="Times New Roman"/>
        </w:rPr>
      </w:pPr>
    </w:p>
    <w:p w:rsidR="0063015A" w:rsidRPr="00C31A1E" w:rsidRDefault="00C20480" w:rsidP="00D44BCB">
      <w:pPr>
        <w:rPr>
          <w:rFonts w:ascii="Times New Roman" w:hAnsi="Times New Roman" w:cs="Times New Roman"/>
          <w:b/>
          <w:bCs/>
        </w:rPr>
      </w:pPr>
      <w:r w:rsidRPr="00C31A1E">
        <w:rPr>
          <w:rFonts w:ascii="Times New Roman" w:hAnsi="Times New Roman" w:cs="Times New Roman"/>
          <w:b/>
          <w:bCs/>
        </w:rPr>
        <w:t>3.</w:t>
      </w:r>
      <w:r w:rsidR="0063015A" w:rsidRPr="00C31A1E">
        <w:rPr>
          <w:rFonts w:ascii="Times New Roman" w:hAnsi="Times New Roman" w:cs="Times New Roman"/>
          <w:b/>
          <w:bCs/>
        </w:rPr>
        <w:t>Supplementary Figure</w:t>
      </w:r>
    </w:p>
    <w:p w:rsidR="0063015A" w:rsidRPr="00C31A1E" w:rsidRDefault="0063015A" w:rsidP="00D44BCB">
      <w:pPr>
        <w:ind w:leftChars="203" w:left="426"/>
        <w:rPr>
          <w:rFonts w:ascii="Times New Roman" w:hAnsi="Times New Roman" w:cs="Times New Roman"/>
        </w:rPr>
      </w:pPr>
      <w:r w:rsidRPr="00C31A1E">
        <w:rPr>
          <w:rFonts w:ascii="Times New Roman" w:hAnsi="Times New Roman" w:cs="Times New Roman"/>
        </w:rPr>
        <w:t>• Figure S1. Receiver operating characteristic (ROC) curves for predicting favorable 90-day functional outcome (</w:t>
      </w:r>
      <w:proofErr w:type="spellStart"/>
      <w:r w:rsidRPr="00C31A1E">
        <w:rPr>
          <w:rFonts w:ascii="Times New Roman" w:hAnsi="Times New Roman" w:cs="Times New Roman"/>
        </w:rPr>
        <w:t>mRS</w:t>
      </w:r>
      <w:proofErr w:type="spellEnd"/>
      <w:r w:rsidRPr="00C31A1E">
        <w:rPr>
          <w:rFonts w:ascii="Times New Roman" w:hAnsi="Times New Roman" w:cs="Times New Roman"/>
        </w:rPr>
        <w:t xml:space="preserve"> 0–2) using the clinical model alone and the clinical-plus-collateral model</w:t>
      </w:r>
    </w:p>
    <w:bookmarkEnd w:id="1"/>
    <w:p w:rsidR="00266346" w:rsidRPr="00C31A1E" w:rsidRDefault="00266346">
      <w:pPr>
        <w:widowControl/>
        <w:jc w:val="left"/>
        <w:rPr>
          <w:rFonts w:ascii="Times New Roman" w:hAnsi="Times New Roman" w:cs="Times New Roman"/>
          <w:i/>
          <w:iCs/>
        </w:rPr>
      </w:pPr>
      <w:r w:rsidRPr="00C31A1E">
        <w:rPr>
          <w:rFonts w:ascii="Times New Roman" w:hAnsi="Times New Roman" w:cs="Times New Roman"/>
          <w:i/>
          <w:iCs/>
        </w:rPr>
        <w:br w:type="page"/>
      </w:r>
    </w:p>
    <w:p w:rsidR="00CB206B" w:rsidRPr="00C31A1E" w:rsidRDefault="00CB206B" w:rsidP="00CB206B">
      <w:pPr>
        <w:rPr>
          <w:rFonts w:ascii="Times New Roman" w:hAnsi="Times New Roman" w:cs="Times New Roman"/>
          <w:b/>
          <w:bCs/>
        </w:rPr>
      </w:pPr>
      <w:bookmarkStart w:id="2" w:name="OLE_LINK26"/>
      <w:r w:rsidRPr="00C31A1E">
        <w:rPr>
          <w:rFonts w:ascii="Times New Roman" w:hAnsi="Times New Roman" w:cs="Times New Roman"/>
          <w:b/>
          <w:bCs/>
        </w:rPr>
        <w:lastRenderedPageBreak/>
        <w:t>Supplementary Statistical Methods</w:t>
      </w:r>
    </w:p>
    <w:bookmarkEnd w:id="2"/>
    <w:p w:rsidR="005F3CB8" w:rsidRPr="00C31A1E" w:rsidRDefault="005F3CB8" w:rsidP="00CB206B">
      <w:pPr>
        <w:rPr>
          <w:rFonts w:ascii="Times New Roman" w:hAnsi="Times New Roman" w:cs="Times New Roman"/>
          <w:b/>
          <w:bCs/>
        </w:rPr>
      </w:pPr>
    </w:p>
    <w:p w:rsidR="00DD4390" w:rsidRPr="00C31A1E" w:rsidRDefault="00DD4390" w:rsidP="00CB206B">
      <w:pPr>
        <w:rPr>
          <w:rFonts w:ascii="Times New Roman" w:hAnsi="Times New Roman" w:cs="Times New Roman"/>
        </w:rPr>
      </w:pPr>
      <w:r w:rsidRPr="00C31A1E">
        <w:rPr>
          <w:rFonts w:ascii="Times New Roman" w:hAnsi="Times New Roman" w:cs="Times New Roman"/>
        </w:rPr>
        <w:t>Additional methodological details are provided to support model validity and reproducibility.</w:t>
      </w:r>
    </w:p>
    <w:p w:rsidR="00CB206B" w:rsidRPr="00C31A1E" w:rsidRDefault="00CB206B" w:rsidP="00CB206B">
      <w:pPr>
        <w:rPr>
          <w:rFonts w:ascii="Times New Roman" w:hAnsi="Times New Roman" w:cs="Times New Roman"/>
        </w:rPr>
      </w:pPr>
      <w:r w:rsidRPr="00C31A1E">
        <w:rPr>
          <w:rFonts w:ascii="Times New Roman" w:hAnsi="Times New Roman" w:cs="Times New Roman"/>
          <w:b/>
          <w:bCs/>
        </w:rPr>
        <w:t>Proportional odds assumption</w:t>
      </w:r>
      <w:r w:rsidRPr="00C31A1E">
        <w:rPr>
          <w:rFonts w:ascii="Times New Roman" w:hAnsi="Times New Roman" w:cs="Times New Roman"/>
        </w:rPr>
        <w:br/>
      </w:r>
      <w:r w:rsidRPr="00C31A1E">
        <w:rPr>
          <w:rFonts w:ascii="Times New Roman" w:hAnsi="Times New Roman" w:cs="Times New Roman"/>
          <w:i/>
          <w:iCs/>
        </w:rPr>
        <w:t xml:space="preserve">For the primary analysis of the 90-day </w:t>
      </w:r>
      <w:proofErr w:type="spellStart"/>
      <w:r w:rsidRPr="00C31A1E">
        <w:rPr>
          <w:rFonts w:ascii="Times New Roman" w:hAnsi="Times New Roman" w:cs="Times New Roman"/>
          <w:i/>
          <w:iCs/>
        </w:rPr>
        <w:t>mRS</w:t>
      </w:r>
      <w:proofErr w:type="spellEnd"/>
      <w:r w:rsidRPr="00C31A1E">
        <w:rPr>
          <w:rFonts w:ascii="Times New Roman" w:hAnsi="Times New Roman" w:cs="Times New Roman"/>
          <w:i/>
          <w:iCs/>
        </w:rPr>
        <w:t xml:space="preserve"> shift, proportional odds ordinal logistic regression was applied. The proportional odds assumption was assessed using the Brant test. No significant violation of the proportional odds assumption was detected for the primary model; therefore, the ordinal logistic model was retained. As a sensitivity analysis, alternative modeling strategies were explored, yielding consistent effect directions.</w:t>
      </w:r>
    </w:p>
    <w:p w:rsidR="00CB206B" w:rsidRPr="00C31A1E" w:rsidRDefault="00CB206B" w:rsidP="00CB206B">
      <w:pPr>
        <w:rPr>
          <w:rFonts w:ascii="Times New Roman" w:hAnsi="Times New Roman" w:cs="Times New Roman"/>
        </w:rPr>
      </w:pPr>
      <w:r w:rsidRPr="00C31A1E">
        <w:rPr>
          <w:rFonts w:ascii="Times New Roman" w:hAnsi="Times New Roman" w:cs="Times New Roman"/>
          <w:b/>
          <w:bCs/>
        </w:rPr>
        <w:t>Handling of missing data</w:t>
      </w:r>
      <w:r w:rsidRPr="00C31A1E">
        <w:rPr>
          <w:rFonts w:ascii="Times New Roman" w:hAnsi="Times New Roman" w:cs="Times New Roman"/>
        </w:rPr>
        <w:br/>
      </w:r>
      <w:r w:rsidRPr="00C31A1E">
        <w:rPr>
          <w:rFonts w:ascii="Times New Roman" w:hAnsi="Times New Roman" w:cs="Times New Roman"/>
          <w:i/>
          <w:iCs/>
        </w:rPr>
        <w:t>All analyses were conducted using a complete-case approach. The proportion of missing data for variables included in the multivariable models was low, and no multiple imputation was performed.</w:t>
      </w:r>
    </w:p>
    <w:p w:rsidR="00CB206B" w:rsidRPr="00C31A1E" w:rsidRDefault="00CB206B" w:rsidP="00CB206B">
      <w:pPr>
        <w:rPr>
          <w:rFonts w:ascii="Times New Roman" w:hAnsi="Times New Roman" w:cs="Times New Roman"/>
        </w:rPr>
      </w:pPr>
      <w:r w:rsidRPr="00C31A1E">
        <w:rPr>
          <w:rFonts w:ascii="Times New Roman" w:hAnsi="Times New Roman" w:cs="Times New Roman"/>
          <w:b/>
          <w:bCs/>
        </w:rPr>
        <w:t>Trend analysis (P</w:t>
      </w:r>
      <w:r w:rsidR="00337586">
        <w:rPr>
          <w:rFonts w:ascii="Times New Roman" w:hAnsi="Times New Roman" w:cs="Times New Roman" w:hint="eastAsia"/>
          <w:b/>
          <w:bCs/>
        </w:rPr>
        <w:t xml:space="preserve"> for trend</w:t>
      </w:r>
      <w:r w:rsidRPr="00C31A1E">
        <w:rPr>
          <w:rFonts w:ascii="Times New Roman" w:hAnsi="Times New Roman" w:cs="Times New Roman"/>
          <w:b/>
          <w:bCs/>
        </w:rPr>
        <w:t>)</w:t>
      </w:r>
      <w:r w:rsidRPr="00C31A1E">
        <w:rPr>
          <w:rFonts w:ascii="Times New Roman" w:hAnsi="Times New Roman" w:cs="Times New Roman"/>
        </w:rPr>
        <w:br/>
      </w:r>
      <w:r w:rsidRPr="00C31A1E">
        <w:rPr>
          <w:rFonts w:ascii="Times New Roman" w:hAnsi="Times New Roman" w:cs="Times New Roman"/>
          <w:i/>
          <w:iCs/>
        </w:rPr>
        <w:t>To assess dose–response relationships, a test for trend was performed by modeling collateral status as an ordinal variable within the same multivariable-adjusted ordinal logistic regression model. Collateral categories were coded as follows: poor (0–1) = 1, intermediate (2) = 2, and good (3–4) = 3. The resulting P</w:t>
      </w:r>
      <w:r w:rsidR="00837C23">
        <w:rPr>
          <w:rFonts w:ascii="Times New Roman" w:hAnsi="Times New Roman" w:cs="Times New Roman" w:hint="eastAsia"/>
          <w:i/>
          <w:iCs/>
          <w:vertAlign w:val="subscript"/>
        </w:rPr>
        <w:t xml:space="preserve"> </w:t>
      </w:r>
      <w:r w:rsidR="00837C23">
        <w:rPr>
          <w:rFonts w:ascii="Times New Roman" w:hAnsi="Times New Roman" w:cs="Times New Roman" w:hint="eastAsia"/>
          <w:i/>
          <w:iCs/>
        </w:rPr>
        <w:t xml:space="preserve">for trend </w:t>
      </w:r>
      <w:r w:rsidRPr="00C31A1E">
        <w:rPr>
          <w:rFonts w:ascii="Times New Roman" w:hAnsi="Times New Roman" w:cs="Times New Roman"/>
          <w:i/>
          <w:iCs/>
        </w:rPr>
        <w:t>reflects the linear trend across increasing collateral grades after adjustment for prespecified covariates.</w:t>
      </w:r>
    </w:p>
    <w:p w:rsidR="00CB206B" w:rsidRPr="00C31A1E" w:rsidRDefault="00CB206B">
      <w:pPr>
        <w:widowControl/>
        <w:jc w:val="left"/>
        <w:rPr>
          <w:rFonts w:ascii="Times New Roman" w:hAnsi="Times New Roman" w:cs="Times New Roman"/>
          <w:b/>
          <w:bCs/>
        </w:rPr>
      </w:pPr>
      <w:bookmarkStart w:id="3" w:name="OLE_LINK3"/>
      <w:r w:rsidRPr="00C31A1E">
        <w:rPr>
          <w:rFonts w:ascii="Times New Roman" w:hAnsi="Times New Roman" w:cs="Times New Roman"/>
          <w:b/>
          <w:bCs/>
        </w:rPr>
        <w:br w:type="page"/>
      </w:r>
    </w:p>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lastRenderedPageBreak/>
        <w:t>Supplementary Tables</w:t>
      </w:r>
    </w:p>
    <w:bookmarkEnd w:id="3"/>
    <w:p w:rsidR="00EF047C" w:rsidRPr="00C31A1E" w:rsidRDefault="00EF047C" w:rsidP="00EF047C">
      <w:pPr>
        <w:rPr>
          <w:rFonts w:ascii="Times New Roman" w:hAnsi="Times New Roman" w:cs="Times New Roman"/>
        </w:rPr>
      </w:pPr>
    </w:p>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b/>
          <w:bCs/>
          <w:i/>
          <w:iCs/>
        </w:rPr>
        <w:t>Table S1. Extended baseline laboratory and metabolic variables by collateral group (0–1, 2, 3–4)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2"/>
        <w:gridCol w:w="1701"/>
        <w:gridCol w:w="1701"/>
        <w:gridCol w:w="1696"/>
        <w:gridCol w:w="656"/>
      </w:tblGrid>
      <w:tr w:rsidR="00F076E3" w:rsidRPr="00733C67" w:rsidTr="00733C67">
        <w:trPr>
          <w:tblHeader/>
          <w:tblCellSpacing w:w="15" w:type="dxa"/>
        </w:trPr>
        <w:tc>
          <w:tcPr>
            <w:tcW w:w="2507" w:type="dxa"/>
            <w:tcBorders>
              <w:top w:val="single" w:sz="4" w:space="0" w:color="auto"/>
              <w:bottom w:val="single" w:sz="4" w:space="0" w:color="auto"/>
            </w:tcBorders>
            <w:vAlign w:val="center"/>
            <w:hideMark/>
          </w:tcPr>
          <w:p w:rsidR="00F076E3" w:rsidRPr="00733C67" w:rsidRDefault="00F076E3" w:rsidP="00F076E3">
            <w:pPr>
              <w:widowControl/>
              <w:jc w:val="left"/>
              <w:rPr>
                <w:rFonts w:ascii="Times New Roman" w:hAnsi="Times New Roman" w:cs="Times New Roman"/>
                <w:b/>
                <w:bCs/>
                <w:i/>
                <w:iCs/>
              </w:rPr>
            </w:pPr>
            <w:r w:rsidRPr="00733C67">
              <w:rPr>
                <w:rFonts w:ascii="Times New Roman" w:hAnsi="Times New Roman" w:cs="Times New Roman"/>
                <w:b/>
                <w:bCs/>
                <w:i/>
                <w:iCs/>
              </w:rPr>
              <w:t>Variable</w:t>
            </w:r>
          </w:p>
        </w:tc>
        <w:tc>
          <w:tcPr>
            <w:tcW w:w="1671" w:type="dxa"/>
            <w:tcBorders>
              <w:top w:val="single" w:sz="4" w:space="0" w:color="auto"/>
              <w:bottom w:val="single" w:sz="4" w:space="0" w:color="auto"/>
            </w:tcBorders>
            <w:vAlign w:val="center"/>
            <w:hideMark/>
          </w:tcPr>
          <w:p w:rsidR="00F076E3" w:rsidRDefault="00F076E3" w:rsidP="00F076E3">
            <w:pPr>
              <w:jc w:val="left"/>
              <w:rPr>
                <w:rFonts w:ascii="Times New Roman" w:hAnsi="Times New Roman" w:cs="Times New Roman"/>
                <w:b/>
                <w:bCs/>
              </w:rPr>
            </w:pPr>
            <w:r w:rsidRPr="00FB39A9">
              <w:rPr>
                <w:rFonts w:ascii="Times New Roman" w:hAnsi="Times New Roman" w:cs="Times New Roman"/>
                <w:b/>
                <w:bCs/>
              </w:rPr>
              <w:t>collateral 0–1</w:t>
            </w:r>
          </w:p>
          <w:p w:rsidR="00F076E3" w:rsidRPr="00FB39A9" w:rsidRDefault="00F076E3" w:rsidP="00F076E3">
            <w:pPr>
              <w:jc w:val="left"/>
              <w:rPr>
                <w:rFonts w:ascii="Times New Roman" w:hAnsi="Times New Roman" w:cs="Times New Roman"/>
                <w:b/>
                <w:bCs/>
              </w:rPr>
            </w:pPr>
            <w:r w:rsidRPr="00FB39A9">
              <w:rPr>
                <w:rFonts w:ascii="Times New Roman" w:hAnsi="Times New Roman" w:cs="Times New Roman"/>
                <w:b/>
                <w:bCs/>
              </w:rPr>
              <w:t>(n=39)</w:t>
            </w:r>
          </w:p>
        </w:tc>
        <w:tc>
          <w:tcPr>
            <w:tcW w:w="1671" w:type="dxa"/>
            <w:tcBorders>
              <w:top w:val="single" w:sz="4" w:space="0" w:color="auto"/>
              <w:bottom w:val="single" w:sz="4" w:space="0" w:color="auto"/>
            </w:tcBorders>
            <w:vAlign w:val="center"/>
            <w:hideMark/>
          </w:tcPr>
          <w:p w:rsidR="00F076E3" w:rsidRDefault="00F076E3" w:rsidP="00F076E3">
            <w:pPr>
              <w:jc w:val="left"/>
              <w:rPr>
                <w:rFonts w:ascii="Times New Roman" w:hAnsi="Times New Roman" w:cs="Times New Roman"/>
                <w:b/>
                <w:bCs/>
              </w:rPr>
            </w:pPr>
            <w:r w:rsidRPr="00FB39A9">
              <w:rPr>
                <w:rFonts w:ascii="Times New Roman" w:hAnsi="Times New Roman" w:cs="Times New Roman"/>
                <w:b/>
                <w:bCs/>
              </w:rPr>
              <w:t>collateral 2</w:t>
            </w:r>
          </w:p>
          <w:p w:rsidR="00F076E3" w:rsidRPr="00FB39A9" w:rsidRDefault="00F076E3" w:rsidP="00F076E3">
            <w:pPr>
              <w:jc w:val="left"/>
              <w:rPr>
                <w:rFonts w:ascii="Times New Roman" w:hAnsi="Times New Roman" w:cs="Times New Roman"/>
                <w:b/>
                <w:bCs/>
              </w:rPr>
            </w:pPr>
            <w:r w:rsidRPr="00FB39A9">
              <w:rPr>
                <w:rFonts w:ascii="Times New Roman" w:hAnsi="Times New Roman" w:cs="Times New Roman"/>
                <w:b/>
                <w:bCs/>
              </w:rPr>
              <w:t xml:space="preserve"> (n=77)</w:t>
            </w:r>
          </w:p>
        </w:tc>
        <w:tc>
          <w:tcPr>
            <w:tcW w:w="1666" w:type="dxa"/>
            <w:tcBorders>
              <w:top w:val="single" w:sz="4" w:space="0" w:color="auto"/>
              <w:bottom w:val="single" w:sz="4" w:space="0" w:color="auto"/>
            </w:tcBorders>
            <w:vAlign w:val="center"/>
            <w:hideMark/>
          </w:tcPr>
          <w:p w:rsidR="00F076E3" w:rsidRDefault="00F076E3" w:rsidP="00F076E3">
            <w:pPr>
              <w:jc w:val="left"/>
              <w:rPr>
                <w:rFonts w:ascii="Times New Roman" w:hAnsi="Times New Roman" w:cs="Times New Roman"/>
                <w:b/>
                <w:bCs/>
              </w:rPr>
            </w:pPr>
            <w:r w:rsidRPr="00FB39A9">
              <w:rPr>
                <w:rFonts w:ascii="Times New Roman" w:hAnsi="Times New Roman" w:cs="Times New Roman"/>
                <w:b/>
                <w:bCs/>
              </w:rPr>
              <w:t>collateral 3–4</w:t>
            </w:r>
          </w:p>
          <w:p w:rsidR="00F076E3" w:rsidRPr="00FB39A9" w:rsidRDefault="00F076E3" w:rsidP="00F076E3">
            <w:pPr>
              <w:jc w:val="left"/>
              <w:rPr>
                <w:rFonts w:ascii="Times New Roman" w:hAnsi="Times New Roman" w:cs="Times New Roman"/>
                <w:b/>
                <w:bCs/>
              </w:rPr>
            </w:pPr>
            <w:r w:rsidRPr="00FB39A9">
              <w:rPr>
                <w:rFonts w:ascii="Times New Roman" w:hAnsi="Times New Roman" w:cs="Times New Roman"/>
                <w:b/>
                <w:bCs/>
              </w:rPr>
              <w:t>(n=80)</w:t>
            </w:r>
          </w:p>
        </w:tc>
        <w:tc>
          <w:tcPr>
            <w:tcW w:w="0" w:type="auto"/>
            <w:tcBorders>
              <w:top w:val="single" w:sz="4" w:space="0" w:color="auto"/>
              <w:bottom w:val="single" w:sz="4" w:space="0" w:color="auto"/>
            </w:tcBorders>
            <w:vAlign w:val="center"/>
            <w:hideMark/>
          </w:tcPr>
          <w:p w:rsidR="00F076E3" w:rsidRPr="00733C67" w:rsidRDefault="00F076E3" w:rsidP="00F076E3">
            <w:pPr>
              <w:widowControl/>
              <w:jc w:val="left"/>
              <w:rPr>
                <w:rFonts w:ascii="Times New Roman" w:hAnsi="Times New Roman" w:cs="Times New Roman"/>
                <w:b/>
                <w:bCs/>
                <w:i/>
                <w:iCs/>
              </w:rPr>
            </w:pPr>
            <w:r w:rsidRPr="00733C67">
              <w:rPr>
                <w:rFonts w:ascii="Times New Roman" w:hAnsi="Times New Roman" w:cs="Times New Roman"/>
                <w:b/>
                <w:bCs/>
                <w:i/>
                <w:iCs/>
              </w:rPr>
              <w:t>P value</w:t>
            </w:r>
          </w:p>
        </w:tc>
      </w:tr>
      <w:tr w:rsidR="00733C67" w:rsidRPr="00733C67" w:rsidTr="00733C67">
        <w:trPr>
          <w:tblCellSpacing w:w="15" w:type="dxa"/>
        </w:trPr>
        <w:tc>
          <w:tcPr>
            <w:tcW w:w="2507"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 xml:space="preserve">Coronary heart disease </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3 (7.7%)</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14 (18.2%)</w:t>
            </w:r>
          </w:p>
        </w:tc>
        <w:tc>
          <w:tcPr>
            <w:tcW w:w="1666"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11(13.8%)</w:t>
            </w:r>
          </w:p>
        </w:tc>
        <w:tc>
          <w:tcPr>
            <w:tcW w:w="0" w:type="auto"/>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0.308</w:t>
            </w:r>
          </w:p>
        </w:tc>
      </w:tr>
      <w:tr w:rsidR="00733C67" w:rsidRPr="00733C67" w:rsidTr="00733C67">
        <w:trPr>
          <w:tblCellSpacing w:w="15" w:type="dxa"/>
        </w:trPr>
        <w:tc>
          <w:tcPr>
            <w:tcW w:w="2507" w:type="dxa"/>
            <w:vAlign w:val="center"/>
            <w:hideMark/>
          </w:tcPr>
          <w:p w:rsidR="00733C67" w:rsidRPr="00733C67" w:rsidRDefault="009657F4" w:rsidP="00733C67">
            <w:pPr>
              <w:widowControl/>
              <w:jc w:val="left"/>
              <w:rPr>
                <w:rFonts w:ascii="Times New Roman" w:hAnsi="Times New Roman" w:cs="Times New Roman"/>
                <w:i/>
                <w:iCs/>
              </w:rPr>
            </w:pPr>
            <w:r>
              <w:rPr>
                <w:rFonts w:ascii="Times New Roman" w:hAnsi="Times New Roman" w:cs="Times New Roman" w:hint="eastAsia"/>
                <w:i/>
                <w:iCs/>
              </w:rPr>
              <w:t>S</w:t>
            </w:r>
            <w:r w:rsidR="00733C67" w:rsidRPr="00733C67">
              <w:rPr>
                <w:rFonts w:ascii="Times New Roman" w:hAnsi="Times New Roman" w:cs="Times New Roman"/>
                <w:i/>
                <w:iCs/>
              </w:rPr>
              <w:t>moking</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9 (23.1%)</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30 (39.0%)</w:t>
            </w:r>
          </w:p>
        </w:tc>
        <w:tc>
          <w:tcPr>
            <w:tcW w:w="1666"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24 (30.0%)</w:t>
            </w:r>
          </w:p>
        </w:tc>
        <w:tc>
          <w:tcPr>
            <w:tcW w:w="0" w:type="auto"/>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0.194</w:t>
            </w:r>
          </w:p>
        </w:tc>
      </w:tr>
      <w:tr w:rsidR="00733C67" w:rsidRPr="00733C67" w:rsidTr="00733C67">
        <w:trPr>
          <w:tblCellSpacing w:w="15" w:type="dxa"/>
        </w:trPr>
        <w:tc>
          <w:tcPr>
            <w:tcW w:w="2507" w:type="dxa"/>
            <w:vAlign w:val="center"/>
            <w:hideMark/>
          </w:tcPr>
          <w:p w:rsidR="00733C67" w:rsidRPr="00733C67" w:rsidRDefault="009657F4" w:rsidP="00733C67">
            <w:pPr>
              <w:widowControl/>
              <w:jc w:val="left"/>
              <w:rPr>
                <w:rFonts w:ascii="Times New Roman" w:hAnsi="Times New Roman" w:cs="Times New Roman"/>
                <w:i/>
                <w:iCs/>
              </w:rPr>
            </w:pPr>
            <w:r>
              <w:rPr>
                <w:rFonts w:ascii="Times New Roman" w:hAnsi="Times New Roman" w:cs="Times New Roman" w:hint="eastAsia"/>
                <w:i/>
                <w:iCs/>
              </w:rPr>
              <w:t>A</w:t>
            </w:r>
            <w:r w:rsidR="00733C67" w:rsidRPr="00733C67">
              <w:rPr>
                <w:rFonts w:ascii="Times New Roman" w:hAnsi="Times New Roman" w:cs="Times New Roman"/>
                <w:i/>
                <w:iCs/>
              </w:rPr>
              <w:t>lcohol use</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11 (28.2%)</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26 (33.8%)</w:t>
            </w:r>
          </w:p>
        </w:tc>
        <w:tc>
          <w:tcPr>
            <w:tcW w:w="1666"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240 (30.0%)</w:t>
            </w:r>
          </w:p>
        </w:tc>
        <w:tc>
          <w:tcPr>
            <w:tcW w:w="0" w:type="auto"/>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0.797</w:t>
            </w:r>
          </w:p>
        </w:tc>
      </w:tr>
      <w:tr w:rsidR="00733C67" w:rsidRPr="00733C67" w:rsidTr="00733C67">
        <w:trPr>
          <w:tblCellSpacing w:w="15" w:type="dxa"/>
        </w:trPr>
        <w:tc>
          <w:tcPr>
            <w:tcW w:w="2507"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Heart valve disease</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2 (5.1%)</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8 (10.4%)</w:t>
            </w:r>
          </w:p>
        </w:tc>
        <w:tc>
          <w:tcPr>
            <w:tcW w:w="1666"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10 (12.5%)</w:t>
            </w:r>
          </w:p>
        </w:tc>
        <w:tc>
          <w:tcPr>
            <w:tcW w:w="0" w:type="auto"/>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0.458</w:t>
            </w:r>
          </w:p>
        </w:tc>
      </w:tr>
      <w:tr w:rsidR="00733C67" w:rsidRPr="00733C67" w:rsidTr="00733C67">
        <w:trPr>
          <w:tblCellSpacing w:w="15" w:type="dxa"/>
        </w:trPr>
        <w:tc>
          <w:tcPr>
            <w:tcW w:w="2507"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BMI, kg/m²</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24.2 [22.2–27.5]</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23.3 [20.3–25.7]</w:t>
            </w:r>
          </w:p>
        </w:tc>
        <w:tc>
          <w:tcPr>
            <w:tcW w:w="1666"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23.9 [22.2–26.5]</w:t>
            </w:r>
          </w:p>
        </w:tc>
        <w:tc>
          <w:tcPr>
            <w:tcW w:w="0" w:type="auto"/>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0.229</w:t>
            </w:r>
          </w:p>
        </w:tc>
      </w:tr>
      <w:tr w:rsidR="00733C67" w:rsidRPr="00733C67" w:rsidTr="00733C67">
        <w:trPr>
          <w:tblCellSpacing w:w="15" w:type="dxa"/>
        </w:trPr>
        <w:tc>
          <w:tcPr>
            <w:tcW w:w="2507"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SBP, mmHg</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142 [128–158]</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148 [133–161]</w:t>
            </w:r>
          </w:p>
        </w:tc>
        <w:tc>
          <w:tcPr>
            <w:tcW w:w="1666"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145 [126–151]</w:t>
            </w:r>
          </w:p>
        </w:tc>
        <w:tc>
          <w:tcPr>
            <w:tcW w:w="0" w:type="auto"/>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0.426</w:t>
            </w:r>
          </w:p>
        </w:tc>
      </w:tr>
      <w:tr w:rsidR="00733C67" w:rsidRPr="00733C67" w:rsidTr="00733C67">
        <w:trPr>
          <w:tblCellSpacing w:w="15" w:type="dxa"/>
        </w:trPr>
        <w:tc>
          <w:tcPr>
            <w:tcW w:w="2507"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DBP, mmHg</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80.0 [72.0–83.0]</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81.0 [70.0–88.0]</w:t>
            </w:r>
          </w:p>
        </w:tc>
        <w:tc>
          <w:tcPr>
            <w:tcW w:w="1666"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72.0 [68.0–87.0]</w:t>
            </w:r>
          </w:p>
        </w:tc>
        <w:tc>
          <w:tcPr>
            <w:tcW w:w="0" w:type="auto"/>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0.438</w:t>
            </w:r>
          </w:p>
        </w:tc>
      </w:tr>
      <w:tr w:rsidR="00733C67" w:rsidRPr="00733C67" w:rsidTr="00733C67">
        <w:trPr>
          <w:tblCellSpacing w:w="15" w:type="dxa"/>
        </w:trPr>
        <w:tc>
          <w:tcPr>
            <w:tcW w:w="2507"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HbA1c, %</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6.00 [5.60–6.60]</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6.10 [5.50–6.60]</w:t>
            </w:r>
          </w:p>
        </w:tc>
        <w:tc>
          <w:tcPr>
            <w:tcW w:w="1666"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6.00 [5.62–6.88]</w:t>
            </w:r>
          </w:p>
        </w:tc>
        <w:tc>
          <w:tcPr>
            <w:tcW w:w="0" w:type="auto"/>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0.954</w:t>
            </w:r>
          </w:p>
        </w:tc>
      </w:tr>
      <w:tr w:rsidR="00733C67" w:rsidRPr="00733C67" w:rsidTr="00733C67">
        <w:trPr>
          <w:tblCellSpacing w:w="15" w:type="dxa"/>
        </w:trPr>
        <w:tc>
          <w:tcPr>
            <w:tcW w:w="2507"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TC, mmol/L</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4.15 [3.57–4.70]</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4.11 [3.49–4.79]</w:t>
            </w:r>
          </w:p>
        </w:tc>
        <w:tc>
          <w:tcPr>
            <w:tcW w:w="1666"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4.39 [3.56–5.03]</w:t>
            </w:r>
          </w:p>
        </w:tc>
        <w:tc>
          <w:tcPr>
            <w:tcW w:w="0" w:type="auto"/>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0.217</w:t>
            </w:r>
          </w:p>
        </w:tc>
      </w:tr>
      <w:tr w:rsidR="00733C67" w:rsidRPr="00733C67" w:rsidTr="00733C67">
        <w:trPr>
          <w:tblCellSpacing w:w="15" w:type="dxa"/>
        </w:trPr>
        <w:tc>
          <w:tcPr>
            <w:tcW w:w="2507"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TG, mmol/L</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1.08 [0.81–1.38]</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1.06 [0.76–1.30]</w:t>
            </w:r>
          </w:p>
        </w:tc>
        <w:tc>
          <w:tcPr>
            <w:tcW w:w="1666"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1.13 [0.91–1.77]</w:t>
            </w:r>
          </w:p>
        </w:tc>
        <w:tc>
          <w:tcPr>
            <w:tcW w:w="0" w:type="auto"/>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0.177</w:t>
            </w:r>
          </w:p>
        </w:tc>
      </w:tr>
      <w:tr w:rsidR="00733C67" w:rsidRPr="00733C67" w:rsidTr="00733C67">
        <w:trPr>
          <w:tblCellSpacing w:w="15" w:type="dxa"/>
        </w:trPr>
        <w:tc>
          <w:tcPr>
            <w:tcW w:w="2507"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LDL-C, mmol/L</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2.63 [2.09–3.01]</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2.45 [1.85–2.96]</w:t>
            </w:r>
          </w:p>
        </w:tc>
        <w:tc>
          <w:tcPr>
            <w:tcW w:w="1666"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2.63 [1.89–3.29]</w:t>
            </w:r>
          </w:p>
        </w:tc>
        <w:tc>
          <w:tcPr>
            <w:tcW w:w="0" w:type="auto"/>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0.313</w:t>
            </w:r>
          </w:p>
        </w:tc>
      </w:tr>
      <w:tr w:rsidR="00733C67" w:rsidRPr="00733C67" w:rsidTr="00733C67">
        <w:trPr>
          <w:tblCellSpacing w:w="15" w:type="dxa"/>
        </w:trPr>
        <w:tc>
          <w:tcPr>
            <w:tcW w:w="2507"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 xml:space="preserve">Homocysteine, </w:t>
            </w:r>
            <w:proofErr w:type="spellStart"/>
            <w:r w:rsidRPr="00733C67">
              <w:rPr>
                <w:rFonts w:ascii="Times New Roman" w:hAnsi="Times New Roman" w:cs="Times New Roman"/>
                <w:i/>
                <w:iCs/>
              </w:rPr>
              <w:t>μmol</w:t>
            </w:r>
            <w:proofErr w:type="spellEnd"/>
            <w:r w:rsidRPr="00733C67">
              <w:rPr>
                <w:rFonts w:ascii="Times New Roman" w:hAnsi="Times New Roman" w:cs="Times New Roman"/>
                <w:i/>
                <w:iCs/>
              </w:rPr>
              <w:t>/L</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12.2 [9.70–14.9]</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10.6 [9.28–13.7]</w:t>
            </w:r>
          </w:p>
        </w:tc>
        <w:tc>
          <w:tcPr>
            <w:tcW w:w="1666"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12.3 [9.55–15.4]</w:t>
            </w:r>
          </w:p>
        </w:tc>
        <w:tc>
          <w:tcPr>
            <w:tcW w:w="0" w:type="auto"/>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0.150</w:t>
            </w:r>
          </w:p>
        </w:tc>
      </w:tr>
      <w:tr w:rsidR="00733C67" w:rsidRPr="00733C67" w:rsidTr="00733C67">
        <w:trPr>
          <w:tblCellSpacing w:w="15" w:type="dxa"/>
        </w:trPr>
        <w:tc>
          <w:tcPr>
            <w:tcW w:w="2507"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NT-</w:t>
            </w:r>
            <w:proofErr w:type="spellStart"/>
            <w:r w:rsidRPr="00733C67">
              <w:rPr>
                <w:rFonts w:ascii="Times New Roman" w:hAnsi="Times New Roman" w:cs="Times New Roman"/>
                <w:i/>
                <w:iCs/>
              </w:rPr>
              <w:t>proBNP</w:t>
            </w:r>
            <w:proofErr w:type="spellEnd"/>
            <w:r w:rsidRPr="00733C67">
              <w:rPr>
                <w:rFonts w:ascii="Times New Roman" w:hAnsi="Times New Roman" w:cs="Times New Roman"/>
                <w:i/>
                <w:iCs/>
              </w:rPr>
              <w:t xml:space="preserve">, </w:t>
            </w:r>
            <w:proofErr w:type="spellStart"/>
            <w:r w:rsidRPr="00733C67">
              <w:rPr>
                <w:rFonts w:ascii="Times New Roman" w:hAnsi="Times New Roman" w:cs="Times New Roman"/>
                <w:i/>
                <w:iCs/>
              </w:rPr>
              <w:t>pg</w:t>
            </w:r>
            <w:proofErr w:type="spellEnd"/>
            <w:r w:rsidRPr="00733C67">
              <w:rPr>
                <w:rFonts w:ascii="Times New Roman" w:hAnsi="Times New Roman" w:cs="Times New Roman"/>
                <w:i/>
                <w:iCs/>
              </w:rPr>
              <w:t>/mL</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1151 [321–1918]</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832 [374–2245]</w:t>
            </w:r>
          </w:p>
        </w:tc>
        <w:tc>
          <w:tcPr>
            <w:tcW w:w="1666"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409 [119–1417]</w:t>
            </w:r>
          </w:p>
        </w:tc>
        <w:tc>
          <w:tcPr>
            <w:tcW w:w="0" w:type="auto"/>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0.037</w:t>
            </w:r>
          </w:p>
        </w:tc>
      </w:tr>
      <w:tr w:rsidR="00733C67" w:rsidRPr="00733C67" w:rsidTr="00733C67">
        <w:trPr>
          <w:tblCellSpacing w:w="15" w:type="dxa"/>
        </w:trPr>
        <w:tc>
          <w:tcPr>
            <w:tcW w:w="2507" w:type="dxa"/>
            <w:vAlign w:val="center"/>
            <w:hideMark/>
          </w:tcPr>
          <w:p w:rsidR="00733C67" w:rsidRPr="00733C67" w:rsidRDefault="00733C67" w:rsidP="00733C67">
            <w:pPr>
              <w:widowControl/>
              <w:jc w:val="left"/>
              <w:rPr>
                <w:rFonts w:ascii="Times New Roman" w:hAnsi="Times New Roman" w:cs="Times New Roman"/>
                <w:i/>
                <w:iCs/>
              </w:rPr>
            </w:pPr>
            <w:proofErr w:type="spellStart"/>
            <w:r w:rsidRPr="00733C67">
              <w:rPr>
                <w:rFonts w:ascii="Times New Roman" w:hAnsi="Times New Roman" w:cs="Times New Roman"/>
                <w:i/>
                <w:iCs/>
              </w:rPr>
              <w:t>cTnT</w:t>
            </w:r>
            <w:proofErr w:type="spellEnd"/>
            <w:r w:rsidRPr="00733C67">
              <w:rPr>
                <w:rFonts w:ascii="Times New Roman" w:hAnsi="Times New Roman" w:cs="Times New Roman"/>
                <w:i/>
                <w:iCs/>
              </w:rPr>
              <w:t>, ng/mL</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0.01 [0.01–0.02]</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0.01 [0.01–0.02]</w:t>
            </w:r>
          </w:p>
        </w:tc>
        <w:tc>
          <w:tcPr>
            <w:tcW w:w="1666"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0.01 [0.01–0.01]</w:t>
            </w:r>
          </w:p>
        </w:tc>
        <w:tc>
          <w:tcPr>
            <w:tcW w:w="0" w:type="auto"/>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0.070</w:t>
            </w:r>
          </w:p>
        </w:tc>
      </w:tr>
      <w:tr w:rsidR="00733C67" w:rsidRPr="00733C67" w:rsidTr="00733C67">
        <w:trPr>
          <w:tblCellSpacing w:w="15" w:type="dxa"/>
        </w:trPr>
        <w:tc>
          <w:tcPr>
            <w:tcW w:w="2507"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Myoglobin, ng/mL</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40.9 [28.2–61.3]</w:t>
            </w:r>
          </w:p>
        </w:tc>
        <w:tc>
          <w:tcPr>
            <w:tcW w:w="1671"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45.4 [27.8–71.4]</w:t>
            </w:r>
          </w:p>
        </w:tc>
        <w:tc>
          <w:tcPr>
            <w:tcW w:w="1666" w:type="dxa"/>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30.2 [22.6–44.9]</w:t>
            </w:r>
          </w:p>
        </w:tc>
        <w:tc>
          <w:tcPr>
            <w:tcW w:w="0" w:type="auto"/>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0.006</w:t>
            </w:r>
          </w:p>
        </w:tc>
      </w:tr>
      <w:tr w:rsidR="00733C67" w:rsidRPr="00733C67" w:rsidTr="00733C67">
        <w:trPr>
          <w:tblCellSpacing w:w="15" w:type="dxa"/>
        </w:trPr>
        <w:tc>
          <w:tcPr>
            <w:tcW w:w="2507" w:type="dxa"/>
            <w:tcBorders>
              <w:bottom w:val="single" w:sz="4" w:space="0" w:color="auto"/>
            </w:tcBorders>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CK-MB, ng/mL</w:t>
            </w:r>
          </w:p>
        </w:tc>
        <w:tc>
          <w:tcPr>
            <w:tcW w:w="1671" w:type="dxa"/>
            <w:tcBorders>
              <w:bottom w:val="single" w:sz="4" w:space="0" w:color="auto"/>
            </w:tcBorders>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1.65 [1.06–2.90]</w:t>
            </w:r>
          </w:p>
        </w:tc>
        <w:tc>
          <w:tcPr>
            <w:tcW w:w="1671" w:type="dxa"/>
            <w:tcBorders>
              <w:bottom w:val="single" w:sz="4" w:space="0" w:color="auto"/>
            </w:tcBorders>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2.23 [1.51–2.75]</w:t>
            </w:r>
          </w:p>
        </w:tc>
        <w:tc>
          <w:tcPr>
            <w:tcW w:w="1666" w:type="dxa"/>
            <w:tcBorders>
              <w:bottom w:val="single" w:sz="4" w:space="0" w:color="auto"/>
            </w:tcBorders>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1.76 [1.10–2.37]</w:t>
            </w:r>
          </w:p>
        </w:tc>
        <w:tc>
          <w:tcPr>
            <w:tcW w:w="0" w:type="auto"/>
            <w:tcBorders>
              <w:bottom w:val="single" w:sz="4" w:space="0" w:color="auto"/>
            </w:tcBorders>
            <w:vAlign w:val="center"/>
            <w:hideMark/>
          </w:tcPr>
          <w:p w:rsidR="00733C67" w:rsidRPr="00733C67" w:rsidRDefault="00733C67" w:rsidP="00733C67">
            <w:pPr>
              <w:widowControl/>
              <w:jc w:val="left"/>
              <w:rPr>
                <w:rFonts w:ascii="Times New Roman" w:hAnsi="Times New Roman" w:cs="Times New Roman"/>
                <w:i/>
                <w:iCs/>
              </w:rPr>
            </w:pPr>
            <w:r w:rsidRPr="00733C67">
              <w:rPr>
                <w:rFonts w:ascii="Times New Roman" w:hAnsi="Times New Roman" w:cs="Times New Roman"/>
                <w:i/>
                <w:iCs/>
              </w:rPr>
              <w:t>0.046</w:t>
            </w:r>
          </w:p>
        </w:tc>
      </w:tr>
    </w:tbl>
    <w:p w:rsidR="00857707" w:rsidRDefault="00857707" w:rsidP="00857707">
      <w:pPr>
        <w:widowControl/>
        <w:jc w:val="left"/>
        <w:rPr>
          <w:rFonts w:ascii="Times New Roman" w:hAnsi="Times New Roman" w:cs="Times New Roman"/>
          <w:i/>
          <w:iCs/>
        </w:rPr>
      </w:pPr>
      <w:r w:rsidRPr="007A5A4A">
        <w:rPr>
          <w:rFonts w:ascii="Times New Roman" w:hAnsi="Times New Roman" w:cs="Times New Roman"/>
          <w:i/>
          <w:iCs/>
        </w:rPr>
        <w:t>BMI</w:t>
      </w:r>
      <w:r w:rsidRPr="007A5A4A">
        <w:rPr>
          <w:rFonts w:ascii="Times New Roman" w:hAnsi="Times New Roman" w:cs="Times New Roman" w:hint="eastAsia"/>
          <w:i/>
          <w:iCs/>
        </w:rPr>
        <w:t>,</w:t>
      </w:r>
      <w:r w:rsidRPr="007A5A4A">
        <w:rPr>
          <w:rFonts w:ascii="Times New Roman" w:hAnsi="Times New Roman" w:cs="Times New Roman"/>
          <w:i/>
          <w:iCs/>
        </w:rPr>
        <w:t xml:space="preserve"> Body mass index</w:t>
      </w:r>
      <w:r w:rsidRPr="007A5A4A">
        <w:rPr>
          <w:rFonts w:ascii="Times New Roman" w:hAnsi="Times New Roman" w:cs="Times New Roman" w:hint="eastAsia"/>
          <w:i/>
          <w:iCs/>
        </w:rPr>
        <w:t>;</w:t>
      </w:r>
      <w:r w:rsidRPr="007A5A4A">
        <w:rPr>
          <w:i/>
          <w:iCs/>
        </w:rPr>
        <w:t xml:space="preserve"> </w:t>
      </w:r>
      <w:r w:rsidR="009657F4" w:rsidRPr="00733C67">
        <w:rPr>
          <w:rFonts w:ascii="Times New Roman" w:hAnsi="Times New Roman" w:cs="Times New Roman"/>
          <w:i/>
          <w:iCs/>
        </w:rPr>
        <w:t>SBP</w:t>
      </w:r>
      <w:r w:rsidR="009657F4">
        <w:rPr>
          <w:rFonts w:ascii="Times New Roman" w:hAnsi="Times New Roman" w:cs="Times New Roman" w:hint="eastAsia"/>
          <w:i/>
          <w:iCs/>
        </w:rPr>
        <w:t xml:space="preserve">, </w:t>
      </w:r>
      <w:r w:rsidR="009657F4" w:rsidRPr="00733C67">
        <w:rPr>
          <w:rFonts w:ascii="Times New Roman" w:hAnsi="Times New Roman" w:cs="Times New Roman"/>
          <w:i/>
          <w:iCs/>
        </w:rPr>
        <w:t>Systolic blood pressure</w:t>
      </w:r>
      <w:r w:rsidR="009657F4">
        <w:rPr>
          <w:rFonts w:ascii="Times New Roman" w:hAnsi="Times New Roman" w:cs="Times New Roman" w:hint="eastAsia"/>
          <w:i/>
          <w:iCs/>
        </w:rPr>
        <w:t xml:space="preserve">; </w:t>
      </w:r>
      <w:r w:rsidR="009657F4" w:rsidRPr="00733C67">
        <w:rPr>
          <w:rFonts w:ascii="Times New Roman" w:hAnsi="Times New Roman" w:cs="Times New Roman"/>
          <w:i/>
          <w:iCs/>
        </w:rPr>
        <w:t>DBP</w:t>
      </w:r>
      <w:r w:rsidR="009657F4">
        <w:rPr>
          <w:rFonts w:ascii="Times New Roman" w:hAnsi="Times New Roman" w:cs="Times New Roman" w:hint="eastAsia"/>
          <w:i/>
          <w:iCs/>
        </w:rPr>
        <w:t xml:space="preserve">, </w:t>
      </w:r>
      <w:r w:rsidR="009657F4" w:rsidRPr="00733C67">
        <w:rPr>
          <w:rFonts w:ascii="Times New Roman" w:hAnsi="Times New Roman" w:cs="Times New Roman"/>
          <w:i/>
          <w:iCs/>
        </w:rPr>
        <w:t>Diastolic blood pressure</w:t>
      </w:r>
      <w:r w:rsidR="009657F4">
        <w:rPr>
          <w:rFonts w:ascii="Times New Roman" w:hAnsi="Times New Roman" w:cs="Times New Roman" w:hint="eastAsia"/>
          <w:i/>
          <w:iCs/>
        </w:rPr>
        <w:t xml:space="preserve">; </w:t>
      </w:r>
      <w:r w:rsidRPr="007A5A4A">
        <w:rPr>
          <w:rFonts w:ascii="Times New Roman" w:hAnsi="Times New Roman" w:cs="Times New Roman"/>
          <w:i/>
          <w:iCs/>
        </w:rPr>
        <w:t>HbA1c</w:t>
      </w:r>
      <w:r w:rsidRPr="007A5A4A">
        <w:rPr>
          <w:rFonts w:ascii="Times New Roman" w:hAnsi="Times New Roman" w:cs="Times New Roman" w:hint="eastAsia"/>
          <w:i/>
          <w:iCs/>
        </w:rPr>
        <w:t>,</w:t>
      </w:r>
      <w:r w:rsidRPr="007A5A4A">
        <w:rPr>
          <w:rFonts w:ascii="Times New Roman" w:hAnsi="Times New Roman" w:cs="Times New Roman"/>
          <w:i/>
          <w:iCs/>
        </w:rPr>
        <w:t xml:space="preserve"> Glycated hemoglobin A1c</w:t>
      </w:r>
      <w:r w:rsidRPr="007A5A4A">
        <w:rPr>
          <w:rFonts w:ascii="Times New Roman" w:hAnsi="Times New Roman" w:cs="Times New Roman" w:hint="eastAsia"/>
          <w:i/>
          <w:iCs/>
        </w:rPr>
        <w:t>;</w:t>
      </w:r>
      <w:r w:rsidRPr="007A5A4A">
        <w:rPr>
          <w:i/>
          <w:iCs/>
        </w:rPr>
        <w:t xml:space="preserve"> </w:t>
      </w:r>
      <w:r w:rsidR="009657F4" w:rsidRPr="00733C67">
        <w:rPr>
          <w:rFonts w:ascii="Times New Roman" w:hAnsi="Times New Roman" w:cs="Times New Roman"/>
          <w:i/>
          <w:iCs/>
        </w:rPr>
        <w:t>TC</w:t>
      </w:r>
      <w:r w:rsidR="009657F4">
        <w:rPr>
          <w:rFonts w:ascii="Times New Roman" w:hAnsi="Times New Roman" w:cs="Times New Roman" w:hint="eastAsia"/>
          <w:i/>
          <w:iCs/>
        </w:rPr>
        <w:t xml:space="preserve">, </w:t>
      </w:r>
      <w:r w:rsidR="009657F4" w:rsidRPr="00733C67">
        <w:rPr>
          <w:rFonts w:ascii="Times New Roman" w:hAnsi="Times New Roman" w:cs="Times New Roman"/>
          <w:i/>
          <w:iCs/>
        </w:rPr>
        <w:t>Total cholesterol</w:t>
      </w:r>
      <w:r w:rsidR="009657F4">
        <w:rPr>
          <w:rFonts w:ascii="Times New Roman" w:hAnsi="Times New Roman" w:cs="Times New Roman" w:hint="eastAsia"/>
          <w:i/>
          <w:iCs/>
        </w:rPr>
        <w:t xml:space="preserve">; </w:t>
      </w:r>
      <w:r w:rsidR="009657F4" w:rsidRPr="00733C67">
        <w:rPr>
          <w:rFonts w:ascii="Times New Roman" w:hAnsi="Times New Roman" w:cs="Times New Roman"/>
          <w:i/>
          <w:iCs/>
        </w:rPr>
        <w:t>TG</w:t>
      </w:r>
      <w:r w:rsidR="009657F4">
        <w:rPr>
          <w:rFonts w:ascii="Times New Roman" w:hAnsi="Times New Roman" w:cs="Times New Roman" w:hint="eastAsia"/>
          <w:i/>
          <w:iCs/>
        </w:rPr>
        <w:t xml:space="preserve">, </w:t>
      </w:r>
      <w:r w:rsidR="009657F4" w:rsidRPr="00733C67">
        <w:rPr>
          <w:rFonts w:ascii="Times New Roman" w:hAnsi="Times New Roman" w:cs="Times New Roman"/>
          <w:i/>
          <w:iCs/>
        </w:rPr>
        <w:t>Triglycerides</w:t>
      </w:r>
      <w:r w:rsidR="009657F4">
        <w:rPr>
          <w:rFonts w:ascii="Times New Roman" w:hAnsi="Times New Roman" w:cs="Times New Roman" w:hint="eastAsia"/>
          <w:i/>
          <w:iCs/>
        </w:rPr>
        <w:t xml:space="preserve">; </w:t>
      </w:r>
      <w:r w:rsidRPr="007A5A4A">
        <w:rPr>
          <w:rFonts w:ascii="Times New Roman" w:hAnsi="Times New Roman" w:cs="Times New Roman"/>
          <w:i/>
          <w:iCs/>
        </w:rPr>
        <w:t>LDL-C</w:t>
      </w:r>
      <w:r w:rsidRPr="007A5A4A">
        <w:rPr>
          <w:rFonts w:ascii="Times New Roman" w:hAnsi="Times New Roman" w:cs="Times New Roman" w:hint="eastAsia"/>
          <w:i/>
          <w:iCs/>
        </w:rPr>
        <w:t>,</w:t>
      </w:r>
      <w:r w:rsidRPr="007A5A4A">
        <w:rPr>
          <w:rFonts w:ascii="Times New Roman" w:hAnsi="Times New Roman" w:cs="Times New Roman"/>
          <w:i/>
          <w:iCs/>
        </w:rPr>
        <w:t xml:space="preserve"> Low-density lipoprotein cholesterol</w:t>
      </w:r>
      <w:r w:rsidRPr="007A5A4A">
        <w:rPr>
          <w:rFonts w:ascii="Times New Roman" w:hAnsi="Times New Roman" w:cs="Times New Roman" w:hint="eastAsia"/>
          <w:i/>
          <w:iCs/>
        </w:rPr>
        <w:t>;</w:t>
      </w:r>
      <w:r w:rsidRPr="007A5A4A">
        <w:rPr>
          <w:i/>
          <w:iCs/>
        </w:rPr>
        <w:t xml:space="preserve"> </w:t>
      </w:r>
      <w:r w:rsidRPr="007A5A4A">
        <w:rPr>
          <w:rFonts w:ascii="Times New Roman" w:hAnsi="Times New Roman" w:cs="Times New Roman"/>
          <w:i/>
          <w:iCs/>
        </w:rPr>
        <w:t>NT-</w:t>
      </w:r>
      <w:proofErr w:type="spellStart"/>
      <w:proofErr w:type="gramStart"/>
      <w:r w:rsidRPr="007A5A4A">
        <w:rPr>
          <w:rFonts w:ascii="Times New Roman" w:hAnsi="Times New Roman" w:cs="Times New Roman"/>
          <w:i/>
          <w:iCs/>
        </w:rPr>
        <w:t>proBNP,N</w:t>
      </w:r>
      <w:proofErr w:type="spellEnd"/>
      <w:proofErr w:type="gramEnd"/>
      <w:r w:rsidRPr="007A5A4A">
        <w:rPr>
          <w:rFonts w:ascii="Times New Roman" w:hAnsi="Times New Roman" w:cs="Times New Roman"/>
          <w:i/>
          <w:iCs/>
        </w:rPr>
        <w:t>-terminal pro-B-type natriuretic peptide</w:t>
      </w:r>
      <w:r w:rsidR="009657F4">
        <w:rPr>
          <w:rFonts w:ascii="Times New Roman" w:hAnsi="Times New Roman" w:cs="Times New Roman" w:hint="eastAsia"/>
          <w:i/>
          <w:iCs/>
        </w:rPr>
        <w:t xml:space="preserve">; </w:t>
      </w:r>
      <w:proofErr w:type="spellStart"/>
      <w:r w:rsidR="009657F4" w:rsidRPr="00733C67">
        <w:rPr>
          <w:rFonts w:ascii="Times New Roman" w:hAnsi="Times New Roman" w:cs="Times New Roman"/>
          <w:i/>
          <w:iCs/>
        </w:rPr>
        <w:t>cTnT</w:t>
      </w:r>
      <w:proofErr w:type="spellEnd"/>
      <w:r w:rsidR="009657F4">
        <w:rPr>
          <w:rFonts w:ascii="Times New Roman" w:hAnsi="Times New Roman" w:cs="Times New Roman" w:hint="eastAsia"/>
          <w:i/>
          <w:iCs/>
        </w:rPr>
        <w:t xml:space="preserve">, </w:t>
      </w:r>
      <w:r w:rsidR="009657F4" w:rsidRPr="00733C67">
        <w:rPr>
          <w:rFonts w:ascii="Times New Roman" w:hAnsi="Times New Roman" w:cs="Times New Roman"/>
          <w:i/>
          <w:iCs/>
        </w:rPr>
        <w:t>Cardiac troponin T</w:t>
      </w:r>
      <w:r w:rsidR="009657F4">
        <w:rPr>
          <w:rFonts w:ascii="Times New Roman" w:hAnsi="Times New Roman" w:cs="Times New Roman" w:hint="eastAsia"/>
          <w:i/>
          <w:iCs/>
        </w:rPr>
        <w:t>;</w:t>
      </w:r>
      <w:r w:rsidR="009657F4" w:rsidRPr="009657F4">
        <w:rPr>
          <w:rFonts w:ascii="Times New Roman" w:hAnsi="Times New Roman" w:cs="Times New Roman"/>
          <w:i/>
          <w:iCs/>
        </w:rPr>
        <w:t xml:space="preserve"> </w:t>
      </w:r>
      <w:r w:rsidR="009657F4" w:rsidRPr="00733C67">
        <w:rPr>
          <w:rFonts w:ascii="Times New Roman" w:hAnsi="Times New Roman" w:cs="Times New Roman"/>
          <w:i/>
          <w:iCs/>
        </w:rPr>
        <w:t>CK-MB</w:t>
      </w:r>
      <w:r w:rsidR="009657F4">
        <w:rPr>
          <w:rFonts w:ascii="Times New Roman" w:hAnsi="Times New Roman" w:cs="Times New Roman" w:hint="eastAsia"/>
          <w:i/>
          <w:iCs/>
        </w:rPr>
        <w:t xml:space="preserve">, </w:t>
      </w:r>
      <w:r w:rsidR="009657F4" w:rsidRPr="00733C67">
        <w:rPr>
          <w:rFonts w:ascii="Times New Roman" w:hAnsi="Times New Roman" w:cs="Times New Roman"/>
          <w:i/>
          <w:iCs/>
        </w:rPr>
        <w:t>Creatine kinase-MB</w:t>
      </w:r>
      <w:r w:rsidR="00B533BD">
        <w:rPr>
          <w:rFonts w:ascii="Times New Roman" w:hAnsi="Times New Roman" w:cs="Times New Roman" w:hint="eastAsia"/>
          <w:i/>
          <w:iCs/>
        </w:rPr>
        <w:t>.</w:t>
      </w:r>
    </w:p>
    <w:p w:rsidR="00733C67" w:rsidRPr="00857707" w:rsidRDefault="00695E8B">
      <w:pPr>
        <w:widowControl/>
        <w:jc w:val="left"/>
        <w:rPr>
          <w:rFonts w:ascii="Times New Roman" w:hAnsi="Times New Roman" w:cs="Times New Roman"/>
          <w:i/>
          <w:iCs/>
        </w:rPr>
      </w:pPr>
      <w:r w:rsidRPr="00695E8B">
        <w:rPr>
          <w:rFonts w:ascii="Times New Roman" w:hAnsi="Times New Roman" w:cs="Times New Roman"/>
          <w:i/>
          <w:iCs/>
        </w:rPr>
        <w:t>Data are presented as median [interquartile range] or n/N (%), as appropriate. P values were calculated using the Kruskal–</w:t>
      </w:r>
      <w:proofErr w:type="gramStart"/>
      <w:r w:rsidRPr="00695E8B">
        <w:rPr>
          <w:rFonts w:ascii="Times New Roman" w:hAnsi="Times New Roman" w:cs="Times New Roman"/>
          <w:i/>
          <w:iCs/>
        </w:rPr>
        <w:t>Wallis</w:t>
      </w:r>
      <w:proofErr w:type="gramEnd"/>
      <w:r w:rsidRPr="00695E8B">
        <w:rPr>
          <w:rFonts w:ascii="Times New Roman" w:hAnsi="Times New Roman" w:cs="Times New Roman"/>
          <w:i/>
          <w:iCs/>
        </w:rPr>
        <w:t xml:space="preserve"> test for continuous variables and the chi-square test for categorical variables.</w:t>
      </w:r>
    </w:p>
    <w:p w:rsidR="00465DF1" w:rsidRPr="00C31A1E" w:rsidRDefault="00465DF1">
      <w:pPr>
        <w:widowControl/>
        <w:jc w:val="left"/>
        <w:rPr>
          <w:rFonts w:ascii="Times New Roman" w:hAnsi="Times New Roman" w:cs="Times New Roman"/>
          <w:i/>
          <w:iCs/>
        </w:rPr>
      </w:pPr>
      <w:r w:rsidRPr="00C31A1E">
        <w:rPr>
          <w:rFonts w:ascii="Times New Roman" w:hAnsi="Times New Roman" w:cs="Times New Roman"/>
          <w:i/>
          <w:iCs/>
        </w:rPr>
        <w:br w:type="page"/>
      </w:r>
    </w:p>
    <w:p w:rsidR="00D57A26" w:rsidRPr="00C31A1E" w:rsidRDefault="00D57A26" w:rsidP="00EF047C">
      <w:pPr>
        <w:rPr>
          <w:rFonts w:ascii="Times New Roman" w:hAnsi="Times New Roman" w:cs="Times New Roman"/>
        </w:rPr>
      </w:pPr>
    </w:p>
    <w:p w:rsidR="00EF047C" w:rsidRPr="00DA2CA6" w:rsidRDefault="00EF047C" w:rsidP="00EF047C">
      <w:pPr>
        <w:rPr>
          <w:rFonts w:ascii="Times New Roman" w:hAnsi="Times New Roman" w:cs="Times New Roman"/>
          <w:b/>
          <w:bCs/>
        </w:rPr>
      </w:pPr>
      <w:r w:rsidRPr="00DA2CA6">
        <w:rPr>
          <w:rFonts w:ascii="Times New Roman" w:hAnsi="Times New Roman" w:cs="Times New Roman"/>
          <w:b/>
          <w:bCs/>
        </w:rPr>
        <w:t>Table S2. Full multivariable model coefficients for primary outcome (90-day mRS shift): overall cohort (N=196)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61"/>
        <w:gridCol w:w="3402"/>
        <w:gridCol w:w="1559"/>
      </w:tblGrid>
      <w:tr w:rsidR="00EF047C" w:rsidRPr="00C31A1E" w:rsidTr="00A11048">
        <w:trPr>
          <w:tblHeader/>
          <w:tblCellSpacing w:w="15" w:type="dxa"/>
        </w:trPr>
        <w:tc>
          <w:tcPr>
            <w:tcW w:w="3216" w:type="dxa"/>
            <w:tcBorders>
              <w:top w:val="single" w:sz="4" w:space="0" w:color="auto"/>
              <w:bottom w:val="single" w:sz="4" w:space="0" w:color="auto"/>
            </w:tcBorders>
            <w:vAlign w:val="center"/>
            <w:hideMark/>
          </w:tcPr>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t>Term</w:t>
            </w:r>
          </w:p>
        </w:tc>
        <w:tc>
          <w:tcPr>
            <w:tcW w:w="3372" w:type="dxa"/>
            <w:tcBorders>
              <w:top w:val="single" w:sz="4" w:space="0" w:color="auto"/>
              <w:bottom w:val="single" w:sz="4" w:space="0" w:color="auto"/>
            </w:tcBorders>
            <w:vAlign w:val="center"/>
            <w:hideMark/>
          </w:tcPr>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t xml:space="preserve">Adjusted </w:t>
            </w:r>
            <w:proofErr w:type="spellStart"/>
            <w:r w:rsidRPr="00C31A1E">
              <w:rPr>
                <w:rFonts w:ascii="Times New Roman" w:hAnsi="Times New Roman" w:cs="Times New Roman"/>
                <w:b/>
                <w:bCs/>
              </w:rPr>
              <w:t>cOR</w:t>
            </w:r>
            <w:proofErr w:type="spellEnd"/>
            <w:r w:rsidRPr="00C31A1E">
              <w:rPr>
                <w:rFonts w:ascii="Times New Roman" w:hAnsi="Times New Roman" w:cs="Times New Roman"/>
                <w:b/>
                <w:bCs/>
              </w:rPr>
              <w:t xml:space="preserve"> (95% CI)</w:t>
            </w:r>
          </w:p>
        </w:tc>
        <w:tc>
          <w:tcPr>
            <w:tcW w:w="1514" w:type="dxa"/>
            <w:tcBorders>
              <w:top w:val="single" w:sz="4" w:space="0" w:color="auto"/>
              <w:bottom w:val="single" w:sz="4" w:space="0" w:color="auto"/>
            </w:tcBorders>
            <w:vAlign w:val="center"/>
            <w:hideMark/>
          </w:tcPr>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t>P value</w:t>
            </w:r>
          </w:p>
        </w:tc>
      </w:tr>
      <w:tr w:rsidR="00EF047C" w:rsidRPr="00C31A1E" w:rsidTr="00A11048">
        <w:trPr>
          <w:tblCellSpacing w:w="15" w:type="dxa"/>
        </w:trPr>
        <w:tc>
          <w:tcPr>
            <w:tcW w:w="3216"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Collateral 2 vs 0–1</w:t>
            </w:r>
          </w:p>
        </w:tc>
        <w:tc>
          <w:tcPr>
            <w:tcW w:w="337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0.7</w:t>
            </w:r>
            <w:r w:rsidR="00FE2BEA" w:rsidRPr="00C31A1E">
              <w:rPr>
                <w:rFonts w:ascii="Times New Roman" w:hAnsi="Times New Roman" w:cs="Times New Roman"/>
              </w:rPr>
              <w:t xml:space="preserve">2 </w:t>
            </w:r>
            <w:r w:rsidRPr="00C31A1E">
              <w:rPr>
                <w:rFonts w:ascii="Times New Roman" w:hAnsi="Times New Roman" w:cs="Times New Roman"/>
              </w:rPr>
              <w:t>(0.33–1.53)</w:t>
            </w:r>
          </w:p>
        </w:tc>
        <w:tc>
          <w:tcPr>
            <w:tcW w:w="1514"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0.3</w:t>
            </w:r>
            <w:r w:rsidR="00FE2BEA" w:rsidRPr="00C31A1E">
              <w:rPr>
                <w:rFonts w:ascii="Times New Roman" w:hAnsi="Times New Roman" w:cs="Times New Roman"/>
              </w:rPr>
              <w:t>95</w:t>
            </w:r>
          </w:p>
        </w:tc>
      </w:tr>
      <w:tr w:rsidR="00EF047C" w:rsidRPr="00C31A1E" w:rsidTr="00A11048">
        <w:trPr>
          <w:tblCellSpacing w:w="15" w:type="dxa"/>
        </w:trPr>
        <w:tc>
          <w:tcPr>
            <w:tcW w:w="3216"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Collateral 3–4 vs 0–1</w:t>
            </w:r>
          </w:p>
        </w:tc>
        <w:tc>
          <w:tcPr>
            <w:tcW w:w="337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0.2</w:t>
            </w:r>
            <w:r w:rsidR="00FE2BEA" w:rsidRPr="00C31A1E">
              <w:rPr>
                <w:rFonts w:ascii="Times New Roman" w:hAnsi="Times New Roman" w:cs="Times New Roman"/>
              </w:rPr>
              <w:t>4</w:t>
            </w:r>
            <w:r w:rsidRPr="00C31A1E">
              <w:rPr>
                <w:rFonts w:ascii="Times New Roman" w:hAnsi="Times New Roman" w:cs="Times New Roman"/>
              </w:rPr>
              <w:t xml:space="preserve"> (0.09–0.6</w:t>
            </w:r>
            <w:r w:rsidR="00FE2BEA" w:rsidRPr="00C31A1E">
              <w:rPr>
                <w:rFonts w:ascii="Times New Roman" w:hAnsi="Times New Roman" w:cs="Times New Roman"/>
              </w:rPr>
              <w:t>4</w:t>
            </w:r>
            <w:r w:rsidRPr="00C31A1E">
              <w:rPr>
                <w:rFonts w:ascii="Times New Roman" w:hAnsi="Times New Roman" w:cs="Times New Roman"/>
              </w:rPr>
              <w:t>)</w:t>
            </w:r>
          </w:p>
        </w:tc>
        <w:tc>
          <w:tcPr>
            <w:tcW w:w="1514"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0.00</w:t>
            </w:r>
            <w:r w:rsidR="00FE2BEA" w:rsidRPr="00C31A1E">
              <w:rPr>
                <w:rFonts w:ascii="Times New Roman" w:hAnsi="Times New Roman" w:cs="Times New Roman"/>
              </w:rPr>
              <w:t>5</w:t>
            </w:r>
          </w:p>
        </w:tc>
      </w:tr>
      <w:tr w:rsidR="00EF047C" w:rsidRPr="00C31A1E" w:rsidTr="00A11048">
        <w:trPr>
          <w:tblCellSpacing w:w="15" w:type="dxa"/>
        </w:trPr>
        <w:tc>
          <w:tcPr>
            <w:tcW w:w="3216"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Age (per year)</w:t>
            </w:r>
          </w:p>
        </w:tc>
        <w:tc>
          <w:tcPr>
            <w:tcW w:w="337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1.03 (1.01–1.06)</w:t>
            </w:r>
          </w:p>
        </w:tc>
        <w:tc>
          <w:tcPr>
            <w:tcW w:w="1514"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0.007</w:t>
            </w:r>
          </w:p>
        </w:tc>
      </w:tr>
      <w:tr w:rsidR="00EF047C" w:rsidRPr="00C31A1E" w:rsidTr="00A11048">
        <w:trPr>
          <w:tblCellSpacing w:w="15" w:type="dxa"/>
        </w:trPr>
        <w:tc>
          <w:tcPr>
            <w:tcW w:w="3216"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Male sex</w:t>
            </w:r>
          </w:p>
        </w:tc>
        <w:tc>
          <w:tcPr>
            <w:tcW w:w="337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0.99 (0.56–1.73)</w:t>
            </w:r>
          </w:p>
        </w:tc>
        <w:tc>
          <w:tcPr>
            <w:tcW w:w="1514"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0.960</w:t>
            </w:r>
          </w:p>
        </w:tc>
      </w:tr>
      <w:tr w:rsidR="00EF047C" w:rsidRPr="00C31A1E" w:rsidTr="00A11048">
        <w:trPr>
          <w:tblCellSpacing w:w="15" w:type="dxa"/>
        </w:trPr>
        <w:tc>
          <w:tcPr>
            <w:tcW w:w="3216"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NIHSS (per point)</w:t>
            </w:r>
          </w:p>
        </w:tc>
        <w:tc>
          <w:tcPr>
            <w:tcW w:w="337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1.13 (1.07–1.20)</w:t>
            </w:r>
          </w:p>
        </w:tc>
        <w:tc>
          <w:tcPr>
            <w:tcW w:w="1514"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&lt;0.001</w:t>
            </w:r>
          </w:p>
        </w:tc>
      </w:tr>
      <w:tr w:rsidR="00EF047C" w:rsidRPr="00C31A1E" w:rsidTr="00A11048">
        <w:trPr>
          <w:tblCellSpacing w:w="15" w:type="dxa"/>
        </w:trPr>
        <w:tc>
          <w:tcPr>
            <w:tcW w:w="3216"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ASPECTS (per point)</w:t>
            </w:r>
          </w:p>
        </w:tc>
        <w:tc>
          <w:tcPr>
            <w:tcW w:w="337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0.77 (0.63–0.95)</w:t>
            </w:r>
          </w:p>
        </w:tc>
        <w:tc>
          <w:tcPr>
            <w:tcW w:w="1514"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0.013</w:t>
            </w:r>
          </w:p>
        </w:tc>
      </w:tr>
      <w:tr w:rsidR="00EF047C" w:rsidRPr="00C31A1E" w:rsidTr="00A11048">
        <w:trPr>
          <w:tblCellSpacing w:w="15" w:type="dxa"/>
        </w:trPr>
        <w:tc>
          <w:tcPr>
            <w:tcW w:w="3216"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Onset-to-CT time (per hour)</w:t>
            </w:r>
          </w:p>
        </w:tc>
        <w:tc>
          <w:tcPr>
            <w:tcW w:w="337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0.99 (0.96–1.02)</w:t>
            </w:r>
          </w:p>
        </w:tc>
        <w:tc>
          <w:tcPr>
            <w:tcW w:w="1514"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0.648</w:t>
            </w:r>
          </w:p>
        </w:tc>
      </w:tr>
      <w:tr w:rsidR="00EF047C" w:rsidRPr="00C31A1E" w:rsidTr="00A11048">
        <w:trPr>
          <w:tblCellSpacing w:w="15" w:type="dxa"/>
        </w:trPr>
        <w:tc>
          <w:tcPr>
            <w:tcW w:w="3216"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IVT (yes vs no)</w:t>
            </w:r>
          </w:p>
        </w:tc>
        <w:tc>
          <w:tcPr>
            <w:tcW w:w="337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0.87 (0.48–1.59)</w:t>
            </w:r>
          </w:p>
        </w:tc>
        <w:tc>
          <w:tcPr>
            <w:tcW w:w="1514"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0.657</w:t>
            </w:r>
          </w:p>
        </w:tc>
      </w:tr>
      <w:tr w:rsidR="00EF047C" w:rsidRPr="00C31A1E" w:rsidTr="00A11048">
        <w:trPr>
          <w:tblCellSpacing w:w="15" w:type="dxa"/>
        </w:trPr>
        <w:tc>
          <w:tcPr>
            <w:tcW w:w="3216" w:type="dxa"/>
            <w:tcBorders>
              <w:bottom w:val="single" w:sz="4" w:space="0" w:color="auto"/>
            </w:tcBorders>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EVT (yes vs no)</w:t>
            </w:r>
          </w:p>
        </w:tc>
        <w:tc>
          <w:tcPr>
            <w:tcW w:w="3372" w:type="dxa"/>
            <w:tcBorders>
              <w:bottom w:val="single" w:sz="4" w:space="0" w:color="auto"/>
            </w:tcBorders>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0.59 (0.31–1.12)</w:t>
            </w:r>
          </w:p>
        </w:tc>
        <w:tc>
          <w:tcPr>
            <w:tcW w:w="1514" w:type="dxa"/>
            <w:tcBorders>
              <w:bottom w:val="single" w:sz="4" w:space="0" w:color="auto"/>
            </w:tcBorders>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0.107</w:t>
            </w:r>
          </w:p>
        </w:tc>
      </w:tr>
    </w:tbl>
    <w:p w:rsidR="00982204" w:rsidRPr="00C31A1E" w:rsidRDefault="00982204" w:rsidP="00982204">
      <w:pPr>
        <w:rPr>
          <w:rFonts w:ascii="Times New Roman" w:hAnsi="Times New Roman" w:cs="Times New Roman"/>
          <w:i/>
          <w:iCs/>
        </w:rPr>
      </w:pPr>
      <w:r w:rsidRPr="00C31A1E">
        <w:rPr>
          <w:rFonts w:ascii="Times New Roman" w:hAnsi="Times New Roman" w:cs="Times New Roman"/>
          <w:i/>
          <w:iCs/>
        </w:rPr>
        <w:t xml:space="preserve">NIHSS, National Institutes of Health Stroke Scale; ASPECTS, Alberta Stroke Program Early CT Score; IVT, intravenous thrombolysis; EVT, </w:t>
      </w:r>
      <w:r w:rsidR="00725B5A" w:rsidRPr="00C31A1E">
        <w:rPr>
          <w:rFonts w:ascii="Times New Roman" w:hAnsi="Times New Roman" w:cs="Times New Roman"/>
          <w:i/>
          <w:iCs/>
        </w:rPr>
        <w:t>endovascular thrombectomy</w:t>
      </w:r>
      <w:r w:rsidRPr="00C31A1E">
        <w:rPr>
          <w:rFonts w:ascii="Times New Roman" w:hAnsi="Times New Roman" w:cs="Times New Roman"/>
          <w:i/>
          <w:iCs/>
        </w:rPr>
        <w:t>.</w:t>
      </w:r>
    </w:p>
    <w:p w:rsidR="00BD74C8" w:rsidRPr="00C31A1E" w:rsidRDefault="00BD74C8" w:rsidP="00982204">
      <w:pPr>
        <w:rPr>
          <w:rFonts w:ascii="Times New Roman" w:hAnsi="Times New Roman" w:cs="Times New Roman"/>
          <w:i/>
          <w:iCs/>
        </w:rPr>
      </w:pPr>
      <w:r w:rsidRPr="00C31A1E">
        <w:rPr>
          <w:rFonts w:ascii="Times New Roman" w:hAnsi="Times New Roman" w:cs="Times New Roman"/>
          <w:i/>
          <w:iCs/>
        </w:rPr>
        <w:t>Model adjusted for age, sex, NIHSS, ASPECTS, onset-to-CT time, IVT, EVT, and collateral categories (0–1 reference).</w:t>
      </w:r>
    </w:p>
    <w:p w:rsidR="00747F07" w:rsidRPr="00C31A1E" w:rsidRDefault="00747F07" w:rsidP="00982204">
      <w:pPr>
        <w:rPr>
          <w:rFonts w:ascii="Times New Roman" w:hAnsi="Times New Roman" w:cs="Times New Roman"/>
          <w:i/>
          <w:iCs/>
        </w:rPr>
      </w:pPr>
    </w:p>
    <w:p w:rsidR="00465DF1" w:rsidRPr="00C31A1E" w:rsidRDefault="00465DF1">
      <w:pPr>
        <w:widowControl/>
        <w:jc w:val="left"/>
        <w:rPr>
          <w:rFonts w:ascii="Times New Roman" w:hAnsi="Times New Roman" w:cs="Times New Roman"/>
        </w:rPr>
      </w:pPr>
      <w:r w:rsidRPr="00C31A1E">
        <w:rPr>
          <w:rFonts w:ascii="Times New Roman" w:hAnsi="Times New Roman" w:cs="Times New Roman"/>
        </w:rPr>
        <w:br w:type="page"/>
      </w:r>
    </w:p>
    <w:p w:rsidR="00EF047C" w:rsidRPr="00C31A1E" w:rsidRDefault="00EF047C" w:rsidP="00EF047C">
      <w:pPr>
        <w:rPr>
          <w:rFonts w:ascii="Times New Roman" w:hAnsi="Times New Roman" w:cs="Times New Roman"/>
        </w:rPr>
      </w:pPr>
    </w:p>
    <w:p w:rsidR="00EF047C" w:rsidRPr="00DA2CA6" w:rsidRDefault="00EF047C" w:rsidP="00EF047C">
      <w:pPr>
        <w:rPr>
          <w:rFonts w:ascii="Times New Roman" w:hAnsi="Times New Roman" w:cs="Times New Roman"/>
          <w:b/>
          <w:bCs/>
        </w:rPr>
      </w:pPr>
      <w:r w:rsidRPr="00DA2CA6">
        <w:rPr>
          <w:rFonts w:ascii="Times New Roman" w:hAnsi="Times New Roman" w:cs="Times New Roman"/>
          <w:b/>
          <w:bCs/>
        </w:rPr>
        <w:t>Table S3. Full multivariable model coefficients for primary outcome (90-day mRS shift): EVT subgroup (N=116)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02"/>
        <w:gridCol w:w="3261"/>
        <w:gridCol w:w="1417"/>
      </w:tblGrid>
      <w:tr w:rsidR="00EF047C" w:rsidRPr="00C31A1E" w:rsidTr="009527E9">
        <w:trPr>
          <w:tblHeader/>
          <w:tblCellSpacing w:w="15" w:type="dxa"/>
        </w:trPr>
        <w:tc>
          <w:tcPr>
            <w:tcW w:w="3357" w:type="dxa"/>
            <w:tcBorders>
              <w:top w:val="single" w:sz="4" w:space="0" w:color="auto"/>
              <w:bottom w:val="single" w:sz="4" w:space="0" w:color="auto"/>
            </w:tcBorders>
            <w:vAlign w:val="center"/>
            <w:hideMark/>
          </w:tcPr>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t>Term</w:t>
            </w:r>
          </w:p>
        </w:tc>
        <w:tc>
          <w:tcPr>
            <w:tcW w:w="3231" w:type="dxa"/>
            <w:tcBorders>
              <w:top w:val="single" w:sz="4" w:space="0" w:color="auto"/>
              <w:bottom w:val="single" w:sz="4" w:space="0" w:color="auto"/>
            </w:tcBorders>
            <w:vAlign w:val="center"/>
            <w:hideMark/>
          </w:tcPr>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t xml:space="preserve">Adjusted </w:t>
            </w:r>
            <w:proofErr w:type="spellStart"/>
            <w:r w:rsidRPr="00C31A1E">
              <w:rPr>
                <w:rFonts w:ascii="Times New Roman" w:hAnsi="Times New Roman" w:cs="Times New Roman"/>
                <w:b/>
                <w:bCs/>
              </w:rPr>
              <w:t>cOR</w:t>
            </w:r>
            <w:proofErr w:type="spellEnd"/>
            <w:r w:rsidRPr="00C31A1E">
              <w:rPr>
                <w:rFonts w:ascii="Times New Roman" w:hAnsi="Times New Roman" w:cs="Times New Roman"/>
                <w:b/>
                <w:bCs/>
              </w:rPr>
              <w:t xml:space="preserve"> (95% CI)</w:t>
            </w:r>
          </w:p>
        </w:tc>
        <w:tc>
          <w:tcPr>
            <w:tcW w:w="1372" w:type="dxa"/>
            <w:tcBorders>
              <w:top w:val="single" w:sz="4" w:space="0" w:color="auto"/>
              <w:bottom w:val="single" w:sz="4" w:space="0" w:color="auto"/>
            </w:tcBorders>
            <w:vAlign w:val="center"/>
            <w:hideMark/>
          </w:tcPr>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t>P value</w:t>
            </w:r>
          </w:p>
        </w:tc>
      </w:tr>
      <w:tr w:rsidR="00EF047C" w:rsidRPr="00C31A1E" w:rsidTr="009527E9">
        <w:trPr>
          <w:tblCellSpacing w:w="15" w:type="dxa"/>
        </w:trPr>
        <w:tc>
          <w:tcPr>
            <w:tcW w:w="3357"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Collateral 2 vs 0–1</w:t>
            </w:r>
          </w:p>
        </w:tc>
        <w:tc>
          <w:tcPr>
            <w:tcW w:w="3231"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0.8</w:t>
            </w:r>
            <w:r w:rsidR="00FD0EA4" w:rsidRPr="00C31A1E">
              <w:rPr>
                <w:rFonts w:ascii="Times New Roman" w:hAnsi="Times New Roman" w:cs="Times New Roman"/>
              </w:rPr>
              <w:t>2</w:t>
            </w:r>
            <w:r w:rsidRPr="00C31A1E">
              <w:rPr>
                <w:rFonts w:ascii="Times New Roman" w:hAnsi="Times New Roman" w:cs="Times New Roman"/>
              </w:rPr>
              <w:t xml:space="preserve"> (0.3</w:t>
            </w:r>
            <w:r w:rsidR="00FD0EA4" w:rsidRPr="00C31A1E">
              <w:rPr>
                <w:rFonts w:ascii="Times New Roman" w:hAnsi="Times New Roman" w:cs="Times New Roman"/>
              </w:rPr>
              <w:t>5</w:t>
            </w:r>
            <w:r w:rsidRPr="00C31A1E">
              <w:rPr>
                <w:rFonts w:ascii="Times New Roman" w:hAnsi="Times New Roman" w:cs="Times New Roman"/>
              </w:rPr>
              <w:t>–1.9</w:t>
            </w:r>
            <w:r w:rsidR="00FD0EA4" w:rsidRPr="00C31A1E">
              <w:rPr>
                <w:rFonts w:ascii="Times New Roman" w:hAnsi="Times New Roman" w:cs="Times New Roman"/>
              </w:rPr>
              <w:t>4</w:t>
            </w:r>
            <w:r w:rsidRPr="00C31A1E">
              <w:rPr>
                <w:rFonts w:ascii="Times New Roman" w:hAnsi="Times New Roman" w:cs="Times New Roman"/>
              </w:rPr>
              <w:t>)</w:t>
            </w:r>
          </w:p>
        </w:tc>
        <w:tc>
          <w:tcPr>
            <w:tcW w:w="137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0.6</w:t>
            </w:r>
            <w:r w:rsidR="00FD0EA4" w:rsidRPr="00C31A1E">
              <w:rPr>
                <w:rFonts w:ascii="Times New Roman" w:hAnsi="Times New Roman" w:cs="Times New Roman"/>
              </w:rPr>
              <w:t>52</w:t>
            </w:r>
          </w:p>
        </w:tc>
      </w:tr>
      <w:tr w:rsidR="00EF047C" w:rsidRPr="00C31A1E" w:rsidTr="009527E9">
        <w:trPr>
          <w:tblCellSpacing w:w="15" w:type="dxa"/>
        </w:trPr>
        <w:tc>
          <w:tcPr>
            <w:tcW w:w="3357"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Collateral 3–4 vs 0–1</w:t>
            </w:r>
          </w:p>
        </w:tc>
        <w:tc>
          <w:tcPr>
            <w:tcW w:w="3231"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w:t>
            </w:r>
            <w:r w:rsidR="00FD0EA4" w:rsidRPr="00C31A1E">
              <w:rPr>
                <w:rFonts w:ascii="Times New Roman" w:hAnsi="Times New Roman" w:cs="Times New Roman"/>
              </w:rPr>
              <w:t>51</w:t>
            </w:r>
            <w:r w:rsidRPr="00C31A1E">
              <w:rPr>
                <w:rFonts w:ascii="Times New Roman" w:hAnsi="Times New Roman" w:cs="Times New Roman"/>
              </w:rPr>
              <w:t xml:space="preserve"> (0.14–1.</w:t>
            </w:r>
            <w:r w:rsidR="00FD0EA4" w:rsidRPr="00C31A1E">
              <w:rPr>
                <w:rFonts w:ascii="Times New Roman" w:hAnsi="Times New Roman" w:cs="Times New Roman"/>
              </w:rPr>
              <w:t>81</w:t>
            </w:r>
            <w:r w:rsidRPr="00C31A1E">
              <w:rPr>
                <w:rFonts w:ascii="Times New Roman" w:hAnsi="Times New Roman" w:cs="Times New Roman"/>
              </w:rPr>
              <w:t>)</w:t>
            </w:r>
          </w:p>
        </w:tc>
        <w:tc>
          <w:tcPr>
            <w:tcW w:w="137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0.2</w:t>
            </w:r>
            <w:r w:rsidR="00FD0EA4" w:rsidRPr="00C31A1E">
              <w:rPr>
                <w:rFonts w:ascii="Times New Roman" w:hAnsi="Times New Roman" w:cs="Times New Roman"/>
              </w:rPr>
              <w:t>96</w:t>
            </w:r>
          </w:p>
        </w:tc>
      </w:tr>
      <w:tr w:rsidR="00EF047C" w:rsidRPr="00C31A1E" w:rsidTr="009527E9">
        <w:trPr>
          <w:tblCellSpacing w:w="15" w:type="dxa"/>
        </w:trPr>
        <w:tc>
          <w:tcPr>
            <w:tcW w:w="3357"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Age (per year)</w:t>
            </w:r>
          </w:p>
        </w:tc>
        <w:tc>
          <w:tcPr>
            <w:tcW w:w="3231"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1.06 (1.03–1.11)</w:t>
            </w:r>
          </w:p>
        </w:tc>
        <w:tc>
          <w:tcPr>
            <w:tcW w:w="137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&lt;0.001</w:t>
            </w:r>
          </w:p>
        </w:tc>
      </w:tr>
      <w:tr w:rsidR="00EF047C" w:rsidRPr="00C31A1E" w:rsidTr="009527E9">
        <w:trPr>
          <w:tblCellSpacing w:w="15" w:type="dxa"/>
        </w:trPr>
        <w:tc>
          <w:tcPr>
            <w:tcW w:w="3357"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Male sex</w:t>
            </w:r>
          </w:p>
        </w:tc>
        <w:tc>
          <w:tcPr>
            <w:tcW w:w="3231"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1.53 (0.71–3.29)</w:t>
            </w:r>
          </w:p>
        </w:tc>
        <w:tc>
          <w:tcPr>
            <w:tcW w:w="137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0.275</w:t>
            </w:r>
          </w:p>
        </w:tc>
      </w:tr>
      <w:tr w:rsidR="00EF047C" w:rsidRPr="00C31A1E" w:rsidTr="009527E9">
        <w:trPr>
          <w:tblCellSpacing w:w="15" w:type="dxa"/>
        </w:trPr>
        <w:tc>
          <w:tcPr>
            <w:tcW w:w="3357"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NIHSS (per point)</w:t>
            </w:r>
          </w:p>
        </w:tc>
        <w:tc>
          <w:tcPr>
            <w:tcW w:w="3231"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1.14 (1.06–1.22)</w:t>
            </w:r>
          </w:p>
        </w:tc>
        <w:tc>
          <w:tcPr>
            <w:tcW w:w="137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&lt;0.001</w:t>
            </w:r>
          </w:p>
        </w:tc>
      </w:tr>
      <w:tr w:rsidR="00EF047C" w:rsidRPr="00C31A1E" w:rsidTr="009527E9">
        <w:trPr>
          <w:tblCellSpacing w:w="15" w:type="dxa"/>
        </w:trPr>
        <w:tc>
          <w:tcPr>
            <w:tcW w:w="3357"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ASPECTS (per point)</w:t>
            </w:r>
          </w:p>
        </w:tc>
        <w:tc>
          <w:tcPr>
            <w:tcW w:w="3231"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0.75 (0.58–0.97)</w:t>
            </w:r>
          </w:p>
        </w:tc>
        <w:tc>
          <w:tcPr>
            <w:tcW w:w="137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0.030</w:t>
            </w:r>
          </w:p>
        </w:tc>
      </w:tr>
      <w:tr w:rsidR="00EF047C" w:rsidRPr="00C31A1E" w:rsidTr="009527E9">
        <w:trPr>
          <w:tblCellSpacing w:w="15" w:type="dxa"/>
        </w:trPr>
        <w:tc>
          <w:tcPr>
            <w:tcW w:w="3357"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Onset-to-CT time (per hour)</w:t>
            </w:r>
          </w:p>
        </w:tc>
        <w:tc>
          <w:tcPr>
            <w:tcW w:w="3231"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1.03 (0.95–1.13)</w:t>
            </w:r>
          </w:p>
        </w:tc>
        <w:tc>
          <w:tcPr>
            <w:tcW w:w="137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0.459</w:t>
            </w:r>
          </w:p>
        </w:tc>
      </w:tr>
      <w:tr w:rsidR="00EF047C" w:rsidRPr="00C31A1E" w:rsidTr="009527E9">
        <w:trPr>
          <w:tblCellSpacing w:w="15" w:type="dxa"/>
        </w:trPr>
        <w:tc>
          <w:tcPr>
            <w:tcW w:w="3357"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IVT (yes vs no)</w:t>
            </w:r>
          </w:p>
        </w:tc>
        <w:tc>
          <w:tcPr>
            <w:tcW w:w="3231"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1.16 (0.52–2.56)</w:t>
            </w:r>
          </w:p>
        </w:tc>
        <w:tc>
          <w:tcPr>
            <w:tcW w:w="137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0.716</w:t>
            </w:r>
          </w:p>
        </w:tc>
      </w:tr>
      <w:tr w:rsidR="00EF047C" w:rsidRPr="00C31A1E" w:rsidTr="009527E9">
        <w:trPr>
          <w:tblCellSpacing w:w="15" w:type="dxa"/>
        </w:trPr>
        <w:tc>
          <w:tcPr>
            <w:tcW w:w="3357" w:type="dxa"/>
            <w:tcBorders>
              <w:bottom w:val="single" w:sz="4" w:space="0" w:color="auto"/>
            </w:tcBorders>
            <w:vAlign w:val="center"/>
            <w:hideMark/>
          </w:tcPr>
          <w:p w:rsidR="00EF047C" w:rsidRPr="00C31A1E" w:rsidRDefault="00EF047C" w:rsidP="00EF047C">
            <w:pPr>
              <w:rPr>
                <w:rFonts w:ascii="Times New Roman" w:hAnsi="Times New Roman" w:cs="Times New Roman"/>
              </w:rPr>
            </w:pPr>
            <w:bookmarkStart w:id="4" w:name="OLE_LINK8"/>
            <w:proofErr w:type="spellStart"/>
            <w:r w:rsidRPr="00C31A1E">
              <w:rPr>
                <w:rFonts w:ascii="Times New Roman" w:hAnsi="Times New Roman" w:cs="Times New Roman"/>
              </w:rPr>
              <w:t>eTICI</w:t>
            </w:r>
            <w:bookmarkEnd w:id="4"/>
            <w:r w:rsidRPr="00C31A1E">
              <w:rPr>
                <w:rFonts w:ascii="Times New Roman" w:hAnsi="Times New Roman" w:cs="Times New Roman"/>
              </w:rPr>
              <w:t>_success</w:t>
            </w:r>
            <w:proofErr w:type="spellEnd"/>
            <w:r w:rsidRPr="00C31A1E">
              <w:rPr>
                <w:rFonts w:ascii="Times New Roman" w:hAnsi="Times New Roman" w:cs="Times New Roman"/>
              </w:rPr>
              <w:t xml:space="preserve"> (≥</w:t>
            </w:r>
            <w:r w:rsidR="00231607" w:rsidRPr="00C31A1E">
              <w:rPr>
                <w:rFonts w:ascii="Times New Roman" w:hAnsi="Times New Roman" w:cs="Times New Roman"/>
              </w:rPr>
              <w:t>2b67</w:t>
            </w:r>
            <w:r w:rsidRPr="00C31A1E">
              <w:rPr>
                <w:rFonts w:ascii="Times New Roman" w:hAnsi="Times New Roman" w:cs="Times New Roman"/>
              </w:rPr>
              <w:t>)</w:t>
            </w:r>
          </w:p>
        </w:tc>
        <w:tc>
          <w:tcPr>
            <w:tcW w:w="3231" w:type="dxa"/>
            <w:tcBorders>
              <w:bottom w:val="single" w:sz="4" w:space="0" w:color="auto"/>
            </w:tcBorders>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0.29 (0.11–0.77)</w:t>
            </w:r>
          </w:p>
        </w:tc>
        <w:tc>
          <w:tcPr>
            <w:tcW w:w="1372" w:type="dxa"/>
            <w:tcBorders>
              <w:bottom w:val="single" w:sz="4" w:space="0" w:color="auto"/>
            </w:tcBorders>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0.013</w:t>
            </w:r>
          </w:p>
        </w:tc>
      </w:tr>
    </w:tbl>
    <w:p w:rsidR="00DD77E9" w:rsidRPr="00C31A1E" w:rsidRDefault="009527E9">
      <w:pPr>
        <w:widowControl/>
        <w:jc w:val="left"/>
        <w:rPr>
          <w:rFonts w:ascii="Times New Roman" w:hAnsi="Times New Roman" w:cs="Times New Roman"/>
          <w:i/>
          <w:iCs/>
        </w:rPr>
      </w:pPr>
      <w:r w:rsidRPr="00C31A1E">
        <w:rPr>
          <w:rFonts w:ascii="Times New Roman" w:hAnsi="Times New Roman" w:cs="Times New Roman"/>
          <w:i/>
          <w:iCs/>
        </w:rPr>
        <w:t xml:space="preserve">NIHSS, National Institutes of Health Stroke Scale; ASPECTS, Alberta Stroke Program Early CT Score; </w:t>
      </w:r>
      <w:r w:rsidR="00CA6842" w:rsidRPr="00C31A1E">
        <w:rPr>
          <w:rFonts w:ascii="Times New Roman" w:hAnsi="Times New Roman" w:cs="Times New Roman"/>
          <w:i/>
          <w:iCs/>
        </w:rPr>
        <w:t>CT,</w:t>
      </w:r>
      <w:r w:rsidR="00CA6842" w:rsidRPr="00C31A1E">
        <w:rPr>
          <w:rFonts w:ascii="Times New Roman" w:hAnsi="Times New Roman" w:cs="Times New Roman"/>
        </w:rPr>
        <w:t xml:space="preserve"> </w:t>
      </w:r>
      <w:r w:rsidR="00CA6842" w:rsidRPr="00C31A1E">
        <w:rPr>
          <w:rFonts w:ascii="Times New Roman" w:hAnsi="Times New Roman" w:cs="Times New Roman"/>
          <w:i/>
          <w:iCs/>
        </w:rPr>
        <w:t xml:space="preserve">computed tomography; </w:t>
      </w:r>
      <w:r w:rsidRPr="00C31A1E">
        <w:rPr>
          <w:rFonts w:ascii="Times New Roman" w:hAnsi="Times New Roman" w:cs="Times New Roman"/>
          <w:i/>
          <w:iCs/>
        </w:rPr>
        <w:t xml:space="preserve">IVT, intravenous thrombolysis; </w:t>
      </w:r>
      <w:proofErr w:type="spellStart"/>
      <w:r w:rsidRPr="00C31A1E">
        <w:rPr>
          <w:rFonts w:ascii="Times New Roman" w:hAnsi="Times New Roman" w:cs="Times New Roman"/>
          <w:i/>
          <w:iCs/>
        </w:rPr>
        <w:t>eTICI</w:t>
      </w:r>
      <w:proofErr w:type="spellEnd"/>
      <w:r w:rsidRPr="00C31A1E">
        <w:rPr>
          <w:rFonts w:ascii="Times New Roman" w:hAnsi="Times New Roman" w:cs="Times New Roman"/>
          <w:i/>
          <w:iCs/>
        </w:rPr>
        <w:t>, expanded Thrombolysis in Cerebral Infarction</w:t>
      </w:r>
      <w:r w:rsidR="006A585C" w:rsidRPr="00C31A1E">
        <w:rPr>
          <w:rFonts w:ascii="Times New Roman" w:hAnsi="Times New Roman" w:cs="Times New Roman"/>
          <w:i/>
          <w:iCs/>
        </w:rPr>
        <w:t>; OR, odds ratio; CI, confidence interval.</w:t>
      </w:r>
      <w:r w:rsidR="006A585C" w:rsidRPr="00C31A1E">
        <w:rPr>
          <w:rFonts w:ascii="Times New Roman" w:hAnsi="Times New Roman" w:cs="Times New Roman"/>
          <w:i/>
          <w:iCs/>
        </w:rPr>
        <w:tab/>
      </w:r>
    </w:p>
    <w:p w:rsidR="00747F07" w:rsidRPr="00C31A1E" w:rsidRDefault="00DD77E9">
      <w:pPr>
        <w:widowControl/>
        <w:jc w:val="left"/>
        <w:rPr>
          <w:rFonts w:ascii="Times New Roman" w:hAnsi="Times New Roman" w:cs="Times New Roman"/>
          <w:i/>
          <w:iCs/>
        </w:rPr>
      </w:pPr>
      <w:r w:rsidRPr="00C31A1E">
        <w:rPr>
          <w:rFonts w:ascii="Times New Roman" w:hAnsi="Times New Roman" w:cs="Times New Roman"/>
          <w:i/>
          <w:iCs/>
        </w:rPr>
        <w:t xml:space="preserve">EVT subgroup model adjusted for age, sex, NIHSS, ASPECTS, onset-to-CT time, IVT, and </w:t>
      </w:r>
      <w:proofErr w:type="spellStart"/>
      <w:r w:rsidRPr="00C31A1E">
        <w:rPr>
          <w:rFonts w:ascii="Times New Roman" w:hAnsi="Times New Roman" w:cs="Times New Roman"/>
          <w:i/>
          <w:iCs/>
        </w:rPr>
        <w:t>eTICI_success</w:t>
      </w:r>
      <w:proofErr w:type="spellEnd"/>
      <w:r w:rsidRPr="00C31A1E">
        <w:rPr>
          <w:rFonts w:ascii="Times New Roman" w:hAnsi="Times New Roman" w:cs="Times New Roman"/>
          <w:i/>
          <w:iCs/>
        </w:rPr>
        <w:t xml:space="preserve"> (</w:t>
      </w:r>
      <w:proofErr w:type="spellStart"/>
      <w:r w:rsidRPr="00C31A1E">
        <w:rPr>
          <w:rFonts w:ascii="Times New Roman" w:hAnsi="Times New Roman" w:cs="Times New Roman"/>
          <w:i/>
          <w:iCs/>
        </w:rPr>
        <w:t>eTICI</w:t>
      </w:r>
      <w:proofErr w:type="spellEnd"/>
      <w:r w:rsidRPr="00C31A1E">
        <w:rPr>
          <w:rFonts w:ascii="Times New Roman" w:hAnsi="Times New Roman" w:cs="Times New Roman"/>
          <w:i/>
          <w:iCs/>
        </w:rPr>
        <w:t xml:space="preserve"> ≥2b67), plus collateral categories (0–1 reference).</w:t>
      </w:r>
    </w:p>
    <w:p w:rsidR="00465DF1" w:rsidRPr="00C31A1E" w:rsidRDefault="00465DF1">
      <w:pPr>
        <w:widowControl/>
        <w:jc w:val="left"/>
        <w:rPr>
          <w:rFonts w:ascii="Times New Roman" w:hAnsi="Times New Roman" w:cs="Times New Roman"/>
        </w:rPr>
      </w:pPr>
      <w:r w:rsidRPr="00C31A1E">
        <w:rPr>
          <w:rFonts w:ascii="Times New Roman" w:hAnsi="Times New Roman" w:cs="Times New Roman"/>
        </w:rPr>
        <w:br w:type="page"/>
      </w:r>
    </w:p>
    <w:p w:rsidR="00EF047C" w:rsidRPr="00C31A1E" w:rsidRDefault="00EF047C" w:rsidP="00EF047C">
      <w:pPr>
        <w:rPr>
          <w:rFonts w:ascii="Times New Roman" w:hAnsi="Times New Roman" w:cs="Times New Roman"/>
        </w:rPr>
      </w:pPr>
    </w:p>
    <w:p w:rsidR="00EF047C" w:rsidRPr="00DA2CA6" w:rsidRDefault="00EF047C" w:rsidP="00EF047C">
      <w:pPr>
        <w:rPr>
          <w:rFonts w:ascii="Times New Roman" w:hAnsi="Times New Roman" w:cs="Times New Roman"/>
          <w:b/>
          <w:bCs/>
        </w:rPr>
      </w:pPr>
      <w:r w:rsidRPr="00DA2CA6">
        <w:rPr>
          <w:rFonts w:ascii="Times New Roman" w:hAnsi="Times New Roman" w:cs="Times New Roman"/>
          <w:b/>
          <w:bCs/>
        </w:rPr>
        <w:t>Table S4. Sensitivity analysis for parenchymal hematoma (PH): three-category collateral (0-1, 2, 3-4), Firth logistic regression: overall cohort (N=196)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7"/>
        <w:gridCol w:w="1984"/>
        <w:gridCol w:w="2835"/>
        <w:gridCol w:w="1276"/>
      </w:tblGrid>
      <w:tr w:rsidR="00EF047C" w:rsidRPr="00C31A1E" w:rsidTr="00061719">
        <w:trPr>
          <w:tblHeader/>
          <w:tblCellSpacing w:w="15" w:type="dxa"/>
        </w:trPr>
        <w:tc>
          <w:tcPr>
            <w:tcW w:w="2082" w:type="dxa"/>
            <w:tcBorders>
              <w:top w:val="single" w:sz="4" w:space="0" w:color="auto"/>
              <w:bottom w:val="single" w:sz="4" w:space="0" w:color="auto"/>
            </w:tcBorders>
            <w:vAlign w:val="center"/>
            <w:hideMark/>
          </w:tcPr>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t>Collateral group</w:t>
            </w:r>
          </w:p>
        </w:tc>
        <w:tc>
          <w:tcPr>
            <w:tcW w:w="1954" w:type="dxa"/>
            <w:tcBorders>
              <w:top w:val="single" w:sz="4" w:space="0" w:color="auto"/>
              <w:bottom w:val="single" w:sz="4" w:space="0" w:color="auto"/>
            </w:tcBorders>
            <w:vAlign w:val="center"/>
            <w:hideMark/>
          </w:tcPr>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t>PH, n/N (%)</w:t>
            </w:r>
          </w:p>
        </w:tc>
        <w:tc>
          <w:tcPr>
            <w:tcW w:w="2805" w:type="dxa"/>
            <w:tcBorders>
              <w:top w:val="single" w:sz="4" w:space="0" w:color="auto"/>
              <w:bottom w:val="single" w:sz="4" w:space="0" w:color="auto"/>
            </w:tcBorders>
            <w:vAlign w:val="center"/>
            <w:hideMark/>
          </w:tcPr>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t>Adjusted OR (95% CI)</w:t>
            </w:r>
          </w:p>
        </w:tc>
        <w:tc>
          <w:tcPr>
            <w:tcW w:w="1231" w:type="dxa"/>
            <w:tcBorders>
              <w:top w:val="single" w:sz="4" w:space="0" w:color="auto"/>
              <w:bottom w:val="single" w:sz="4" w:space="0" w:color="auto"/>
            </w:tcBorders>
            <w:vAlign w:val="center"/>
            <w:hideMark/>
          </w:tcPr>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t>P value</w:t>
            </w:r>
          </w:p>
        </w:tc>
      </w:tr>
      <w:tr w:rsidR="00EF047C" w:rsidRPr="00C31A1E" w:rsidTr="00061719">
        <w:trPr>
          <w:tblCellSpacing w:w="15" w:type="dxa"/>
        </w:trPr>
        <w:tc>
          <w:tcPr>
            <w:tcW w:w="208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0–1 (</w:t>
            </w:r>
            <w:r w:rsidR="00DD5159" w:rsidRPr="00C31A1E">
              <w:rPr>
                <w:rFonts w:ascii="Times New Roman" w:hAnsi="Times New Roman" w:cs="Times New Roman"/>
                <w:i/>
                <w:iCs/>
              </w:rPr>
              <w:t>reference</w:t>
            </w:r>
            <w:r w:rsidRPr="00C31A1E">
              <w:rPr>
                <w:rFonts w:ascii="Times New Roman" w:hAnsi="Times New Roman" w:cs="Times New Roman"/>
              </w:rPr>
              <w:t>)</w:t>
            </w:r>
          </w:p>
        </w:tc>
        <w:tc>
          <w:tcPr>
            <w:tcW w:w="1954"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9/39 (23.1%)</w:t>
            </w:r>
          </w:p>
        </w:tc>
        <w:tc>
          <w:tcPr>
            <w:tcW w:w="2805"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1.00 (</w:t>
            </w:r>
            <w:r w:rsidR="00DD5159" w:rsidRPr="00C31A1E">
              <w:rPr>
                <w:rFonts w:ascii="Times New Roman" w:hAnsi="Times New Roman" w:cs="Times New Roman"/>
                <w:i/>
                <w:iCs/>
              </w:rPr>
              <w:t>reference</w:t>
            </w:r>
            <w:r w:rsidRPr="00C31A1E">
              <w:rPr>
                <w:rFonts w:ascii="Times New Roman" w:hAnsi="Times New Roman" w:cs="Times New Roman"/>
              </w:rPr>
              <w:t>)</w:t>
            </w:r>
          </w:p>
        </w:tc>
        <w:tc>
          <w:tcPr>
            <w:tcW w:w="1231"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w:t>
            </w:r>
          </w:p>
        </w:tc>
      </w:tr>
      <w:tr w:rsidR="00EF047C" w:rsidRPr="00C31A1E" w:rsidTr="00061719">
        <w:trPr>
          <w:tblCellSpacing w:w="15" w:type="dxa"/>
        </w:trPr>
        <w:tc>
          <w:tcPr>
            <w:tcW w:w="208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2</w:t>
            </w:r>
          </w:p>
        </w:tc>
        <w:tc>
          <w:tcPr>
            <w:tcW w:w="1954"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6/77 (7.8%)</w:t>
            </w:r>
          </w:p>
        </w:tc>
        <w:tc>
          <w:tcPr>
            <w:tcW w:w="2805"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0.21 (0.0</w:t>
            </w:r>
            <w:r w:rsidR="00071661" w:rsidRPr="00C31A1E">
              <w:rPr>
                <w:rFonts w:ascii="Times New Roman" w:hAnsi="Times New Roman" w:cs="Times New Roman"/>
              </w:rPr>
              <w:t>5</w:t>
            </w:r>
            <w:r w:rsidRPr="00C31A1E">
              <w:rPr>
                <w:rFonts w:ascii="Times New Roman" w:hAnsi="Times New Roman" w:cs="Times New Roman"/>
              </w:rPr>
              <w:t>–0.7</w:t>
            </w:r>
            <w:r w:rsidR="00724B0B" w:rsidRPr="00C31A1E">
              <w:rPr>
                <w:rFonts w:ascii="Times New Roman" w:hAnsi="Times New Roman" w:cs="Times New Roman"/>
              </w:rPr>
              <w:t>9</w:t>
            </w:r>
            <w:r w:rsidRPr="00C31A1E">
              <w:rPr>
                <w:rFonts w:ascii="Times New Roman" w:hAnsi="Times New Roman" w:cs="Times New Roman"/>
              </w:rPr>
              <w:t>)</w:t>
            </w:r>
          </w:p>
        </w:tc>
        <w:tc>
          <w:tcPr>
            <w:tcW w:w="1231"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0.0</w:t>
            </w:r>
            <w:r w:rsidR="00071661" w:rsidRPr="00C31A1E">
              <w:rPr>
                <w:rFonts w:ascii="Times New Roman" w:hAnsi="Times New Roman" w:cs="Times New Roman"/>
              </w:rPr>
              <w:t>17</w:t>
            </w:r>
          </w:p>
        </w:tc>
      </w:tr>
      <w:tr w:rsidR="00EF047C" w:rsidRPr="00C31A1E" w:rsidTr="00061719">
        <w:trPr>
          <w:tblCellSpacing w:w="15" w:type="dxa"/>
        </w:trPr>
        <w:tc>
          <w:tcPr>
            <w:tcW w:w="208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3–4</w:t>
            </w:r>
          </w:p>
        </w:tc>
        <w:tc>
          <w:tcPr>
            <w:tcW w:w="1954"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0/80 (0.0%)</w:t>
            </w:r>
          </w:p>
        </w:tc>
        <w:tc>
          <w:tcPr>
            <w:tcW w:w="2805"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0.0</w:t>
            </w:r>
            <w:r w:rsidR="00724B0B" w:rsidRPr="00C31A1E">
              <w:rPr>
                <w:rFonts w:ascii="Times New Roman" w:hAnsi="Times New Roman" w:cs="Times New Roman"/>
              </w:rPr>
              <w:t>6</w:t>
            </w:r>
            <w:r w:rsidRPr="00C31A1E">
              <w:rPr>
                <w:rFonts w:ascii="Times New Roman" w:hAnsi="Times New Roman" w:cs="Times New Roman"/>
              </w:rPr>
              <w:t xml:space="preserve"> (0.00–</w:t>
            </w:r>
            <w:r w:rsidR="00724B0B" w:rsidRPr="00C31A1E">
              <w:rPr>
                <w:rFonts w:ascii="Times New Roman" w:hAnsi="Times New Roman" w:cs="Times New Roman"/>
              </w:rPr>
              <w:t>0.</w:t>
            </w:r>
            <w:r w:rsidR="00071661" w:rsidRPr="00C31A1E">
              <w:rPr>
                <w:rFonts w:ascii="Times New Roman" w:hAnsi="Times New Roman" w:cs="Times New Roman"/>
              </w:rPr>
              <w:t>72</w:t>
            </w:r>
            <w:r w:rsidRPr="00C31A1E">
              <w:rPr>
                <w:rFonts w:ascii="Times New Roman" w:hAnsi="Times New Roman" w:cs="Times New Roman"/>
              </w:rPr>
              <w:t>)</w:t>
            </w:r>
          </w:p>
        </w:tc>
        <w:tc>
          <w:tcPr>
            <w:tcW w:w="1231"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0.0</w:t>
            </w:r>
            <w:r w:rsidR="00071661" w:rsidRPr="00C31A1E">
              <w:rPr>
                <w:rFonts w:ascii="Times New Roman" w:hAnsi="Times New Roman" w:cs="Times New Roman"/>
              </w:rPr>
              <w:t>23</w:t>
            </w:r>
          </w:p>
        </w:tc>
      </w:tr>
      <w:tr w:rsidR="00EF047C" w:rsidRPr="00C31A1E" w:rsidTr="00061719">
        <w:trPr>
          <w:tblCellSpacing w:w="15" w:type="dxa"/>
        </w:trPr>
        <w:tc>
          <w:tcPr>
            <w:tcW w:w="2082" w:type="dxa"/>
            <w:tcBorders>
              <w:bottom w:val="single" w:sz="4" w:space="0" w:color="auto"/>
            </w:tcBorders>
            <w:vAlign w:val="center"/>
            <w:hideMark/>
          </w:tcPr>
          <w:p w:rsidR="00EF047C" w:rsidRPr="00C31A1E" w:rsidRDefault="00EF047C" w:rsidP="00971E54">
            <w:pPr>
              <w:jc w:val="left"/>
              <w:rPr>
                <w:rFonts w:ascii="Times New Roman" w:hAnsi="Times New Roman" w:cs="Times New Roman"/>
              </w:rPr>
            </w:pPr>
            <w:bookmarkStart w:id="5" w:name="OLE_LINK4"/>
            <w:r w:rsidRPr="00C31A1E">
              <w:rPr>
                <w:rFonts w:ascii="Times New Roman" w:hAnsi="Times New Roman" w:cs="Times New Roman"/>
                <w:i/>
                <w:iCs/>
              </w:rPr>
              <w:t>P</w:t>
            </w:r>
            <w:r w:rsidR="00E41EF0">
              <w:rPr>
                <w:rFonts w:ascii="Times New Roman" w:hAnsi="Times New Roman" w:cs="Times New Roman" w:hint="eastAsia"/>
                <w:i/>
                <w:iCs/>
              </w:rPr>
              <w:t xml:space="preserve"> </w:t>
            </w:r>
            <w:r w:rsidR="0078177C" w:rsidRPr="0078177C">
              <w:rPr>
                <w:rFonts w:ascii="Times New Roman" w:hAnsi="Times New Roman" w:cs="Times New Roman" w:hint="eastAsia"/>
              </w:rPr>
              <w:t>for</w:t>
            </w:r>
            <w:r w:rsidR="00E41EF0">
              <w:rPr>
                <w:rFonts w:ascii="Times New Roman" w:hAnsi="Times New Roman" w:cs="Times New Roman" w:hint="eastAsia"/>
              </w:rPr>
              <w:t xml:space="preserve"> </w:t>
            </w:r>
            <w:r w:rsidR="0078177C" w:rsidRPr="0078177C">
              <w:rPr>
                <w:rFonts w:ascii="Times New Roman" w:hAnsi="Times New Roman" w:cs="Times New Roman" w:hint="eastAsia"/>
              </w:rPr>
              <w:t>trend</w:t>
            </w:r>
            <w:bookmarkEnd w:id="5"/>
            <w:r w:rsidR="0078177C">
              <w:rPr>
                <w:rFonts w:ascii="Times New Roman" w:hAnsi="Times New Roman" w:cs="Times New Roman" w:hint="eastAsia"/>
              </w:rPr>
              <w:t xml:space="preserve"> </w:t>
            </w:r>
            <w:r w:rsidRPr="00C31A1E">
              <w:rPr>
                <w:rFonts w:ascii="Times New Roman" w:hAnsi="Times New Roman" w:cs="Times New Roman"/>
              </w:rPr>
              <w:t>(1/2/3 coding)</w:t>
            </w:r>
          </w:p>
        </w:tc>
        <w:tc>
          <w:tcPr>
            <w:tcW w:w="1954" w:type="dxa"/>
            <w:tcBorders>
              <w:bottom w:val="single" w:sz="4" w:space="0" w:color="auto"/>
            </w:tcBorders>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w:t>
            </w:r>
          </w:p>
        </w:tc>
        <w:tc>
          <w:tcPr>
            <w:tcW w:w="2805" w:type="dxa"/>
            <w:tcBorders>
              <w:bottom w:val="single" w:sz="4" w:space="0" w:color="auto"/>
            </w:tcBorders>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w:t>
            </w:r>
          </w:p>
        </w:tc>
        <w:tc>
          <w:tcPr>
            <w:tcW w:w="1231" w:type="dxa"/>
            <w:tcBorders>
              <w:bottom w:val="single" w:sz="4" w:space="0" w:color="auto"/>
            </w:tcBorders>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0.00</w:t>
            </w:r>
            <w:r w:rsidR="00264D50" w:rsidRPr="00C31A1E">
              <w:rPr>
                <w:rFonts w:ascii="Times New Roman" w:hAnsi="Times New Roman" w:cs="Times New Roman"/>
              </w:rPr>
              <w:t>5</w:t>
            </w:r>
          </w:p>
        </w:tc>
      </w:tr>
    </w:tbl>
    <w:p w:rsidR="007A5B58" w:rsidRPr="00C31A1E" w:rsidRDefault="00967849">
      <w:pPr>
        <w:widowControl/>
        <w:jc w:val="left"/>
        <w:rPr>
          <w:rFonts w:ascii="Times New Roman" w:hAnsi="Times New Roman" w:cs="Times New Roman"/>
          <w:i/>
          <w:iCs/>
        </w:rPr>
      </w:pPr>
      <w:r w:rsidRPr="00C31A1E">
        <w:rPr>
          <w:rFonts w:ascii="Times New Roman" w:hAnsi="Times New Roman" w:cs="Times New Roman"/>
          <w:i/>
          <w:iCs/>
        </w:rPr>
        <w:t>PH, parenchymal hematoma; OR, odds ratio;</w:t>
      </w:r>
      <w:r w:rsidR="0057134C" w:rsidRPr="00C31A1E">
        <w:rPr>
          <w:rFonts w:ascii="Times New Roman" w:hAnsi="Times New Roman" w:cs="Times New Roman"/>
          <w:i/>
          <w:iCs/>
        </w:rPr>
        <w:t xml:space="preserve"> CI, confidence interval.</w:t>
      </w:r>
      <w:r w:rsidR="0057134C" w:rsidRPr="00C31A1E">
        <w:rPr>
          <w:rFonts w:ascii="Times New Roman" w:hAnsi="Times New Roman" w:cs="Times New Roman"/>
          <w:i/>
          <w:iCs/>
        </w:rPr>
        <w:tab/>
      </w:r>
    </w:p>
    <w:p w:rsidR="00747F07" w:rsidRPr="00C31A1E" w:rsidRDefault="007A5B58">
      <w:pPr>
        <w:widowControl/>
        <w:jc w:val="left"/>
        <w:rPr>
          <w:rFonts w:ascii="Times New Roman" w:hAnsi="Times New Roman" w:cs="Times New Roman"/>
          <w:i/>
          <w:iCs/>
        </w:rPr>
      </w:pPr>
      <w:bookmarkStart w:id="6" w:name="OLE_LINK1"/>
      <w:r w:rsidRPr="00C31A1E">
        <w:rPr>
          <w:rFonts w:ascii="Times New Roman" w:hAnsi="Times New Roman" w:cs="Times New Roman"/>
          <w:i/>
          <w:iCs/>
        </w:rPr>
        <w:t>Firth logistic regression was used due to (quasi-)complete separation (zero PH events in the 3–4 group). Model adjusted for age, sex, NIHSS, ASPECTS, onset-to-CT time, IVT, and EVT. P for trend treated collateral categories as an ordinal variable coded as 1/2/3 in the same adjusted model.</w:t>
      </w:r>
    </w:p>
    <w:bookmarkEnd w:id="6"/>
    <w:p w:rsidR="00465DF1" w:rsidRPr="00C31A1E" w:rsidRDefault="00465DF1">
      <w:pPr>
        <w:widowControl/>
        <w:jc w:val="left"/>
        <w:rPr>
          <w:rFonts w:ascii="Times New Roman" w:hAnsi="Times New Roman" w:cs="Times New Roman"/>
          <w:i/>
          <w:iCs/>
        </w:rPr>
      </w:pPr>
      <w:r w:rsidRPr="00C31A1E">
        <w:rPr>
          <w:rFonts w:ascii="Times New Roman" w:hAnsi="Times New Roman" w:cs="Times New Roman"/>
        </w:rPr>
        <w:br w:type="page"/>
      </w:r>
    </w:p>
    <w:p w:rsidR="00EF047C" w:rsidRPr="00C31A1E" w:rsidRDefault="00EF047C" w:rsidP="00EF047C">
      <w:pPr>
        <w:rPr>
          <w:rFonts w:ascii="Times New Roman" w:hAnsi="Times New Roman" w:cs="Times New Roman"/>
        </w:rPr>
      </w:pPr>
    </w:p>
    <w:p w:rsidR="00EF047C" w:rsidRPr="00DA2CA6" w:rsidRDefault="00EF047C" w:rsidP="00EF047C">
      <w:pPr>
        <w:rPr>
          <w:rFonts w:ascii="Times New Roman" w:hAnsi="Times New Roman" w:cs="Times New Roman"/>
          <w:b/>
          <w:bCs/>
        </w:rPr>
      </w:pPr>
      <w:r w:rsidRPr="00DA2CA6">
        <w:rPr>
          <w:rFonts w:ascii="Times New Roman" w:hAnsi="Times New Roman" w:cs="Times New Roman"/>
          <w:b/>
          <w:bCs/>
        </w:rPr>
        <w:t>Table S5. Sensitivity analysis for parenchymal hematoma (PH): three-category collateral (0-1, 2, 3-4), Firth logistic regression: EVT subgroup (N=116)</w:t>
      </w:r>
    </w:p>
    <w:p w:rsidR="007628D4" w:rsidRPr="00C31A1E" w:rsidRDefault="00000000">
      <w:pPr>
        <w:rPr>
          <w:rFonts w:ascii="Times New Roman" w:hAnsi="Times New Roman" w:cs="Times New Roman"/>
        </w:rPr>
      </w:pPr>
      <w:r w:rsidRPr="00C31A1E">
        <w:rPr>
          <w:rFonts w:ascii="Times New Roman" w:hAnsi="Times New Roman" w:cs="Times New Roman"/>
        </w:rPr>
        <w:t>Model: Firth bias-reduced logistic regression.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8"/>
        <w:gridCol w:w="1843"/>
        <w:gridCol w:w="2693"/>
        <w:gridCol w:w="1418"/>
      </w:tblGrid>
      <w:tr w:rsidR="00EF047C" w:rsidRPr="00C31A1E" w:rsidTr="004E0446">
        <w:trPr>
          <w:tblHeader/>
          <w:tblCellSpacing w:w="15" w:type="dxa"/>
        </w:trPr>
        <w:tc>
          <w:tcPr>
            <w:tcW w:w="2223" w:type="dxa"/>
            <w:tcBorders>
              <w:top w:val="single" w:sz="4" w:space="0" w:color="auto"/>
              <w:bottom w:val="single" w:sz="4" w:space="0" w:color="auto"/>
            </w:tcBorders>
            <w:vAlign w:val="center"/>
            <w:hideMark/>
          </w:tcPr>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t>Collateral group</w:t>
            </w:r>
          </w:p>
        </w:tc>
        <w:tc>
          <w:tcPr>
            <w:tcW w:w="1813" w:type="dxa"/>
            <w:tcBorders>
              <w:top w:val="single" w:sz="4" w:space="0" w:color="auto"/>
              <w:bottom w:val="single" w:sz="4" w:space="0" w:color="auto"/>
            </w:tcBorders>
            <w:vAlign w:val="center"/>
            <w:hideMark/>
          </w:tcPr>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t>PH, n/N (%)</w:t>
            </w:r>
          </w:p>
        </w:tc>
        <w:tc>
          <w:tcPr>
            <w:tcW w:w="2663" w:type="dxa"/>
            <w:tcBorders>
              <w:top w:val="single" w:sz="4" w:space="0" w:color="auto"/>
              <w:bottom w:val="single" w:sz="4" w:space="0" w:color="auto"/>
            </w:tcBorders>
            <w:vAlign w:val="center"/>
            <w:hideMark/>
          </w:tcPr>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t>Adjusted OR (95% CI)</w:t>
            </w:r>
          </w:p>
        </w:tc>
        <w:tc>
          <w:tcPr>
            <w:tcW w:w="1373" w:type="dxa"/>
            <w:tcBorders>
              <w:top w:val="single" w:sz="4" w:space="0" w:color="auto"/>
              <w:bottom w:val="single" w:sz="4" w:space="0" w:color="auto"/>
            </w:tcBorders>
            <w:vAlign w:val="center"/>
            <w:hideMark/>
          </w:tcPr>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t>P value</w:t>
            </w:r>
          </w:p>
        </w:tc>
      </w:tr>
      <w:tr w:rsidR="00EF047C" w:rsidRPr="00C31A1E" w:rsidTr="004E0446">
        <w:trPr>
          <w:tblCellSpacing w:w="15" w:type="dxa"/>
        </w:trPr>
        <w:tc>
          <w:tcPr>
            <w:tcW w:w="2223"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0–1 (</w:t>
            </w:r>
            <w:r w:rsidR="00DD5159" w:rsidRPr="00C31A1E">
              <w:rPr>
                <w:rFonts w:ascii="Times New Roman" w:hAnsi="Times New Roman" w:cs="Times New Roman"/>
                <w:i/>
                <w:iCs/>
              </w:rPr>
              <w:t>reference</w:t>
            </w:r>
            <w:r w:rsidRPr="00C31A1E">
              <w:rPr>
                <w:rFonts w:ascii="Times New Roman" w:hAnsi="Times New Roman" w:cs="Times New Roman"/>
              </w:rPr>
              <w:t>)</w:t>
            </w:r>
          </w:p>
        </w:tc>
        <w:tc>
          <w:tcPr>
            <w:tcW w:w="1813"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9/33 (27.3%)</w:t>
            </w:r>
          </w:p>
        </w:tc>
        <w:tc>
          <w:tcPr>
            <w:tcW w:w="2663"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1.00 (</w:t>
            </w:r>
            <w:r w:rsidR="00DD5159" w:rsidRPr="00C31A1E">
              <w:rPr>
                <w:rFonts w:ascii="Times New Roman" w:hAnsi="Times New Roman" w:cs="Times New Roman"/>
                <w:i/>
                <w:iCs/>
              </w:rPr>
              <w:t>reference</w:t>
            </w:r>
            <w:r w:rsidRPr="00C31A1E">
              <w:rPr>
                <w:rFonts w:ascii="Times New Roman" w:hAnsi="Times New Roman" w:cs="Times New Roman"/>
              </w:rPr>
              <w:t>)</w:t>
            </w:r>
          </w:p>
        </w:tc>
        <w:tc>
          <w:tcPr>
            <w:tcW w:w="1373"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w:t>
            </w:r>
          </w:p>
        </w:tc>
      </w:tr>
      <w:tr w:rsidR="00EF047C" w:rsidRPr="00C31A1E" w:rsidTr="004E0446">
        <w:trPr>
          <w:tblCellSpacing w:w="15" w:type="dxa"/>
        </w:trPr>
        <w:tc>
          <w:tcPr>
            <w:tcW w:w="2223"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2</w:t>
            </w:r>
          </w:p>
        </w:tc>
        <w:tc>
          <w:tcPr>
            <w:tcW w:w="1813"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5/57 (8.8%)</w:t>
            </w:r>
          </w:p>
        </w:tc>
        <w:tc>
          <w:tcPr>
            <w:tcW w:w="2663"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0.21 (0.0</w:t>
            </w:r>
            <w:r w:rsidR="00880F4F" w:rsidRPr="00C31A1E">
              <w:rPr>
                <w:rFonts w:ascii="Times New Roman" w:hAnsi="Times New Roman" w:cs="Times New Roman"/>
              </w:rPr>
              <w:t>4</w:t>
            </w:r>
            <w:r w:rsidRPr="00C31A1E">
              <w:rPr>
                <w:rFonts w:ascii="Times New Roman" w:hAnsi="Times New Roman" w:cs="Times New Roman"/>
              </w:rPr>
              <w:t>–0.</w:t>
            </w:r>
            <w:r w:rsidR="00880F4F" w:rsidRPr="00C31A1E">
              <w:rPr>
                <w:rFonts w:ascii="Times New Roman" w:hAnsi="Times New Roman" w:cs="Times New Roman"/>
              </w:rPr>
              <w:t>83</w:t>
            </w:r>
            <w:r w:rsidRPr="00C31A1E">
              <w:rPr>
                <w:rFonts w:ascii="Times New Roman" w:hAnsi="Times New Roman" w:cs="Times New Roman"/>
              </w:rPr>
              <w:t>)</w:t>
            </w:r>
          </w:p>
        </w:tc>
        <w:tc>
          <w:tcPr>
            <w:tcW w:w="1373"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0.0</w:t>
            </w:r>
            <w:r w:rsidR="00880F4F" w:rsidRPr="00C31A1E">
              <w:rPr>
                <w:rFonts w:ascii="Times New Roman" w:hAnsi="Times New Roman" w:cs="Times New Roman"/>
              </w:rPr>
              <w:t>26</w:t>
            </w:r>
          </w:p>
        </w:tc>
      </w:tr>
      <w:tr w:rsidR="00EF047C" w:rsidRPr="00C31A1E" w:rsidTr="004E0446">
        <w:trPr>
          <w:tblCellSpacing w:w="15" w:type="dxa"/>
        </w:trPr>
        <w:tc>
          <w:tcPr>
            <w:tcW w:w="2223"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3–4</w:t>
            </w:r>
          </w:p>
        </w:tc>
        <w:tc>
          <w:tcPr>
            <w:tcW w:w="1813"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0/26 (0.0%)</w:t>
            </w:r>
          </w:p>
        </w:tc>
        <w:tc>
          <w:tcPr>
            <w:tcW w:w="2663"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0.07 (0.00–1.</w:t>
            </w:r>
            <w:r w:rsidR="00880F4F" w:rsidRPr="00C31A1E">
              <w:rPr>
                <w:rFonts w:ascii="Times New Roman" w:hAnsi="Times New Roman" w:cs="Times New Roman"/>
              </w:rPr>
              <w:t>10</w:t>
            </w:r>
            <w:r w:rsidRPr="00C31A1E">
              <w:rPr>
                <w:rFonts w:ascii="Times New Roman" w:hAnsi="Times New Roman" w:cs="Times New Roman"/>
              </w:rPr>
              <w:t>)</w:t>
            </w:r>
          </w:p>
        </w:tc>
        <w:tc>
          <w:tcPr>
            <w:tcW w:w="1373"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w:t>
            </w:r>
            <w:r w:rsidR="00880F4F" w:rsidRPr="00C31A1E">
              <w:rPr>
                <w:rFonts w:ascii="Times New Roman" w:hAnsi="Times New Roman" w:cs="Times New Roman"/>
              </w:rPr>
              <w:t>061</w:t>
            </w:r>
          </w:p>
        </w:tc>
      </w:tr>
      <w:tr w:rsidR="00EF047C" w:rsidRPr="00C31A1E" w:rsidTr="004E0446">
        <w:trPr>
          <w:tblCellSpacing w:w="15" w:type="dxa"/>
        </w:trPr>
        <w:tc>
          <w:tcPr>
            <w:tcW w:w="2223" w:type="dxa"/>
            <w:tcBorders>
              <w:bottom w:val="single" w:sz="4" w:space="0" w:color="auto"/>
            </w:tcBorders>
            <w:vAlign w:val="center"/>
            <w:hideMark/>
          </w:tcPr>
          <w:p w:rsidR="00EF047C" w:rsidRPr="00C31A1E" w:rsidRDefault="00621278" w:rsidP="00EF047C">
            <w:pPr>
              <w:rPr>
                <w:rFonts w:ascii="Times New Roman" w:hAnsi="Times New Roman" w:cs="Times New Roman"/>
              </w:rPr>
            </w:pPr>
            <w:r w:rsidRPr="00C31A1E">
              <w:rPr>
                <w:rFonts w:ascii="Times New Roman" w:hAnsi="Times New Roman" w:cs="Times New Roman"/>
                <w:i/>
                <w:iCs/>
              </w:rPr>
              <w:t>P</w:t>
            </w:r>
            <w:r w:rsidR="00FD3CCE">
              <w:rPr>
                <w:rFonts w:ascii="Times New Roman" w:hAnsi="Times New Roman" w:cs="Times New Roman" w:hint="eastAsia"/>
                <w:i/>
                <w:iCs/>
              </w:rPr>
              <w:t xml:space="preserve"> </w:t>
            </w:r>
            <w:r w:rsidR="00FD3CCE" w:rsidRPr="00FD3CCE">
              <w:rPr>
                <w:rFonts w:ascii="Times New Roman" w:hAnsi="Times New Roman" w:cs="Times New Roman" w:hint="eastAsia"/>
              </w:rPr>
              <w:t>for trend</w:t>
            </w:r>
            <w:r w:rsidR="00EF047C" w:rsidRPr="00FD3CCE">
              <w:rPr>
                <w:rFonts w:ascii="Times New Roman" w:hAnsi="Times New Roman" w:cs="Times New Roman"/>
              </w:rPr>
              <w:t xml:space="preserve"> </w:t>
            </w:r>
            <w:r w:rsidR="00EF047C" w:rsidRPr="00C31A1E">
              <w:rPr>
                <w:rFonts w:ascii="Times New Roman" w:hAnsi="Times New Roman" w:cs="Times New Roman"/>
              </w:rPr>
              <w:t>(1/2/3 coding)</w:t>
            </w:r>
          </w:p>
        </w:tc>
        <w:tc>
          <w:tcPr>
            <w:tcW w:w="1813" w:type="dxa"/>
            <w:tcBorders>
              <w:bottom w:val="single" w:sz="4" w:space="0" w:color="auto"/>
            </w:tcBorders>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w:t>
            </w:r>
          </w:p>
        </w:tc>
        <w:tc>
          <w:tcPr>
            <w:tcW w:w="2663" w:type="dxa"/>
            <w:tcBorders>
              <w:bottom w:val="single" w:sz="4" w:space="0" w:color="auto"/>
            </w:tcBorders>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w:t>
            </w:r>
          </w:p>
        </w:tc>
        <w:tc>
          <w:tcPr>
            <w:tcW w:w="1373" w:type="dxa"/>
            <w:tcBorders>
              <w:bottom w:val="single" w:sz="4" w:space="0" w:color="auto"/>
            </w:tcBorders>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0.0</w:t>
            </w:r>
            <w:r w:rsidR="00880F4F" w:rsidRPr="00C31A1E">
              <w:rPr>
                <w:rFonts w:ascii="Times New Roman" w:hAnsi="Times New Roman" w:cs="Times New Roman"/>
              </w:rPr>
              <w:t>09</w:t>
            </w:r>
          </w:p>
        </w:tc>
      </w:tr>
    </w:tbl>
    <w:p w:rsidR="0013101A" w:rsidRPr="00C31A1E" w:rsidRDefault="0013101A" w:rsidP="0013101A">
      <w:pPr>
        <w:widowControl/>
        <w:jc w:val="left"/>
        <w:rPr>
          <w:rFonts w:ascii="Times New Roman" w:hAnsi="Times New Roman" w:cs="Times New Roman"/>
          <w:i/>
          <w:iCs/>
        </w:rPr>
      </w:pPr>
      <w:bookmarkStart w:id="7" w:name="OLE_LINK2"/>
      <w:bookmarkStart w:id="8" w:name="OLE_LINK15"/>
      <w:r w:rsidRPr="00C31A1E">
        <w:rPr>
          <w:rFonts w:ascii="Times New Roman" w:hAnsi="Times New Roman" w:cs="Times New Roman"/>
          <w:i/>
          <w:iCs/>
        </w:rPr>
        <w:t>PH, parenchymal hematoma; OR, odds ratio;</w:t>
      </w:r>
      <w:r w:rsidR="0057134C" w:rsidRPr="00C31A1E">
        <w:rPr>
          <w:rFonts w:ascii="Times New Roman" w:hAnsi="Times New Roman" w:cs="Times New Roman"/>
          <w:i/>
          <w:iCs/>
        </w:rPr>
        <w:t xml:space="preserve"> CI, confidence interval.</w:t>
      </w:r>
      <w:r w:rsidR="0057134C" w:rsidRPr="00C31A1E">
        <w:rPr>
          <w:rFonts w:ascii="Times New Roman" w:hAnsi="Times New Roman" w:cs="Times New Roman"/>
          <w:i/>
          <w:iCs/>
        </w:rPr>
        <w:tab/>
      </w:r>
    </w:p>
    <w:p w:rsidR="001432E5" w:rsidRPr="00C31A1E" w:rsidRDefault="00EF047C" w:rsidP="00EF047C">
      <w:pPr>
        <w:rPr>
          <w:rFonts w:ascii="Times New Roman" w:hAnsi="Times New Roman" w:cs="Times New Roman"/>
          <w:i/>
          <w:iCs/>
        </w:rPr>
        <w:sectPr w:rsidR="001432E5" w:rsidRPr="00C31A1E">
          <w:pgSz w:w="11906" w:h="16838"/>
          <w:pgMar w:top="1440" w:right="1800" w:bottom="1440" w:left="1800" w:header="851" w:footer="992" w:gutter="0"/>
          <w:cols w:space="425"/>
          <w:docGrid w:type="lines" w:linePitch="312"/>
        </w:sectPr>
      </w:pPr>
      <w:r w:rsidRPr="00C31A1E">
        <w:rPr>
          <w:rFonts w:ascii="Times New Roman" w:hAnsi="Times New Roman" w:cs="Times New Roman"/>
          <w:i/>
          <w:iCs/>
        </w:rPr>
        <w:t xml:space="preserve">Firth logistic regression was used due to (quasi-)complete separation (zero PH events in the 3–4 group). </w:t>
      </w:r>
      <w:bookmarkStart w:id="9" w:name="OLE_LINK5"/>
      <w:r w:rsidRPr="00C31A1E">
        <w:rPr>
          <w:rFonts w:ascii="Times New Roman" w:hAnsi="Times New Roman" w:cs="Times New Roman"/>
          <w:i/>
          <w:iCs/>
        </w:rPr>
        <w:t xml:space="preserve">EVT subgroup model adjusted for age, sex, NIHSS, ASPECTS, onset-to-CT time, IVT, and </w:t>
      </w:r>
      <w:proofErr w:type="spellStart"/>
      <w:r w:rsidRPr="00C31A1E">
        <w:rPr>
          <w:rFonts w:ascii="Times New Roman" w:hAnsi="Times New Roman" w:cs="Times New Roman"/>
          <w:i/>
          <w:iCs/>
        </w:rPr>
        <w:t>eTICI_success</w:t>
      </w:r>
      <w:proofErr w:type="spellEnd"/>
      <w:r w:rsidRPr="00C31A1E">
        <w:rPr>
          <w:rFonts w:ascii="Times New Roman" w:hAnsi="Times New Roman" w:cs="Times New Roman"/>
          <w:i/>
          <w:iCs/>
        </w:rPr>
        <w:t xml:space="preserve"> (</w:t>
      </w:r>
      <w:proofErr w:type="spellStart"/>
      <w:r w:rsidRPr="00C31A1E">
        <w:rPr>
          <w:rFonts w:ascii="Times New Roman" w:hAnsi="Times New Roman" w:cs="Times New Roman"/>
          <w:i/>
          <w:iCs/>
        </w:rPr>
        <w:t>eTICI</w:t>
      </w:r>
      <w:proofErr w:type="spellEnd"/>
      <w:r w:rsidRPr="00C31A1E">
        <w:rPr>
          <w:rFonts w:ascii="Times New Roman" w:hAnsi="Times New Roman" w:cs="Times New Roman"/>
          <w:i/>
          <w:iCs/>
        </w:rPr>
        <w:t xml:space="preserve"> ≥</w:t>
      </w:r>
      <w:r w:rsidR="00231607" w:rsidRPr="00C31A1E">
        <w:rPr>
          <w:rFonts w:ascii="Times New Roman" w:hAnsi="Times New Roman" w:cs="Times New Roman"/>
          <w:i/>
          <w:iCs/>
        </w:rPr>
        <w:t>2b67</w:t>
      </w:r>
      <w:r w:rsidRPr="00C31A1E">
        <w:rPr>
          <w:rFonts w:ascii="Times New Roman" w:hAnsi="Times New Roman" w:cs="Times New Roman"/>
          <w:i/>
          <w:iCs/>
        </w:rPr>
        <w:t>)</w:t>
      </w:r>
      <w:bookmarkEnd w:id="9"/>
      <w:r w:rsidRPr="00C31A1E">
        <w:rPr>
          <w:rFonts w:ascii="Times New Roman" w:hAnsi="Times New Roman" w:cs="Times New Roman"/>
          <w:i/>
          <w:iCs/>
        </w:rPr>
        <w:t>. P for trend treated collateral categories as an ordinal variable coded as 1/2/3 in the same adjusted model.</w:t>
      </w:r>
      <w:bookmarkEnd w:id="7"/>
    </w:p>
    <w:bookmarkEnd w:id="8"/>
    <w:p w:rsidR="00EF047C" w:rsidRPr="00C31A1E" w:rsidRDefault="00EF047C" w:rsidP="00EF047C">
      <w:pPr>
        <w:rPr>
          <w:rFonts w:ascii="Times New Roman" w:hAnsi="Times New Roman" w:cs="Times New Roman"/>
        </w:rPr>
      </w:pPr>
    </w:p>
    <w:p w:rsidR="00EF047C" w:rsidRPr="00DA2CA6" w:rsidRDefault="00EF047C" w:rsidP="00EF047C">
      <w:pPr>
        <w:rPr>
          <w:rFonts w:ascii="Times New Roman" w:hAnsi="Times New Roman" w:cs="Times New Roman"/>
          <w:b/>
          <w:bCs/>
        </w:rPr>
      </w:pPr>
      <w:r w:rsidRPr="00DA2CA6">
        <w:rPr>
          <w:rFonts w:ascii="Times New Roman" w:hAnsi="Times New Roman" w:cs="Times New Roman"/>
          <w:b/>
          <w:bCs/>
        </w:rPr>
        <w:t>Table S6. Sensitivity analysis using collateral score as a continuous variable (per 1-point increase): 90-day mRS shift and parenchymal hematoma (PH)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7"/>
        <w:gridCol w:w="2409"/>
        <w:gridCol w:w="2835"/>
        <w:gridCol w:w="935"/>
      </w:tblGrid>
      <w:tr w:rsidR="00EF047C" w:rsidRPr="00C31A1E" w:rsidTr="00D61EDA">
        <w:trPr>
          <w:tblHeader/>
          <w:tblCellSpacing w:w="15" w:type="dxa"/>
        </w:trPr>
        <w:tc>
          <w:tcPr>
            <w:tcW w:w="2082" w:type="dxa"/>
            <w:tcBorders>
              <w:top w:val="single" w:sz="4" w:space="0" w:color="auto"/>
              <w:bottom w:val="single" w:sz="4" w:space="0" w:color="auto"/>
            </w:tcBorders>
            <w:vAlign w:val="center"/>
            <w:hideMark/>
          </w:tcPr>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t>Endpoint</w:t>
            </w:r>
          </w:p>
        </w:tc>
        <w:tc>
          <w:tcPr>
            <w:tcW w:w="2379" w:type="dxa"/>
            <w:tcBorders>
              <w:top w:val="single" w:sz="4" w:space="0" w:color="auto"/>
              <w:bottom w:val="single" w:sz="4" w:space="0" w:color="auto"/>
            </w:tcBorders>
            <w:vAlign w:val="center"/>
            <w:hideMark/>
          </w:tcPr>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t>Cohort</w:t>
            </w:r>
          </w:p>
        </w:tc>
        <w:tc>
          <w:tcPr>
            <w:tcW w:w="2805" w:type="dxa"/>
            <w:tcBorders>
              <w:top w:val="single" w:sz="4" w:space="0" w:color="auto"/>
              <w:bottom w:val="single" w:sz="4" w:space="0" w:color="auto"/>
            </w:tcBorders>
            <w:vAlign w:val="center"/>
            <w:hideMark/>
          </w:tcPr>
          <w:p w:rsidR="00EF047C" w:rsidRPr="00C31A1E" w:rsidRDefault="00EF047C" w:rsidP="00D422DC">
            <w:pPr>
              <w:jc w:val="left"/>
              <w:rPr>
                <w:rFonts w:ascii="Times New Roman" w:hAnsi="Times New Roman" w:cs="Times New Roman"/>
                <w:b/>
                <w:bCs/>
              </w:rPr>
            </w:pPr>
            <w:r w:rsidRPr="00C31A1E">
              <w:rPr>
                <w:rFonts w:ascii="Times New Roman" w:hAnsi="Times New Roman" w:cs="Times New Roman"/>
                <w:b/>
                <w:bCs/>
              </w:rPr>
              <w:t>Effect per +1 point (95% CI)</w:t>
            </w:r>
          </w:p>
        </w:tc>
        <w:tc>
          <w:tcPr>
            <w:tcW w:w="890" w:type="dxa"/>
            <w:tcBorders>
              <w:top w:val="single" w:sz="4" w:space="0" w:color="auto"/>
              <w:bottom w:val="single" w:sz="4" w:space="0" w:color="auto"/>
            </w:tcBorders>
            <w:vAlign w:val="center"/>
            <w:hideMark/>
          </w:tcPr>
          <w:p w:rsidR="00EF047C" w:rsidRPr="00C31A1E" w:rsidRDefault="00EF047C" w:rsidP="00EF047C">
            <w:pPr>
              <w:rPr>
                <w:rFonts w:ascii="Times New Roman" w:hAnsi="Times New Roman" w:cs="Times New Roman"/>
                <w:b/>
                <w:bCs/>
              </w:rPr>
            </w:pPr>
            <w:r w:rsidRPr="00C31A1E">
              <w:rPr>
                <w:rFonts w:ascii="Times New Roman" w:hAnsi="Times New Roman" w:cs="Times New Roman"/>
                <w:b/>
                <w:bCs/>
              </w:rPr>
              <w:t>P value</w:t>
            </w:r>
          </w:p>
        </w:tc>
      </w:tr>
      <w:tr w:rsidR="00EF047C" w:rsidRPr="00C31A1E" w:rsidTr="00D61EDA">
        <w:trPr>
          <w:tblCellSpacing w:w="15" w:type="dxa"/>
        </w:trPr>
        <w:tc>
          <w:tcPr>
            <w:tcW w:w="208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 xml:space="preserve">90-day </w:t>
            </w:r>
            <w:proofErr w:type="spellStart"/>
            <w:r w:rsidRPr="00C31A1E">
              <w:rPr>
                <w:rFonts w:ascii="Times New Roman" w:hAnsi="Times New Roman" w:cs="Times New Roman"/>
              </w:rPr>
              <w:t>mRS</w:t>
            </w:r>
            <w:proofErr w:type="spellEnd"/>
            <w:r w:rsidRPr="00C31A1E">
              <w:rPr>
                <w:rFonts w:ascii="Times New Roman" w:hAnsi="Times New Roman" w:cs="Times New Roman"/>
              </w:rPr>
              <w:t xml:space="preserve"> shift</w:t>
            </w:r>
          </w:p>
        </w:tc>
        <w:tc>
          <w:tcPr>
            <w:tcW w:w="2379"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Overall (N=196)</w:t>
            </w:r>
          </w:p>
        </w:tc>
        <w:tc>
          <w:tcPr>
            <w:tcW w:w="2805" w:type="dxa"/>
            <w:vAlign w:val="center"/>
            <w:hideMark/>
          </w:tcPr>
          <w:p w:rsidR="00EF047C" w:rsidRPr="00C31A1E" w:rsidRDefault="00EF047C" w:rsidP="00EF047C">
            <w:pPr>
              <w:rPr>
                <w:rFonts w:ascii="Times New Roman" w:hAnsi="Times New Roman" w:cs="Times New Roman"/>
              </w:rPr>
            </w:pPr>
            <w:proofErr w:type="spellStart"/>
            <w:r w:rsidRPr="00C31A1E">
              <w:rPr>
                <w:rFonts w:ascii="Times New Roman" w:hAnsi="Times New Roman" w:cs="Times New Roman"/>
              </w:rPr>
              <w:t>cOR</w:t>
            </w:r>
            <w:proofErr w:type="spellEnd"/>
            <w:r w:rsidRPr="00C31A1E">
              <w:rPr>
                <w:rFonts w:ascii="Times New Roman" w:hAnsi="Times New Roman" w:cs="Times New Roman"/>
              </w:rPr>
              <w:t xml:space="preserve"> 0.50 (0.34–0.75)</w:t>
            </w:r>
          </w:p>
        </w:tc>
        <w:tc>
          <w:tcPr>
            <w:tcW w:w="890"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0.001</w:t>
            </w:r>
          </w:p>
        </w:tc>
      </w:tr>
      <w:tr w:rsidR="00EF047C" w:rsidRPr="00C31A1E" w:rsidTr="00D61EDA">
        <w:trPr>
          <w:tblCellSpacing w:w="15" w:type="dxa"/>
        </w:trPr>
        <w:tc>
          <w:tcPr>
            <w:tcW w:w="208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 xml:space="preserve">90-day </w:t>
            </w:r>
            <w:proofErr w:type="spellStart"/>
            <w:r w:rsidRPr="00C31A1E">
              <w:rPr>
                <w:rFonts w:ascii="Times New Roman" w:hAnsi="Times New Roman" w:cs="Times New Roman"/>
              </w:rPr>
              <w:t>mRS</w:t>
            </w:r>
            <w:proofErr w:type="spellEnd"/>
            <w:r w:rsidRPr="00C31A1E">
              <w:rPr>
                <w:rFonts w:ascii="Times New Roman" w:hAnsi="Times New Roman" w:cs="Times New Roman"/>
              </w:rPr>
              <w:t xml:space="preserve"> shift</w:t>
            </w:r>
          </w:p>
        </w:tc>
        <w:tc>
          <w:tcPr>
            <w:tcW w:w="2379"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EVT subgroup (N=116)</w:t>
            </w:r>
          </w:p>
        </w:tc>
        <w:tc>
          <w:tcPr>
            <w:tcW w:w="2805" w:type="dxa"/>
            <w:vAlign w:val="center"/>
            <w:hideMark/>
          </w:tcPr>
          <w:p w:rsidR="00EF047C" w:rsidRPr="00C31A1E" w:rsidRDefault="00EF047C" w:rsidP="00EF047C">
            <w:pPr>
              <w:rPr>
                <w:rFonts w:ascii="Times New Roman" w:hAnsi="Times New Roman" w:cs="Times New Roman"/>
              </w:rPr>
            </w:pPr>
            <w:proofErr w:type="spellStart"/>
            <w:r w:rsidRPr="00C31A1E">
              <w:rPr>
                <w:rFonts w:ascii="Times New Roman" w:hAnsi="Times New Roman" w:cs="Times New Roman"/>
              </w:rPr>
              <w:t>cOR</w:t>
            </w:r>
            <w:proofErr w:type="spellEnd"/>
            <w:r w:rsidRPr="00C31A1E">
              <w:rPr>
                <w:rFonts w:ascii="Times New Roman" w:hAnsi="Times New Roman" w:cs="Times New Roman"/>
              </w:rPr>
              <w:t xml:space="preserve"> 0.85 (0.49–1.49)</w:t>
            </w:r>
          </w:p>
        </w:tc>
        <w:tc>
          <w:tcPr>
            <w:tcW w:w="890"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0.575</w:t>
            </w:r>
          </w:p>
        </w:tc>
      </w:tr>
      <w:tr w:rsidR="00EF047C" w:rsidRPr="00C31A1E" w:rsidTr="00D61EDA">
        <w:trPr>
          <w:tblCellSpacing w:w="15" w:type="dxa"/>
        </w:trPr>
        <w:tc>
          <w:tcPr>
            <w:tcW w:w="2082"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PH</w:t>
            </w:r>
          </w:p>
        </w:tc>
        <w:tc>
          <w:tcPr>
            <w:tcW w:w="2379"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Overall (N=196)</w:t>
            </w:r>
          </w:p>
        </w:tc>
        <w:tc>
          <w:tcPr>
            <w:tcW w:w="2805"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OR 0.36 (0.14–0.89)</w:t>
            </w:r>
          </w:p>
        </w:tc>
        <w:tc>
          <w:tcPr>
            <w:tcW w:w="890" w:type="dxa"/>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0.027</w:t>
            </w:r>
          </w:p>
        </w:tc>
      </w:tr>
      <w:tr w:rsidR="00EF047C" w:rsidRPr="00C31A1E" w:rsidTr="00D61EDA">
        <w:trPr>
          <w:tblCellSpacing w:w="15" w:type="dxa"/>
        </w:trPr>
        <w:tc>
          <w:tcPr>
            <w:tcW w:w="2082" w:type="dxa"/>
            <w:tcBorders>
              <w:bottom w:val="single" w:sz="4" w:space="0" w:color="auto"/>
            </w:tcBorders>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PH</w:t>
            </w:r>
          </w:p>
        </w:tc>
        <w:tc>
          <w:tcPr>
            <w:tcW w:w="2379" w:type="dxa"/>
            <w:tcBorders>
              <w:bottom w:val="single" w:sz="4" w:space="0" w:color="auto"/>
            </w:tcBorders>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EVT subgroup (N=116)</w:t>
            </w:r>
          </w:p>
        </w:tc>
        <w:tc>
          <w:tcPr>
            <w:tcW w:w="2805" w:type="dxa"/>
            <w:tcBorders>
              <w:bottom w:val="single" w:sz="4" w:space="0" w:color="auto"/>
            </w:tcBorders>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OR 0.31 (0.10–0.95)</w:t>
            </w:r>
          </w:p>
        </w:tc>
        <w:tc>
          <w:tcPr>
            <w:tcW w:w="890" w:type="dxa"/>
            <w:tcBorders>
              <w:bottom w:val="single" w:sz="4" w:space="0" w:color="auto"/>
            </w:tcBorders>
            <w:vAlign w:val="center"/>
            <w:hideMark/>
          </w:tcPr>
          <w:p w:rsidR="00EF047C" w:rsidRPr="00C31A1E" w:rsidRDefault="00EF047C" w:rsidP="00EF047C">
            <w:pPr>
              <w:rPr>
                <w:rFonts w:ascii="Times New Roman" w:hAnsi="Times New Roman" w:cs="Times New Roman"/>
              </w:rPr>
            </w:pPr>
            <w:r w:rsidRPr="00C31A1E">
              <w:rPr>
                <w:rFonts w:ascii="Times New Roman" w:hAnsi="Times New Roman" w:cs="Times New Roman"/>
              </w:rPr>
              <w:t>0.041</w:t>
            </w:r>
          </w:p>
        </w:tc>
      </w:tr>
    </w:tbl>
    <w:p w:rsidR="001F7AAA" w:rsidRPr="00C31A1E" w:rsidRDefault="001F7AAA" w:rsidP="001F7AAA">
      <w:pPr>
        <w:widowControl/>
        <w:jc w:val="left"/>
        <w:rPr>
          <w:rFonts w:ascii="Times New Roman" w:hAnsi="Times New Roman" w:cs="Times New Roman"/>
          <w:i/>
          <w:iCs/>
        </w:rPr>
      </w:pPr>
      <w:r w:rsidRPr="00C31A1E">
        <w:rPr>
          <w:rFonts w:ascii="Times New Roman" w:hAnsi="Times New Roman" w:cs="Times New Roman"/>
          <w:i/>
          <w:iCs/>
        </w:rPr>
        <w:t>PH, parenchymal hematoma; OR, odds ratio; CI, confidence interval.</w:t>
      </w:r>
      <w:r w:rsidRPr="00C31A1E">
        <w:rPr>
          <w:rFonts w:ascii="Times New Roman" w:hAnsi="Times New Roman" w:cs="Times New Roman"/>
          <w:i/>
          <w:iCs/>
        </w:rPr>
        <w:tab/>
      </w:r>
    </w:p>
    <w:p w:rsidR="00900AAE" w:rsidRPr="00C31A1E" w:rsidRDefault="00EF047C" w:rsidP="00EF047C">
      <w:pPr>
        <w:rPr>
          <w:rFonts w:ascii="Times New Roman" w:hAnsi="Times New Roman" w:cs="Times New Roman"/>
          <w:i/>
          <w:iCs/>
        </w:rPr>
      </w:pPr>
      <w:r w:rsidRPr="00C31A1E">
        <w:rPr>
          <w:rFonts w:ascii="Times New Roman" w:hAnsi="Times New Roman" w:cs="Times New Roman"/>
          <w:i/>
          <w:iCs/>
        </w:rPr>
        <w:t xml:space="preserve">For </w:t>
      </w:r>
      <w:proofErr w:type="spellStart"/>
      <w:r w:rsidRPr="00C31A1E">
        <w:rPr>
          <w:rFonts w:ascii="Times New Roman" w:hAnsi="Times New Roman" w:cs="Times New Roman"/>
          <w:i/>
          <w:iCs/>
        </w:rPr>
        <w:t>mRS</w:t>
      </w:r>
      <w:proofErr w:type="spellEnd"/>
      <w:r w:rsidRPr="00C31A1E">
        <w:rPr>
          <w:rFonts w:ascii="Times New Roman" w:hAnsi="Times New Roman" w:cs="Times New Roman"/>
          <w:i/>
          <w:iCs/>
        </w:rPr>
        <w:t xml:space="preserve"> shift, proportional odds ordinal logistic regression was used.</w:t>
      </w:r>
    </w:p>
    <w:p w:rsidR="001F7AAA" w:rsidRPr="00C31A1E" w:rsidRDefault="00EF047C" w:rsidP="00EF047C">
      <w:pPr>
        <w:rPr>
          <w:rFonts w:ascii="Times New Roman" w:hAnsi="Times New Roman" w:cs="Times New Roman"/>
          <w:i/>
          <w:iCs/>
        </w:rPr>
      </w:pPr>
      <w:r w:rsidRPr="00C31A1E">
        <w:rPr>
          <w:rFonts w:ascii="Times New Roman" w:hAnsi="Times New Roman" w:cs="Times New Roman"/>
          <w:i/>
          <w:iCs/>
        </w:rPr>
        <w:t>For PH, Firth bias-reduced logistic regression was used due to the limited number of PH events.</w:t>
      </w:r>
    </w:p>
    <w:p w:rsidR="001F7AAA" w:rsidRPr="00C31A1E" w:rsidRDefault="00EF047C" w:rsidP="00EF047C">
      <w:pPr>
        <w:rPr>
          <w:rFonts w:ascii="Times New Roman" w:hAnsi="Times New Roman" w:cs="Times New Roman"/>
          <w:i/>
          <w:iCs/>
        </w:rPr>
      </w:pPr>
      <w:r w:rsidRPr="00C31A1E">
        <w:rPr>
          <w:rFonts w:ascii="Times New Roman" w:hAnsi="Times New Roman" w:cs="Times New Roman"/>
          <w:i/>
          <w:iCs/>
        </w:rPr>
        <w:t xml:space="preserve">Overall cohort models adjusted for age, sex, NIHSS, ASPECTS, onset-to-CT time, IVT, and EVT. </w:t>
      </w:r>
    </w:p>
    <w:p w:rsidR="00EF047C" w:rsidRPr="00C31A1E" w:rsidRDefault="00EF047C" w:rsidP="00EF047C">
      <w:pPr>
        <w:rPr>
          <w:rFonts w:ascii="Times New Roman" w:hAnsi="Times New Roman" w:cs="Times New Roman"/>
          <w:i/>
          <w:iCs/>
        </w:rPr>
      </w:pPr>
      <w:r w:rsidRPr="00C31A1E">
        <w:rPr>
          <w:rFonts w:ascii="Times New Roman" w:hAnsi="Times New Roman" w:cs="Times New Roman"/>
          <w:i/>
          <w:iCs/>
        </w:rPr>
        <w:t xml:space="preserve">EVT subgroup models adjusted for age, sex, NIHSS, ASPECTS, onset-to-CT time, IVT, and </w:t>
      </w:r>
      <w:proofErr w:type="spellStart"/>
      <w:r w:rsidRPr="00C31A1E">
        <w:rPr>
          <w:rFonts w:ascii="Times New Roman" w:hAnsi="Times New Roman" w:cs="Times New Roman"/>
          <w:i/>
          <w:iCs/>
        </w:rPr>
        <w:t>eTICI_success</w:t>
      </w:r>
      <w:proofErr w:type="spellEnd"/>
      <w:r w:rsidRPr="00C31A1E">
        <w:rPr>
          <w:rFonts w:ascii="Times New Roman" w:hAnsi="Times New Roman" w:cs="Times New Roman"/>
          <w:i/>
          <w:iCs/>
        </w:rPr>
        <w:t xml:space="preserve"> (</w:t>
      </w:r>
      <w:proofErr w:type="spellStart"/>
      <w:r w:rsidRPr="00C31A1E">
        <w:rPr>
          <w:rFonts w:ascii="Times New Roman" w:hAnsi="Times New Roman" w:cs="Times New Roman"/>
          <w:i/>
          <w:iCs/>
        </w:rPr>
        <w:t>eTICI</w:t>
      </w:r>
      <w:proofErr w:type="spellEnd"/>
      <w:r w:rsidRPr="00C31A1E">
        <w:rPr>
          <w:rFonts w:ascii="Times New Roman" w:hAnsi="Times New Roman" w:cs="Times New Roman"/>
          <w:i/>
          <w:iCs/>
        </w:rPr>
        <w:t xml:space="preserve"> ≥ </w:t>
      </w:r>
      <w:r w:rsidR="00231607" w:rsidRPr="00C31A1E">
        <w:rPr>
          <w:rFonts w:ascii="Times New Roman" w:hAnsi="Times New Roman" w:cs="Times New Roman"/>
          <w:i/>
          <w:iCs/>
        </w:rPr>
        <w:t>2b67</w:t>
      </w:r>
      <w:r w:rsidRPr="00C31A1E">
        <w:rPr>
          <w:rFonts w:ascii="Times New Roman" w:hAnsi="Times New Roman" w:cs="Times New Roman"/>
          <w:i/>
          <w:iCs/>
        </w:rPr>
        <w:t>).</w:t>
      </w:r>
    </w:p>
    <w:p w:rsidR="00265AA0" w:rsidRPr="00C31A1E" w:rsidRDefault="00265AA0" w:rsidP="00265AA0">
      <w:pPr>
        <w:widowControl/>
        <w:jc w:val="left"/>
        <w:rPr>
          <w:rFonts w:ascii="Times New Roman" w:hAnsi="Times New Roman" w:cs="Times New Roman"/>
          <w:i/>
          <w:iCs/>
        </w:rPr>
      </w:pPr>
      <w:r w:rsidRPr="00C31A1E">
        <w:rPr>
          <w:rFonts w:ascii="Times New Roman" w:hAnsi="Times New Roman" w:cs="Times New Roman"/>
          <w:i/>
          <w:iCs/>
        </w:rPr>
        <w:t>In the ordinal shift analysis, a common odds ratio (</w:t>
      </w:r>
      <w:proofErr w:type="spellStart"/>
      <w:r w:rsidRPr="00C31A1E">
        <w:rPr>
          <w:rFonts w:ascii="Times New Roman" w:hAnsi="Times New Roman" w:cs="Times New Roman"/>
          <w:i/>
          <w:iCs/>
        </w:rPr>
        <w:t>cOR</w:t>
      </w:r>
      <w:proofErr w:type="spellEnd"/>
      <w:r w:rsidRPr="00C31A1E">
        <w:rPr>
          <w:rFonts w:ascii="Times New Roman" w:hAnsi="Times New Roman" w:cs="Times New Roman"/>
          <w:i/>
          <w:iCs/>
        </w:rPr>
        <w:t xml:space="preserve">) &lt; 1 indicates a shift toward lower </w:t>
      </w:r>
      <w:proofErr w:type="spellStart"/>
      <w:r w:rsidRPr="00C31A1E">
        <w:rPr>
          <w:rFonts w:ascii="Times New Roman" w:hAnsi="Times New Roman" w:cs="Times New Roman"/>
          <w:i/>
          <w:iCs/>
        </w:rPr>
        <w:t>mRS</w:t>
      </w:r>
      <w:proofErr w:type="spellEnd"/>
      <w:r w:rsidRPr="00C31A1E">
        <w:rPr>
          <w:rFonts w:ascii="Times New Roman" w:hAnsi="Times New Roman" w:cs="Times New Roman"/>
          <w:i/>
          <w:iCs/>
        </w:rPr>
        <w:t xml:space="preserve"> scores, corresponding to a more favorable functional outcome.</w:t>
      </w:r>
    </w:p>
    <w:p w:rsidR="00265AA0" w:rsidRPr="00C31A1E" w:rsidRDefault="00957969" w:rsidP="00EF047C">
      <w:pPr>
        <w:rPr>
          <w:rFonts w:ascii="Times New Roman" w:hAnsi="Times New Roman" w:cs="Times New Roman"/>
          <w:i/>
          <w:iCs/>
        </w:rPr>
      </w:pPr>
      <w:r w:rsidRPr="00C31A1E">
        <w:rPr>
          <w:rFonts w:ascii="Times New Roman" w:hAnsi="Times New Roman" w:cs="Times New Roman"/>
          <w:i/>
          <w:iCs/>
        </w:rPr>
        <w:t xml:space="preserve">In the Firth-penalized logistic regression, an odds ratio (OR) &lt; 1 indicates a lower odds of </w:t>
      </w:r>
      <w:r w:rsidR="00C70A8A" w:rsidRPr="00C31A1E">
        <w:rPr>
          <w:rFonts w:ascii="Times New Roman" w:hAnsi="Times New Roman" w:cs="Times New Roman"/>
          <w:i/>
          <w:iCs/>
        </w:rPr>
        <w:t>PH</w:t>
      </w:r>
      <w:r w:rsidRPr="00C31A1E">
        <w:rPr>
          <w:rFonts w:ascii="Times New Roman" w:hAnsi="Times New Roman" w:cs="Times New Roman"/>
          <w:i/>
          <w:iCs/>
        </w:rPr>
        <w:t>.</w:t>
      </w:r>
    </w:p>
    <w:p w:rsidR="00A10197" w:rsidRPr="00C31A1E" w:rsidRDefault="00E23FFF">
      <w:pPr>
        <w:widowControl/>
        <w:jc w:val="left"/>
        <w:rPr>
          <w:rFonts w:ascii="Times New Roman" w:hAnsi="Times New Roman" w:cs="Times New Roman"/>
        </w:rPr>
        <w:sectPr w:rsidR="00A10197" w:rsidRPr="00C31A1E" w:rsidSect="00605B4F">
          <w:pgSz w:w="11906" w:h="16838"/>
          <w:pgMar w:top="1440" w:right="1800" w:bottom="1440" w:left="1800" w:header="851" w:footer="992" w:gutter="0"/>
          <w:cols w:space="425"/>
          <w:docGrid w:type="lines" w:linePitch="312"/>
        </w:sectPr>
      </w:pPr>
      <w:r w:rsidRPr="00C31A1E">
        <w:rPr>
          <w:rFonts w:ascii="Times New Roman" w:hAnsi="Times New Roman" w:cs="Times New Roman"/>
        </w:rPr>
        <w:br w:type="page"/>
      </w:r>
    </w:p>
    <w:p w:rsidR="00E23FFF" w:rsidRPr="00C31A1E" w:rsidRDefault="00E23FFF">
      <w:pPr>
        <w:widowControl/>
        <w:jc w:val="left"/>
        <w:rPr>
          <w:rFonts w:ascii="Times New Roman" w:hAnsi="Times New Roman" w:cs="Times New Roman"/>
        </w:rPr>
      </w:pPr>
    </w:p>
    <w:p w:rsidR="00E23FFF" w:rsidRPr="00DA2CA6" w:rsidRDefault="00E23FFF" w:rsidP="00E23FFF">
      <w:pPr>
        <w:rPr>
          <w:rFonts w:ascii="Times New Roman" w:hAnsi="Times New Roman" w:cs="Times New Roman"/>
          <w:b/>
          <w:bCs/>
        </w:rPr>
      </w:pPr>
      <w:r w:rsidRPr="00DA2CA6">
        <w:rPr>
          <w:rFonts w:ascii="Times New Roman" w:hAnsi="Times New Roman" w:cs="Times New Roman"/>
          <w:b/>
          <w:bCs/>
        </w:rPr>
        <w:t>Table S7. Covariate balance before and after inverse probability of treatment weighting (IPTW) based on the prespecified propensity score model</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595"/>
        <w:gridCol w:w="1583"/>
        <w:gridCol w:w="1992"/>
        <w:gridCol w:w="1851"/>
        <w:gridCol w:w="1972"/>
        <w:gridCol w:w="2380"/>
        <w:gridCol w:w="1387"/>
      </w:tblGrid>
      <w:tr w:rsidR="00E23FFF" w:rsidRPr="00C31A1E" w:rsidTr="00933001">
        <w:trPr>
          <w:tblHeader/>
          <w:tblCellSpacing w:w="15" w:type="dxa"/>
        </w:trPr>
        <w:tc>
          <w:tcPr>
            <w:tcW w:w="0" w:type="auto"/>
            <w:tcBorders>
              <w:top w:val="nil"/>
              <w:bottom w:val="single" w:sz="4" w:space="0" w:color="auto"/>
            </w:tcBorders>
            <w:vAlign w:val="center"/>
            <w:hideMark/>
          </w:tcPr>
          <w:p w:rsidR="00E23FFF" w:rsidRPr="00C31A1E" w:rsidRDefault="00E23FFF" w:rsidP="00E23FFF">
            <w:pPr>
              <w:rPr>
                <w:rFonts w:ascii="Times New Roman" w:hAnsi="Times New Roman" w:cs="Times New Roman"/>
                <w:b/>
                <w:bCs/>
              </w:rPr>
            </w:pPr>
            <w:r w:rsidRPr="00C31A1E">
              <w:rPr>
                <w:rFonts w:ascii="Times New Roman" w:hAnsi="Times New Roman" w:cs="Times New Roman"/>
                <w:b/>
                <w:bCs/>
              </w:rPr>
              <w:t>Covariate</w:t>
            </w:r>
          </w:p>
        </w:tc>
        <w:tc>
          <w:tcPr>
            <w:tcW w:w="0" w:type="auto"/>
            <w:tcBorders>
              <w:top w:val="nil"/>
              <w:bottom w:val="single" w:sz="4" w:space="0" w:color="auto"/>
            </w:tcBorders>
            <w:vAlign w:val="center"/>
            <w:hideMark/>
          </w:tcPr>
          <w:p w:rsidR="00E23FFF" w:rsidRPr="00C31A1E" w:rsidRDefault="00E23FFF" w:rsidP="00E23FFF">
            <w:pPr>
              <w:rPr>
                <w:rFonts w:ascii="Times New Roman" w:hAnsi="Times New Roman" w:cs="Times New Roman"/>
                <w:b/>
                <w:bCs/>
              </w:rPr>
            </w:pPr>
            <w:r w:rsidRPr="00C31A1E">
              <w:rPr>
                <w:rFonts w:ascii="Times New Roman" w:hAnsi="Times New Roman" w:cs="Times New Roman"/>
                <w:b/>
                <w:bCs/>
              </w:rPr>
              <w:t>Unadjusted EVT</w:t>
            </w:r>
          </w:p>
        </w:tc>
        <w:tc>
          <w:tcPr>
            <w:tcW w:w="0" w:type="auto"/>
            <w:tcBorders>
              <w:top w:val="nil"/>
              <w:bottom w:val="single" w:sz="4" w:space="0" w:color="auto"/>
            </w:tcBorders>
            <w:vAlign w:val="center"/>
            <w:hideMark/>
          </w:tcPr>
          <w:p w:rsidR="00E23FFF" w:rsidRPr="00C31A1E" w:rsidRDefault="00E23FFF" w:rsidP="00E23FFF">
            <w:pPr>
              <w:rPr>
                <w:rFonts w:ascii="Times New Roman" w:hAnsi="Times New Roman" w:cs="Times New Roman"/>
                <w:b/>
                <w:bCs/>
              </w:rPr>
            </w:pPr>
            <w:r w:rsidRPr="00C31A1E">
              <w:rPr>
                <w:rFonts w:ascii="Times New Roman" w:hAnsi="Times New Roman" w:cs="Times New Roman"/>
                <w:b/>
                <w:bCs/>
              </w:rPr>
              <w:t>Unadjusted non-EVT</w:t>
            </w:r>
          </w:p>
        </w:tc>
        <w:tc>
          <w:tcPr>
            <w:tcW w:w="0" w:type="auto"/>
            <w:tcBorders>
              <w:top w:val="nil"/>
              <w:bottom w:val="single" w:sz="4" w:space="0" w:color="auto"/>
            </w:tcBorders>
            <w:vAlign w:val="center"/>
            <w:hideMark/>
          </w:tcPr>
          <w:p w:rsidR="00E23FFF" w:rsidRPr="00C31A1E" w:rsidRDefault="00E23FFF" w:rsidP="00E23FFF">
            <w:pPr>
              <w:rPr>
                <w:rFonts w:ascii="Times New Roman" w:hAnsi="Times New Roman" w:cs="Times New Roman"/>
                <w:b/>
                <w:bCs/>
              </w:rPr>
            </w:pPr>
            <w:r w:rsidRPr="00C31A1E">
              <w:rPr>
                <w:rFonts w:ascii="Times New Roman" w:hAnsi="Times New Roman" w:cs="Times New Roman"/>
                <w:b/>
                <w:bCs/>
              </w:rPr>
              <w:t>|SMD| (Unadjusted)</w:t>
            </w:r>
          </w:p>
        </w:tc>
        <w:tc>
          <w:tcPr>
            <w:tcW w:w="0" w:type="auto"/>
            <w:tcBorders>
              <w:top w:val="nil"/>
              <w:bottom w:val="single" w:sz="4" w:space="0" w:color="auto"/>
            </w:tcBorders>
            <w:vAlign w:val="center"/>
            <w:hideMark/>
          </w:tcPr>
          <w:p w:rsidR="00E23FFF" w:rsidRPr="00C31A1E" w:rsidRDefault="00E23FFF" w:rsidP="00E23FFF">
            <w:pPr>
              <w:rPr>
                <w:rFonts w:ascii="Times New Roman" w:hAnsi="Times New Roman" w:cs="Times New Roman"/>
                <w:b/>
                <w:bCs/>
              </w:rPr>
            </w:pPr>
            <w:r w:rsidRPr="00C31A1E">
              <w:rPr>
                <w:rFonts w:ascii="Times New Roman" w:hAnsi="Times New Roman" w:cs="Times New Roman"/>
                <w:b/>
                <w:bCs/>
              </w:rPr>
              <w:t>IPTW-weighted EVT</w:t>
            </w:r>
          </w:p>
        </w:tc>
        <w:tc>
          <w:tcPr>
            <w:tcW w:w="0" w:type="auto"/>
            <w:tcBorders>
              <w:top w:val="nil"/>
              <w:bottom w:val="single" w:sz="4" w:space="0" w:color="auto"/>
            </w:tcBorders>
            <w:vAlign w:val="center"/>
            <w:hideMark/>
          </w:tcPr>
          <w:p w:rsidR="00E23FFF" w:rsidRPr="00C31A1E" w:rsidRDefault="00E23FFF" w:rsidP="00E23FFF">
            <w:pPr>
              <w:rPr>
                <w:rFonts w:ascii="Times New Roman" w:hAnsi="Times New Roman" w:cs="Times New Roman"/>
                <w:b/>
                <w:bCs/>
              </w:rPr>
            </w:pPr>
            <w:r w:rsidRPr="00C31A1E">
              <w:rPr>
                <w:rFonts w:ascii="Times New Roman" w:hAnsi="Times New Roman" w:cs="Times New Roman"/>
                <w:b/>
                <w:bCs/>
              </w:rPr>
              <w:t>IPTW-weighted non-EVT</w:t>
            </w:r>
          </w:p>
        </w:tc>
        <w:tc>
          <w:tcPr>
            <w:tcW w:w="0" w:type="auto"/>
            <w:tcBorders>
              <w:top w:val="nil"/>
              <w:bottom w:val="single" w:sz="4" w:space="0" w:color="auto"/>
            </w:tcBorders>
            <w:vAlign w:val="center"/>
            <w:hideMark/>
          </w:tcPr>
          <w:p w:rsidR="00E23FFF" w:rsidRPr="00C31A1E" w:rsidRDefault="00E23FFF" w:rsidP="00E23FFF">
            <w:pPr>
              <w:rPr>
                <w:rFonts w:ascii="Times New Roman" w:hAnsi="Times New Roman" w:cs="Times New Roman"/>
                <w:b/>
                <w:bCs/>
              </w:rPr>
            </w:pPr>
            <w:r w:rsidRPr="00C31A1E">
              <w:rPr>
                <w:rFonts w:ascii="Times New Roman" w:hAnsi="Times New Roman" w:cs="Times New Roman"/>
                <w:b/>
                <w:bCs/>
              </w:rPr>
              <w:t>|SMD| (IPTW)</w:t>
            </w:r>
          </w:p>
        </w:tc>
      </w:tr>
      <w:tr w:rsidR="00E23FFF" w:rsidRPr="00C31A1E" w:rsidTr="009F4C14">
        <w:trPr>
          <w:tblCellSpacing w:w="15" w:type="dxa"/>
        </w:trPr>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Age (years)</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69.72</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67.40</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0.192</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68.77</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69.08</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0.025</w:t>
            </w:r>
          </w:p>
        </w:tc>
      </w:tr>
      <w:tr w:rsidR="00E23FFF" w:rsidRPr="00C31A1E" w:rsidTr="009F4C14">
        <w:trPr>
          <w:tblCellSpacing w:w="15" w:type="dxa"/>
        </w:trPr>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NIHSS</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12.87</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6.19</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1.114</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10.18</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8.74</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0.219</w:t>
            </w:r>
          </w:p>
        </w:tc>
      </w:tr>
      <w:tr w:rsidR="00E23FFF" w:rsidRPr="00C31A1E" w:rsidTr="009F4C14">
        <w:trPr>
          <w:tblCellSpacing w:w="15" w:type="dxa"/>
        </w:trPr>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ASPECTS</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7.09</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8.10</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0.617</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7.35</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7.56</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0.119</w:t>
            </w:r>
          </w:p>
        </w:tc>
      </w:tr>
      <w:tr w:rsidR="00E23FFF" w:rsidRPr="00C31A1E" w:rsidTr="009F4C14">
        <w:trPr>
          <w:tblCellSpacing w:w="15" w:type="dxa"/>
        </w:trPr>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Onset-to-CT time</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5.17</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11.24</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0.560</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6.64</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8.26</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0.172</w:t>
            </w:r>
          </w:p>
        </w:tc>
      </w:tr>
      <w:tr w:rsidR="00E23FFF" w:rsidRPr="00C31A1E" w:rsidTr="009F4C14">
        <w:trPr>
          <w:tblCellSpacing w:w="15" w:type="dxa"/>
        </w:trPr>
        <w:tc>
          <w:tcPr>
            <w:tcW w:w="0" w:type="auto"/>
            <w:vAlign w:val="center"/>
            <w:hideMark/>
          </w:tcPr>
          <w:p w:rsidR="00E23FFF" w:rsidRPr="00C31A1E" w:rsidRDefault="00E23FFF" w:rsidP="00E23FFF">
            <w:pPr>
              <w:rPr>
                <w:rFonts w:ascii="Times New Roman" w:hAnsi="Times New Roman" w:cs="Times New Roman"/>
              </w:rPr>
            </w:pPr>
            <w:proofErr w:type="spellStart"/>
            <w:r w:rsidRPr="00C31A1E">
              <w:rPr>
                <w:rFonts w:ascii="Times New Roman" w:hAnsi="Times New Roman" w:cs="Times New Roman"/>
              </w:rPr>
              <w:t>IVT_any</w:t>
            </w:r>
            <w:proofErr w:type="spellEnd"/>
            <w:r w:rsidRPr="00C31A1E">
              <w:rPr>
                <w:rFonts w:ascii="Times New Roman" w:hAnsi="Times New Roman" w:cs="Times New Roman"/>
              </w:rPr>
              <w:t xml:space="preserve"> (proportion)</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0.147</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0.150</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0.010</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0.185</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0.212</w:t>
            </w:r>
          </w:p>
        </w:tc>
        <w:tc>
          <w:tcPr>
            <w:tcW w:w="0" w:type="auto"/>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0.067</w:t>
            </w:r>
          </w:p>
        </w:tc>
      </w:tr>
      <w:tr w:rsidR="00E23FFF" w:rsidRPr="00C31A1E" w:rsidTr="001E756D">
        <w:trPr>
          <w:tblCellSpacing w:w="15" w:type="dxa"/>
        </w:trPr>
        <w:tc>
          <w:tcPr>
            <w:tcW w:w="0" w:type="auto"/>
            <w:tcBorders>
              <w:top w:val="nil"/>
              <w:bottom w:val="nil"/>
            </w:tcBorders>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Atrial fibrillation (proportion)</w:t>
            </w:r>
          </w:p>
        </w:tc>
        <w:tc>
          <w:tcPr>
            <w:tcW w:w="0" w:type="auto"/>
            <w:tcBorders>
              <w:top w:val="nil"/>
              <w:bottom w:val="nil"/>
            </w:tcBorders>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0.491</w:t>
            </w:r>
          </w:p>
        </w:tc>
        <w:tc>
          <w:tcPr>
            <w:tcW w:w="0" w:type="auto"/>
            <w:tcBorders>
              <w:top w:val="nil"/>
              <w:bottom w:val="nil"/>
            </w:tcBorders>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0.275</w:t>
            </w:r>
          </w:p>
        </w:tc>
        <w:tc>
          <w:tcPr>
            <w:tcW w:w="0" w:type="auto"/>
            <w:tcBorders>
              <w:top w:val="nil"/>
              <w:bottom w:val="nil"/>
            </w:tcBorders>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0.445</w:t>
            </w:r>
          </w:p>
        </w:tc>
        <w:tc>
          <w:tcPr>
            <w:tcW w:w="0" w:type="auto"/>
            <w:tcBorders>
              <w:top w:val="nil"/>
              <w:bottom w:val="nil"/>
            </w:tcBorders>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0.422</w:t>
            </w:r>
          </w:p>
        </w:tc>
        <w:tc>
          <w:tcPr>
            <w:tcW w:w="0" w:type="auto"/>
            <w:tcBorders>
              <w:top w:val="nil"/>
              <w:bottom w:val="nil"/>
            </w:tcBorders>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0.457</w:t>
            </w:r>
          </w:p>
        </w:tc>
        <w:tc>
          <w:tcPr>
            <w:tcW w:w="0" w:type="auto"/>
            <w:tcBorders>
              <w:top w:val="nil"/>
              <w:bottom w:val="nil"/>
            </w:tcBorders>
            <w:vAlign w:val="center"/>
            <w:hideMark/>
          </w:tcPr>
          <w:p w:rsidR="00E23FFF" w:rsidRPr="00C31A1E" w:rsidRDefault="00E23FFF" w:rsidP="00E23FFF">
            <w:pPr>
              <w:rPr>
                <w:rFonts w:ascii="Times New Roman" w:hAnsi="Times New Roman" w:cs="Times New Roman"/>
              </w:rPr>
            </w:pPr>
            <w:r w:rsidRPr="00C31A1E">
              <w:rPr>
                <w:rFonts w:ascii="Times New Roman" w:hAnsi="Times New Roman" w:cs="Times New Roman"/>
              </w:rPr>
              <w:t>0.070</w:t>
            </w:r>
          </w:p>
        </w:tc>
      </w:tr>
    </w:tbl>
    <w:p w:rsidR="00E23FFF" w:rsidRPr="00C31A1E" w:rsidRDefault="00E23FFF" w:rsidP="00E23FFF">
      <w:pPr>
        <w:rPr>
          <w:rFonts w:ascii="Times New Roman" w:hAnsi="Times New Roman" w:cs="Times New Roman"/>
        </w:rPr>
      </w:pPr>
      <w:r w:rsidRPr="00C31A1E">
        <w:rPr>
          <w:rFonts w:ascii="Times New Roman" w:hAnsi="Times New Roman" w:cs="Times New Roman"/>
          <w:i/>
          <w:iCs/>
        </w:rPr>
        <w:t>EVT</w:t>
      </w:r>
      <w:r w:rsidR="002D1A2E" w:rsidRPr="00C31A1E">
        <w:rPr>
          <w:rFonts w:ascii="Times New Roman" w:hAnsi="Times New Roman" w:cs="Times New Roman"/>
          <w:i/>
          <w:iCs/>
        </w:rPr>
        <w:t xml:space="preserve">, </w:t>
      </w:r>
      <w:r w:rsidR="00725B5A" w:rsidRPr="00C31A1E">
        <w:rPr>
          <w:rFonts w:ascii="Times New Roman" w:hAnsi="Times New Roman" w:cs="Times New Roman"/>
          <w:i/>
          <w:iCs/>
        </w:rPr>
        <w:t>endovascular thrombectomy</w:t>
      </w:r>
      <w:r w:rsidRPr="00C31A1E">
        <w:rPr>
          <w:rFonts w:ascii="Times New Roman" w:hAnsi="Times New Roman" w:cs="Times New Roman"/>
          <w:i/>
          <w:iCs/>
        </w:rPr>
        <w:t>; IPTW</w:t>
      </w:r>
      <w:r w:rsidR="002D1A2E" w:rsidRPr="00C31A1E">
        <w:rPr>
          <w:rFonts w:ascii="Times New Roman" w:hAnsi="Times New Roman" w:cs="Times New Roman"/>
          <w:i/>
          <w:iCs/>
        </w:rPr>
        <w:t>,</w:t>
      </w:r>
      <w:r w:rsidRPr="00C31A1E">
        <w:rPr>
          <w:rFonts w:ascii="Times New Roman" w:hAnsi="Times New Roman" w:cs="Times New Roman"/>
          <w:i/>
          <w:iCs/>
        </w:rPr>
        <w:t xml:space="preserve"> inverse probability of treatment weighting; SMD, standardized mean difference; NIHSS, National Institutes of Health Stroke Scale; ASPECTS, Alberta Stroke Program Early CT Score; IVT, intravenous thrombolysis; CT, computed tomography.</w:t>
      </w:r>
      <w:r w:rsidRPr="00C31A1E">
        <w:rPr>
          <w:rFonts w:ascii="Times New Roman" w:hAnsi="Times New Roman" w:cs="Times New Roman"/>
          <w:i/>
          <w:iCs/>
        </w:rPr>
        <w:br/>
        <w:t>The propensity score model included the following prespecified covariates: age, NIHSS, ASPECTS, onset-to-CT time, IVT (any vs none), and atrial fibrillation. Stabilized ATE (average treatment effect) weights were applied with 1st/99th percentile weight trimming. Continuous variables are presented as group means; binary variables are presented as proportions. Lower |SMD| indicates better covariate balance (commonly, |SMD| &lt;0.10 is considered well balanced).</w:t>
      </w:r>
    </w:p>
    <w:p w:rsidR="000905A4" w:rsidRPr="00C31A1E" w:rsidRDefault="000905A4">
      <w:pPr>
        <w:widowControl/>
        <w:jc w:val="left"/>
        <w:rPr>
          <w:rFonts w:ascii="Times New Roman" w:hAnsi="Times New Roman" w:cs="Times New Roman"/>
        </w:rPr>
      </w:pPr>
      <w:r w:rsidRPr="00C31A1E">
        <w:rPr>
          <w:rFonts w:ascii="Times New Roman" w:hAnsi="Times New Roman" w:cs="Times New Roman"/>
        </w:rPr>
        <w:br w:type="page"/>
      </w:r>
    </w:p>
    <w:p w:rsidR="000905A4" w:rsidRPr="005755A1" w:rsidRDefault="000905A4" w:rsidP="000905A4">
      <w:pPr>
        <w:rPr>
          <w:rFonts w:ascii="Times New Roman" w:hAnsi="Times New Roman" w:cs="Times New Roman"/>
          <w:b/>
          <w:bCs/>
        </w:rPr>
      </w:pPr>
      <w:r w:rsidRPr="005755A1">
        <w:rPr>
          <w:rFonts w:ascii="Times New Roman" w:hAnsi="Times New Roman" w:cs="Times New Roman"/>
          <w:b/>
          <w:bCs/>
        </w:rPr>
        <w:lastRenderedPageBreak/>
        <w:t>Table S8. Association of endovascular thrombectomy (EVT) with outcomes: unadjusted, IPTW-weighted, and doubly robust analyses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1"/>
        <w:gridCol w:w="2694"/>
        <w:gridCol w:w="1559"/>
        <w:gridCol w:w="2126"/>
        <w:gridCol w:w="1276"/>
        <w:gridCol w:w="2977"/>
        <w:gridCol w:w="1275"/>
      </w:tblGrid>
      <w:tr w:rsidR="000905A4" w:rsidRPr="00C31A1E" w:rsidTr="00F36368">
        <w:trPr>
          <w:trHeight w:val="492"/>
          <w:tblHeader/>
          <w:tblCellSpacing w:w="15" w:type="dxa"/>
        </w:trPr>
        <w:tc>
          <w:tcPr>
            <w:tcW w:w="1656" w:type="dxa"/>
            <w:tcBorders>
              <w:top w:val="single" w:sz="4" w:space="0" w:color="auto"/>
              <w:bottom w:val="single" w:sz="4" w:space="0" w:color="auto"/>
            </w:tcBorders>
            <w:vAlign w:val="center"/>
            <w:hideMark/>
          </w:tcPr>
          <w:p w:rsidR="000905A4" w:rsidRPr="00C31A1E" w:rsidRDefault="000905A4" w:rsidP="000905A4">
            <w:pPr>
              <w:rPr>
                <w:rFonts w:ascii="Times New Roman" w:hAnsi="Times New Roman" w:cs="Times New Roman"/>
                <w:b/>
                <w:bCs/>
              </w:rPr>
            </w:pPr>
            <w:r w:rsidRPr="00C31A1E">
              <w:rPr>
                <w:rFonts w:ascii="Times New Roman" w:hAnsi="Times New Roman" w:cs="Times New Roman"/>
                <w:b/>
                <w:bCs/>
              </w:rPr>
              <w:t>Outcome</w:t>
            </w:r>
          </w:p>
        </w:tc>
        <w:tc>
          <w:tcPr>
            <w:tcW w:w="2664" w:type="dxa"/>
            <w:tcBorders>
              <w:top w:val="single" w:sz="4" w:space="0" w:color="auto"/>
              <w:bottom w:val="single" w:sz="4" w:space="0" w:color="auto"/>
            </w:tcBorders>
            <w:vAlign w:val="center"/>
            <w:hideMark/>
          </w:tcPr>
          <w:p w:rsidR="000905A4" w:rsidRPr="00C31A1E" w:rsidRDefault="000905A4" w:rsidP="000905A4">
            <w:pPr>
              <w:rPr>
                <w:rFonts w:ascii="Times New Roman" w:hAnsi="Times New Roman" w:cs="Times New Roman"/>
                <w:b/>
                <w:bCs/>
              </w:rPr>
            </w:pPr>
            <w:r w:rsidRPr="00C31A1E">
              <w:rPr>
                <w:rFonts w:ascii="Times New Roman" w:hAnsi="Times New Roman" w:cs="Times New Roman"/>
                <w:b/>
                <w:bCs/>
              </w:rPr>
              <w:t>Unadjusted OR (95% CI)</w:t>
            </w:r>
          </w:p>
        </w:tc>
        <w:tc>
          <w:tcPr>
            <w:tcW w:w="1529" w:type="dxa"/>
            <w:tcBorders>
              <w:top w:val="single" w:sz="4" w:space="0" w:color="auto"/>
              <w:bottom w:val="single" w:sz="4" w:space="0" w:color="auto"/>
            </w:tcBorders>
            <w:vAlign w:val="center"/>
            <w:hideMark/>
          </w:tcPr>
          <w:p w:rsidR="000905A4" w:rsidRPr="00C31A1E" w:rsidRDefault="000905A4" w:rsidP="000905A4">
            <w:pPr>
              <w:rPr>
                <w:rFonts w:ascii="Times New Roman" w:hAnsi="Times New Roman" w:cs="Times New Roman"/>
                <w:b/>
                <w:bCs/>
              </w:rPr>
            </w:pPr>
            <w:r w:rsidRPr="00C31A1E">
              <w:rPr>
                <w:rFonts w:ascii="Times New Roman" w:hAnsi="Times New Roman" w:cs="Times New Roman"/>
                <w:b/>
                <w:bCs/>
              </w:rPr>
              <w:t>P value</w:t>
            </w:r>
          </w:p>
        </w:tc>
        <w:tc>
          <w:tcPr>
            <w:tcW w:w="2096" w:type="dxa"/>
            <w:tcBorders>
              <w:top w:val="single" w:sz="4" w:space="0" w:color="auto"/>
              <w:bottom w:val="single" w:sz="4" w:space="0" w:color="auto"/>
            </w:tcBorders>
            <w:vAlign w:val="center"/>
            <w:hideMark/>
          </w:tcPr>
          <w:p w:rsidR="000905A4" w:rsidRPr="00C31A1E" w:rsidRDefault="000905A4" w:rsidP="000905A4">
            <w:pPr>
              <w:rPr>
                <w:rFonts w:ascii="Times New Roman" w:hAnsi="Times New Roman" w:cs="Times New Roman"/>
                <w:b/>
                <w:bCs/>
              </w:rPr>
            </w:pPr>
            <w:r w:rsidRPr="00C31A1E">
              <w:rPr>
                <w:rFonts w:ascii="Times New Roman" w:hAnsi="Times New Roman" w:cs="Times New Roman"/>
                <w:b/>
                <w:bCs/>
              </w:rPr>
              <w:t>IPTW OR (95% CI)</w:t>
            </w:r>
          </w:p>
        </w:tc>
        <w:tc>
          <w:tcPr>
            <w:tcW w:w="1246" w:type="dxa"/>
            <w:tcBorders>
              <w:top w:val="single" w:sz="4" w:space="0" w:color="auto"/>
              <w:bottom w:val="single" w:sz="4" w:space="0" w:color="auto"/>
            </w:tcBorders>
            <w:vAlign w:val="center"/>
            <w:hideMark/>
          </w:tcPr>
          <w:p w:rsidR="000905A4" w:rsidRPr="00C31A1E" w:rsidRDefault="000905A4" w:rsidP="000905A4">
            <w:pPr>
              <w:rPr>
                <w:rFonts w:ascii="Times New Roman" w:hAnsi="Times New Roman" w:cs="Times New Roman"/>
                <w:b/>
                <w:bCs/>
              </w:rPr>
            </w:pPr>
            <w:r w:rsidRPr="00C31A1E">
              <w:rPr>
                <w:rFonts w:ascii="Times New Roman" w:hAnsi="Times New Roman" w:cs="Times New Roman"/>
                <w:b/>
                <w:bCs/>
              </w:rPr>
              <w:t>P value</w:t>
            </w:r>
          </w:p>
        </w:tc>
        <w:tc>
          <w:tcPr>
            <w:tcW w:w="2947" w:type="dxa"/>
            <w:tcBorders>
              <w:top w:val="single" w:sz="4" w:space="0" w:color="auto"/>
              <w:bottom w:val="single" w:sz="4" w:space="0" w:color="auto"/>
            </w:tcBorders>
            <w:vAlign w:val="center"/>
            <w:hideMark/>
          </w:tcPr>
          <w:p w:rsidR="000905A4" w:rsidRPr="00C31A1E" w:rsidRDefault="000905A4" w:rsidP="000905A4">
            <w:pPr>
              <w:rPr>
                <w:rFonts w:ascii="Times New Roman" w:hAnsi="Times New Roman" w:cs="Times New Roman"/>
                <w:b/>
                <w:bCs/>
              </w:rPr>
            </w:pPr>
            <w:r w:rsidRPr="00C31A1E">
              <w:rPr>
                <w:rFonts w:ascii="Times New Roman" w:hAnsi="Times New Roman" w:cs="Times New Roman"/>
                <w:b/>
                <w:bCs/>
              </w:rPr>
              <w:t>Doubly robust OR (95% CI)</w:t>
            </w:r>
          </w:p>
        </w:tc>
        <w:tc>
          <w:tcPr>
            <w:tcW w:w="1230" w:type="dxa"/>
            <w:tcBorders>
              <w:top w:val="single" w:sz="4" w:space="0" w:color="auto"/>
              <w:bottom w:val="single" w:sz="4" w:space="0" w:color="auto"/>
            </w:tcBorders>
            <w:vAlign w:val="center"/>
            <w:hideMark/>
          </w:tcPr>
          <w:p w:rsidR="000905A4" w:rsidRPr="00C31A1E" w:rsidRDefault="000905A4" w:rsidP="000905A4">
            <w:pPr>
              <w:rPr>
                <w:rFonts w:ascii="Times New Roman" w:hAnsi="Times New Roman" w:cs="Times New Roman"/>
                <w:b/>
                <w:bCs/>
              </w:rPr>
            </w:pPr>
            <w:r w:rsidRPr="00C31A1E">
              <w:rPr>
                <w:rFonts w:ascii="Times New Roman" w:hAnsi="Times New Roman" w:cs="Times New Roman"/>
                <w:b/>
                <w:bCs/>
              </w:rPr>
              <w:t>P value</w:t>
            </w:r>
          </w:p>
        </w:tc>
      </w:tr>
      <w:tr w:rsidR="000905A4" w:rsidRPr="00C31A1E" w:rsidTr="0021711B">
        <w:trPr>
          <w:tblCellSpacing w:w="15" w:type="dxa"/>
        </w:trPr>
        <w:tc>
          <w:tcPr>
            <w:tcW w:w="1656" w:type="dxa"/>
            <w:vAlign w:val="center"/>
            <w:hideMark/>
          </w:tcPr>
          <w:p w:rsidR="000905A4" w:rsidRPr="00C31A1E" w:rsidRDefault="000905A4" w:rsidP="000905A4">
            <w:pPr>
              <w:rPr>
                <w:rFonts w:ascii="Times New Roman" w:hAnsi="Times New Roman" w:cs="Times New Roman"/>
              </w:rPr>
            </w:pPr>
            <w:proofErr w:type="spellStart"/>
            <w:r w:rsidRPr="00C31A1E">
              <w:rPr>
                <w:rFonts w:ascii="Times New Roman" w:hAnsi="Times New Roman" w:cs="Times New Roman"/>
              </w:rPr>
              <w:t>mRS</w:t>
            </w:r>
            <w:proofErr w:type="spellEnd"/>
            <w:r w:rsidRPr="00C31A1E">
              <w:rPr>
                <w:rFonts w:ascii="Times New Roman" w:hAnsi="Times New Roman" w:cs="Times New Roman"/>
              </w:rPr>
              <w:t xml:space="preserve"> 0–2</w:t>
            </w:r>
          </w:p>
        </w:tc>
        <w:tc>
          <w:tcPr>
            <w:tcW w:w="2664" w:type="dxa"/>
            <w:vAlign w:val="center"/>
            <w:hideMark/>
          </w:tcPr>
          <w:p w:rsidR="000905A4" w:rsidRPr="00C31A1E" w:rsidRDefault="000905A4" w:rsidP="000905A4">
            <w:pPr>
              <w:rPr>
                <w:rFonts w:ascii="Times New Roman" w:hAnsi="Times New Roman" w:cs="Times New Roman"/>
              </w:rPr>
            </w:pPr>
            <w:r w:rsidRPr="00C31A1E">
              <w:rPr>
                <w:rFonts w:ascii="Times New Roman" w:hAnsi="Times New Roman" w:cs="Times New Roman"/>
              </w:rPr>
              <w:t>0.282 (0.131–0.607)</w:t>
            </w:r>
          </w:p>
        </w:tc>
        <w:tc>
          <w:tcPr>
            <w:tcW w:w="1529" w:type="dxa"/>
            <w:vAlign w:val="center"/>
            <w:hideMark/>
          </w:tcPr>
          <w:p w:rsidR="000905A4" w:rsidRPr="00C31A1E" w:rsidRDefault="000905A4" w:rsidP="000905A4">
            <w:pPr>
              <w:rPr>
                <w:rFonts w:ascii="Times New Roman" w:hAnsi="Times New Roman" w:cs="Times New Roman"/>
              </w:rPr>
            </w:pPr>
            <w:r w:rsidRPr="00C31A1E">
              <w:rPr>
                <w:rFonts w:ascii="Times New Roman" w:hAnsi="Times New Roman" w:cs="Times New Roman"/>
              </w:rPr>
              <w:t>0.0012</w:t>
            </w:r>
          </w:p>
        </w:tc>
        <w:tc>
          <w:tcPr>
            <w:tcW w:w="2096" w:type="dxa"/>
            <w:vAlign w:val="center"/>
            <w:hideMark/>
          </w:tcPr>
          <w:p w:rsidR="000905A4" w:rsidRPr="00C31A1E" w:rsidRDefault="000905A4" w:rsidP="000905A4">
            <w:pPr>
              <w:rPr>
                <w:rFonts w:ascii="Times New Roman" w:hAnsi="Times New Roman" w:cs="Times New Roman"/>
              </w:rPr>
            </w:pPr>
            <w:r w:rsidRPr="00C31A1E">
              <w:rPr>
                <w:rFonts w:ascii="Times New Roman" w:hAnsi="Times New Roman" w:cs="Times New Roman"/>
              </w:rPr>
              <w:t>0.628 (0.297–1.330)</w:t>
            </w:r>
          </w:p>
        </w:tc>
        <w:tc>
          <w:tcPr>
            <w:tcW w:w="1246" w:type="dxa"/>
            <w:vAlign w:val="center"/>
            <w:hideMark/>
          </w:tcPr>
          <w:p w:rsidR="000905A4" w:rsidRPr="00C31A1E" w:rsidRDefault="000905A4" w:rsidP="000905A4">
            <w:pPr>
              <w:rPr>
                <w:rFonts w:ascii="Times New Roman" w:hAnsi="Times New Roman" w:cs="Times New Roman"/>
              </w:rPr>
            </w:pPr>
            <w:r w:rsidRPr="00C31A1E">
              <w:rPr>
                <w:rFonts w:ascii="Times New Roman" w:hAnsi="Times New Roman" w:cs="Times New Roman"/>
              </w:rPr>
              <w:t>0.224</w:t>
            </w:r>
          </w:p>
        </w:tc>
        <w:tc>
          <w:tcPr>
            <w:tcW w:w="2947" w:type="dxa"/>
            <w:vAlign w:val="center"/>
            <w:hideMark/>
          </w:tcPr>
          <w:p w:rsidR="000905A4" w:rsidRPr="00C31A1E" w:rsidRDefault="000905A4" w:rsidP="000905A4">
            <w:pPr>
              <w:rPr>
                <w:rFonts w:ascii="Times New Roman" w:hAnsi="Times New Roman" w:cs="Times New Roman"/>
              </w:rPr>
            </w:pPr>
            <w:r w:rsidRPr="00C31A1E">
              <w:rPr>
                <w:rFonts w:ascii="Times New Roman" w:hAnsi="Times New Roman" w:cs="Times New Roman"/>
              </w:rPr>
              <w:t>0.545 (0.214–1.387)</w:t>
            </w:r>
          </w:p>
        </w:tc>
        <w:tc>
          <w:tcPr>
            <w:tcW w:w="1230" w:type="dxa"/>
            <w:vAlign w:val="center"/>
            <w:hideMark/>
          </w:tcPr>
          <w:p w:rsidR="000905A4" w:rsidRPr="00C31A1E" w:rsidRDefault="000905A4" w:rsidP="000905A4">
            <w:pPr>
              <w:rPr>
                <w:rFonts w:ascii="Times New Roman" w:hAnsi="Times New Roman" w:cs="Times New Roman"/>
              </w:rPr>
            </w:pPr>
            <w:r w:rsidRPr="00C31A1E">
              <w:rPr>
                <w:rFonts w:ascii="Times New Roman" w:hAnsi="Times New Roman" w:cs="Times New Roman"/>
              </w:rPr>
              <w:t>0.203</w:t>
            </w:r>
          </w:p>
        </w:tc>
      </w:tr>
      <w:tr w:rsidR="000905A4" w:rsidRPr="00C31A1E" w:rsidTr="00F36368">
        <w:trPr>
          <w:trHeight w:val="443"/>
          <w:tblCellSpacing w:w="15" w:type="dxa"/>
        </w:trPr>
        <w:tc>
          <w:tcPr>
            <w:tcW w:w="1656" w:type="dxa"/>
            <w:tcBorders>
              <w:bottom w:val="single" w:sz="4" w:space="0" w:color="auto"/>
            </w:tcBorders>
            <w:vAlign w:val="center"/>
            <w:hideMark/>
          </w:tcPr>
          <w:p w:rsidR="000905A4" w:rsidRPr="00C31A1E" w:rsidRDefault="000905A4" w:rsidP="000905A4">
            <w:pPr>
              <w:rPr>
                <w:rFonts w:ascii="Times New Roman" w:hAnsi="Times New Roman" w:cs="Times New Roman"/>
              </w:rPr>
            </w:pPr>
            <w:r w:rsidRPr="00C31A1E">
              <w:rPr>
                <w:rFonts w:ascii="Times New Roman" w:hAnsi="Times New Roman" w:cs="Times New Roman"/>
              </w:rPr>
              <w:t>PH</w:t>
            </w:r>
          </w:p>
        </w:tc>
        <w:tc>
          <w:tcPr>
            <w:tcW w:w="2664" w:type="dxa"/>
            <w:tcBorders>
              <w:bottom w:val="single" w:sz="4" w:space="0" w:color="auto"/>
            </w:tcBorders>
            <w:vAlign w:val="center"/>
            <w:hideMark/>
          </w:tcPr>
          <w:p w:rsidR="000905A4" w:rsidRPr="00C31A1E" w:rsidRDefault="000905A4" w:rsidP="000905A4">
            <w:pPr>
              <w:rPr>
                <w:rFonts w:ascii="Times New Roman" w:hAnsi="Times New Roman" w:cs="Times New Roman"/>
              </w:rPr>
            </w:pPr>
            <w:r w:rsidRPr="00C31A1E">
              <w:rPr>
                <w:rFonts w:ascii="Times New Roman" w:hAnsi="Times New Roman" w:cs="Times New Roman"/>
              </w:rPr>
              <w:t>10.84 (1.40–84.22)</w:t>
            </w:r>
          </w:p>
        </w:tc>
        <w:tc>
          <w:tcPr>
            <w:tcW w:w="1529" w:type="dxa"/>
            <w:tcBorders>
              <w:bottom w:val="single" w:sz="4" w:space="0" w:color="auto"/>
            </w:tcBorders>
            <w:vAlign w:val="center"/>
            <w:hideMark/>
          </w:tcPr>
          <w:p w:rsidR="000905A4" w:rsidRPr="00C31A1E" w:rsidRDefault="000905A4" w:rsidP="000905A4">
            <w:pPr>
              <w:rPr>
                <w:rFonts w:ascii="Times New Roman" w:hAnsi="Times New Roman" w:cs="Times New Roman"/>
              </w:rPr>
            </w:pPr>
            <w:r w:rsidRPr="00C31A1E">
              <w:rPr>
                <w:rFonts w:ascii="Times New Roman" w:hAnsi="Times New Roman" w:cs="Times New Roman"/>
              </w:rPr>
              <w:t>0.0227</w:t>
            </w:r>
          </w:p>
        </w:tc>
        <w:tc>
          <w:tcPr>
            <w:tcW w:w="2096" w:type="dxa"/>
            <w:tcBorders>
              <w:bottom w:val="single" w:sz="4" w:space="0" w:color="auto"/>
            </w:tcBorders>
            <w:vAlign w:val="center"/>
            <w:hideMark/>
          </w:tcPr>
          <w:p w:rsidR="000905A4" w:rsidRPr="00C31A1E" w:rsidRDefault="000905A4" w:rsidP="000905A4">
            <w:pPr>
              <w:rPr>
                <w:rFonts w:ascii="Times New Roman" w:hAnsi="Times New Roman" w:cs="Times New Roman"/>
              </w:rPr>
            </w:pPr>
            <w:r w:rsidRPr="00C31A1E">
              <w:rPr>
                <w:rFonts w:ascii="Times New Roman" w:hAnsi="Times New Roman" w:cs="Times New Roman"/>
              </w:rPr>
              <w:t>5.37 (0.795–36.28)</w:t>
            </w:r>
          </w:p>
        </w:tc>
        <w:tc>
          <w:tcPr>
            <w:tcW w:w="1246" w:type="dxa"/>
            <w:tcBorders>
              <w:bottom w:val="single" w:sz="4" w:space="0" w:color="auto"/>
            </w:tcBorders>
            <w:vAlign w:val="center"/>
            <w:hideMark/>
          </w:tcPr>
          <w:p w:rsidR="000905A4" w:rsidRPr="00C31A1E" w:rsidRDefault="000905A4" w:rsidP="000905A4">
            <w:pPr>
              <w:rPr>
                <w:rFonts w:ascii="Times New Roman" w:hAnsi="Times New Roman" w:cs="Times New Roman"/>
              </w:rPr>
            </w:pPr>
            <w:r w:rsidRPr="00C31A1E">
              <w:rPr>
                <w:rFonts w:ascii="Times New Roman" w:hAnsi="Times New Roman" w:cs="Times New Roman"/>
              </w:rPr>
              <w:t>0.0847</w:t>
            </w:r>
          </w:p>
        </w:tc>
        <w:tc>
          <w:tcPr>
            <w:tcW w:w="2947" w:type="dxa"/>
            <w:tcBorders>
              <w:bottom w:val="single" w:sz="4" w:space="0" w:color="auto"/>
            </w:tcBorders>
            <w:vAlign w:val="center"/>
            <w:hideMark/>
          </w:tcPr>
          <w:p w:rsidR="000905A4" w:rsidRPr="00C31A1E" w:rsidRDefault="000905A4" w:rsidP="000905A4">
            <w:pPr>
              <w:rPr>
                <w:rFonts w:ascii="Times New Roman" w:hAnsi="Times New Roman" w:cs="Times New Roman"/>
              </w:rPr>
            </w:pPr>
            <w:r w:rsidRPr="00C31A1E">
              <w:rPr>
                <w:rFonts w:ascii="Times New Roman" w:hAnsi="Times New Roman" w:cs="Times New Roman"/>
              </w:rPr>
              <w:t>6.38 (0.473–86.11)</w:t>
            </w:r>
          </w:p>
        </w:tc>
        <w:tc>
          <w:tcPr>
            <w:tcW w:w="1230" w:type="dxa"/>
            <w:tcBorders>
              <w:bottom w:val="single" w:sz="4" w:space="0" w:color="auto"/>
            </w:tcBorders>
            <w:vAlign w:val="center"/>
            <w:hideMark/>
          </w:tcPr>
          <w:p w:rsidR="000905A4" w:rsidRPr="00C31A1E" w:rsidRDefault="000905A4" w:rsidP="000905A4">
            <w:pPr>
              <w:rPr>
                <w:rFonts w:ascii="Times New Roman" w:hAnsi="Times New Roman" w:cs="Times New Roman"/>
              </w:rPr>
            </w:pPr>
            <w:r w:rsidRPr="00C31A1E">
              <w:rPr>
                <w:rFonts w:ascii="Times New Roman" w:hAnsi="Times New Roman" w:cs="Times New Roman"/>
              </w:rPr>
              <w:t>0.163</w:t>
            </w:r>
          </w:p>
        </w:tc>
      </w:tr>
    </w:tbl>
    <w:p w:rsidR="002E464E" w:rsidRPr="00C31A1E" w:rsidRDefault="000905A4">
      <w:pPr>
        <w:rPr>
          <w:rFonts w:ascii="Times New Roman" w:hAnsi="Times New Roman" w:cs="Times New Roman"/>
          <w:i/>
          <w:iCs/>
        </w:rPr>
      </w:pPr>
      <w:r w:rsidRPr="00C31A1E">
        <w:rPr>
          <w:rFonts w:ascii="Times New Roman" w:hAnsi="Times New Roman" w:cs="Times New Roman"/>
          <w:i/>
          <w:iCs/>
        </w:rPr>
        <w:t>EVT</w:t>
      </w:r>
      <w:r w:rsidR="00725B5A" w:rsidRPr="00C31A1E">
        <w:rPr>
          <w:rFonts w:ascii="Times New Roman" w:hAnsi="Times New Roman" w:cs="Times New Roman"/>
          <w:i/>
          <w:iCs/>
        </w:rPr>
        <w:t>, endovascular thrombectomy</w:t>
      </w:r>
      <w:r w:rsidRPr="00C31A1E">
        <w:rPr>
          <w:rFonts w:ascii="Times New Roman" w:hAnsi="Times New Roman" w:cs="Times New Roman"/>
          <w:i/>
          <w:iCs/>
        </w:rPr>
        <w:t xml:space="preserve">; IPTW, inverse probability of treatment weighting; OR, odds ratio; CI, confidence interval; </w:t>
      </w:r>
      <w:proofErr w:type="spellStart"/>
      <w:r w:rsidRPr="00C31A1E">
        <w:rPr>
          <w:rFonts w:ascii="Times New Roman" w:hAnsi="Times New Roman" w:cs="Times New Roman"/>
          <w:i/>
          <w:iCs/>
        </w:rPr>
        <w:t>mRS</w:t>
      </w:r>
      <w:proofErr w:type="spellEnd"/>
      <w:r w:rsidRPr="00C31A1E">
        <w:rPr>
          <w:rFonts w:ascii="Times New Roman" w:hAnsi="Times New Roman" w:cs="Times New Roman"/>
          <w:i/>
          <w:iCs/>
        </w:rPr>
        <w:t>, modified Rankin Scale; PH, parenchymal hematoma; HBC, Heidelberg Bleeding Classification.</w:t>
      </w:r>
      <w:r w:rsidRPr="00C31A1E">
        <w:rPr>
          <w:rFonts w:ascii="Times New Roman" w:hAnsi="Times New Roman" w:cs="Times New Roman"/>
          <w:i/>
          <w:iCs/>
        </w:rPr>
        <w:br/>
        <w:t xml:space="preserve">Unadjusted estimates were obtained from logistic regression models with EVT as the sole predictor. IPTW estimates were obtained from stabilized ATE-weighted logistic regression models using robust (sandwich) standard errors; weights were trimmed at the 1st and 99th percentiles. Doubly robust estimates were obtained from IPTW-weighted logistic regression models additionally adjusting for age, NIHSS, ASPECTS, onset-to-CT time, IVT (any vs none), and atrial fibrillation. </w:t>
      </w:r>
    </w:p>
    <w:p w:rsidR="002E464E" w:rsidRPr="00C31A1E" w:rsidRDefault="002E464E">
      <w:pPr>
        <w:widowControl/>
        <w:jc w:val="left"/>
        <w:rPr>
          <w:rFonts w:ascii="Times New Roman" w:hAnsi="Times New Roman" w:cs="Times New Roman"/>
          <w:i/>
          <w:iCs/>
        </w:rPr>
      </w:pPr>
      <w:r w:rsidRPr="00C31A1E">
        <w:rPr>
          <w:rFonts w:ascii="Times New Roman" w:hAnsi="Times New Roman" w:cs="Times New Roman"/>
          <w:i/>
          <w:iCs/>
        </w:rPr>
        <w:br w:type="page"/>
      </w:r>
    </w:p>
    <w:p w:rsidR="00FE619C" w:rsidRPr="005755A1" w:rsidRDefault="00FE619C" w:rsidP="00FE619C">
      <w:pPr>
        <w:widowControl/>
        <w:jc w:val="left"/>
        <w:rPr>
          <w:rFonts w:ascii="Times New Roman" w:hAnsi="Times New Roman" w:cs="Times New Roman"/>
          <w:b/>
          <w:bCs/>
        </w:rPr>
      </w:pPr>
      <w:r w:rsidRPr="005755A1">
        <w:rPr>
          <w:rFonts w:ascii="Times New Roman" w:hAnsi="Times New Roman" w:cs="Times New Roman"/>
          <w:b/>
          <w:bCs/>
        </w:rPr>
        <w:lastRenderedPageBreak/>
        <w:t>Table S9. Global test for collateral-by-endovascular thrombectomy (EVT) interaction on 90-day mRS shift (proportional odds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6"/>
        <w:gridCol w:w="6101"/>
        <w:gridCol w:w="1345"/>
        <w:gridCol w:w="1137"/>
        <w:gridCol w:w="1137"/>
        <w:gridCol w:w="1340"/>
        <w:gridCol w:w="1272"/>
      </w:tblGrid>
      <w:tr w:rsidR="00FE619C" w:rsidRPr="00C31A1E" w:rsidTr="00FE619C">
        <w:trPr>
          <w:tblHeader/>
          <w:tblCellSpacing w:w="15" w:type="dxa"/>
        </w:trPr>
        <w:tc>
          <w:tcPr>
            <w:tcW w:w="0" w:type="auto"/>
            <w:tcBorders>
              <w:top w:val="single" w:sz="4" w:space="0" w:color="auto"/>
              <w:bottom w:val="single" w:sz="4" w:space="0" w:color="auto"/>
            </w:tcBorders>
            <w:vAlign w:val="center"/>
            <w:hideMark/>
          </w:tcPr>
          <w:p w:rsidR="00FE619C" w:rsidRPr="00C31A1E" w:rsidRDefault="00FE619C" w:rsidP="00FE619C">
            <w:pPr>
              <w:widowControl/>
              <w:jc w:val="left"/>
              <w:rPr>
                <w:rFonts w:ascii="Times New Roman" w:hAnsi="Times New Roman" w:cs="Times New Roman"/>
                <w:b/>
                <w:bCs/>
              </w:rPr>
            </w:pPr>
            <w:r w:rsidRPr="00C31A1E">
              <w:rPr>
                <w:rFonts w:ascii="Times New Roman" w:hAnsi="Times New Roman" w:cs="Times New Roman"/>
                <w:b/>
                <w:bCs/>
              </w:rPr>
              <w:t>Models compared (nested)</w:t>
            </w:r>
          </w:p>
        </w:tc>
        <w:tc>
          <w:tcPr>
            <w:tcW w:w="0" w:type="auto"/>
            <w:tcBorders>
              <w:top w:val="single" w:sz="4" w:space="0" w:color="auto"/>
              <w:bottom w:val="single" w:sz="4" w:space="0" w:color="auto"/>
            </w:tcBorders>
            <w:vAlign w:val="center"/>
            <w:hideMark/>
          </w:tcPr>
          <w:p w:rsidR="00FE619C" w:rsidRPr="00C31A1E" w:rsidRDefault="00FE619C" w:rsidP="00FE619C">
            <w:pPr>
              <w:widowControl/>
              <w:jc w:val="left"/>
              <w:rPr>
                <w:rFonts w:ascii="Times New Roman" w:hAnsi="Times New Roman" w:cs="Times New Roman"/>
                <w:b/>
                <w:bCs/>
              </w:rPr>
            </w:pPr>
            <w:r w:rsidRPr="00C31A1E">
              <w:rPr>
                <w:rFonts w:ascii="Times New Roman" w:hAnsi="Times New Roman" w:cs="Times New Roman"/>
                <w:b/>
                <w:bCs/>
              </w:rPr>
              <w:t>Model specification</w:t>
            </w:r>
          </w:p>
        </w:tc>
        <w:tc>
          <w:tcPr>
            <w:tcW w:w="0" w:type="auto"/>
            <w:tcBorders>
              <w:top w:val="single" w:sz="4" w:space="0" w:color="auto"/>
              <w:bottom w:val="single" w:sz="4" w:space="0" w:color="auto"/>
            </w:tcBorders>
            <w:vAlign w:val="center"/>
            <w:hideMark/>
          </w:tcPr>
          <w:p w:rsidR="00FE619C" w:rsidRPr="00C31A1E" w:rsidRDefault="00FE619C" w:rsidP="00FE619C">
            <w:pPr>
              <w:widowControl/>
              <w:jc w:val="left"/>
              <w:rPr>
                <w:rFonts w:ascii="Times New Roman" w:hAnsi="Times New Roman" w:cs="Times New Roman"/>
                <w:b/>
                <w:bCs/>
              </w:rPr>
            </w:pPr>
            <w:proofErr w:type="spellStart"/>
            <w:r w:rsidRPr="00C31A1E">
              <w:rPr>
                <w:rFonts w:ascii="Times New Roman" w:hAnsi="Times New Roman" w:cs="Times New Roman"/>
                <w:b/>
                <w:bCs/>
              </w:rPr>
              <w:t>Δdf</w:t>
            </w:r>
            <w:proofErr w:type="spellEnd"/>
            <w:r w:rsidRPr="00C31A1E">
              <w:rPr>
                <w:rFonts w:ascii="Times New Roman" w:hAnsi="Times New Roman" w:cs="Times New Roman"/>
                <w:b/>
                <w:bCs/>
              </w:rPr>
              <w:t xml:space="preserve"> (interaction)</w:t>
            </w:r>
          </w:p>
        </w:tc>
        <w:tc>
          <w:tcPr>
            <w:tcW w:w="0" w:type="auto"/>
            <w:tcBorders>
              <w:top w:val="single" w:sz="4" w:space="0" w:color="auto"/>
              <w:bottom w:val="single" w:sz="4" w:space="0" w:color="auto"/>
            </w:tcBorders>
            <w:vAlign w:val="center"/>
            <w:hideMark/>
          </w:tcPr>
          <w:p w:rsidR="00FE619C" w:rsidRPr="00C31A1E" w:rsidRDefault="00FE619C" w:rsidP="00FE619C">
            <w:pPr>
              <w:widowControl/>
              <w:jc w:val="left"/>
              <w:rPr>
                <w:rFonts w:ascii="Times New Roman" w:hAnsi="Times New Roman" w:cs="Times New Roman"/>
                <w:b/>
                <w:bCs/>
              </w:rPr>
            </w:pPr>
            <w:proofErr w:type="spellStart"/>
            <w:r w:rsidRPr="00C31A1E">
              <w:rPr>
                <w:rFonts w:ascii="Times New Roman" w:hAnsi="Times New Roman" w:cs="Times New Roman"/>
                <w:b/>
                <w:bCs/>
              </w:rPr>
              <w:t>LogLik</w:t>
            </w:r>
            <w:proofErr w:type="spellEnd"/>
            <w:r w:rsidRPr="00C31A1E">
              <w:rPr>
                <w:rFonts w:ascii="Times New Roman" w:hAnsi="Times New Roman" w:cs="Times New Roman"/>
                <w:b/>
                <w:bCs/>
              </w:rPr>
              <w:t xml:space="preserve"> (Model 1)</w:t>
            </w:r>
          </w:p>
        </w:tc>
        <w:tc>
          <w:tcPr>
            <w:tcW w:w="0" w:type="auto"/>
            <w:tcBorders>
              <w:top w:val="single" w:sz="4" w:space="0" w:color="auto"/>
              <w:bottom w:val="single" w:sz="4" w:space="0" w:color="auto"/>
            </w:tcBorders>
            <w:vAlign w:val="center"/>
            <w:hideMark/>
          </w:tcPr>
          <w:p w:rsidR="00FE619C" w:rsidRPr="00C31A1E" w:rsidRDefault="00FE619C" w:rsidP="00FE619C">
            <w:pPr>
              <w:widowControl/>
              <w:jc w:val="left"/>
              <w:rPr>
                <w:rFonts w:ascii="Times New Roman" w:hAnsi="Times New Roman" w:cs="Times New Roman"/>
                <w:b/>
                <w:bCs/>
              </w:rPr>
            </w:pPr>
            <w:proofErr w:type="spellStart"/>
            <w:r w:rsidRPr="00C31A1E">
              <w:rPr>
                <w:rFonts w:ascii="Times New Roman" w:hAnsi="Times New Roman" w:cs="Times New Roman"/>
                <w:b/>
                <w:bCs/>
              </w:rPr>
              <w:t>LogLik</w:t>
            </w:r>
            <w:proofErr w:type="spellEnd"/>
            <w:r w:rsidRPr="00C31A1E">
              <w:rPr>
                <w:rFonts w:ascii="Times New Roman" w:hAnsi="Times New Roman" w:cs="Times New Roman"/>
                <w:b/>
                <w:bCs/>
              </w:rPr>
              <w:t xml:space="preserve"> (Model 2)</w:t>
            </w:r>
          </w:p>
        </w:tc>
        <w:tc>
          <w:tcPr>
            <w:tcW w:w="0" w:type="auto"/>
            <w:tcBorders>
              <w:top w:val="single" w:sz="4" w:space="0" w:color="auto"/>
              <w:bottom w:val="single" w:sz="4" w:space="0" w:color="auto"/>
            </w:tcBorders>
            <w:vAlign w:val="center"/>
            <w:hideMark/>
          </w:tcPr>
          <w:p w:rsidR="00FE619C" w:rsidRPr="00C31A1E" w:rsidRDefault="00FE619C" w:rsidP="00FE619C">
            <w:pPr>
              <w:widowControl/>
              <w:jc w:val="left"/>
              <w:rPr>
                <w:rFonts w:ascii="Times New Roman" w:hAnsi="Times New Roman" w:cs="Times New Roman"/>
                <w:b/>
                <w:bCs/>
              </w:rPr>
            </w:pPr>
            <w:r w:rsidRPr="00C31A1E">
              <w:rPr>
                <w:rFonts w:ascii="Times New Roman" w:hAnsi="Times New Roman" w:cs="Times New Roman"/>
                <w:b/>
                <w:bCs/>
              </w:rPr>
              <w:t>Likelihood ratio χ²</w:t>
            </w:r>
          </w:p>
        </w:tc>
        <w:tc>
          <w:tcPr>
            <w:tcW w:w="0" w:type="auto"/>
            <w:tcBorders>
              <w:top w:val="single" w:sz="4" w:space="0" w:color="auto"/>
              <w:bottom w:val="single" w:sz="4" w:space="0" w:color="auto"/>
            </w:tcBorders>
            <w:vAlign w:val="center"/>
            <w:hideMark/>
          </w:tcPr>
          <w:p w:rsidR="00FE619C" w:rsidRPr="00C31A1E" w:rsidRDefault="00FE619C" w:rsidP="00FE619C">
            <w:pPr>
              <w:widowControl/>
              <w:jc w:val="left"/>
              <w:rPr>
                <w:rFonts w:ascii="Times New Roman" w:hAnsi="Times New Roman" w:cs="Times New Roman"/>
                <w:b/>
                <w:bCs/>
              </w:rPr>
            </w:pPr>
            <w:r w:rsidRPr="00C31A1E">
              <w:rPr>
                <w:rFonts w:ascii="Times New Roman" w:hAnsi="Times New Roman" w:cs="Times New Roman"/>
                <w:b/>
                <w:bCs/>
              </w:rPr>
              <w:t>P for interaction</w:t>
            </w:r>
          </w:p>
        </w:tc>
      </w:tr>
      <w:tr w:rsidR="00FE619C" w:rsidRPr="00C31A1E">
        <w:trPr>
          <w:tblCellSpacing w:w="15" w:type="dxa"/>
        </w:trPr>
        <w:tc>
          <w:tcPr>
            <w:tcW w:w="0" w:type="auto"/>
            <w:vAlign w:val="center"/>
            <w:hideMark/>
          </w:tcPr>
          <w:p w:rsidR="00FE619C" w:rsidRPr="00C31A1E" w:rsidRDefault="00FE619C" w:rsidP="00FE619C">
            <w:pPr>
              <w:widowControl/>
              <w:jc w:val="left"/>
              <w:rPr>
                <w:rFonts w:ascii="Times New Roman" w:hAnsi="Times New Roman" w:cs="Times New Roman"/>
              </w:rPr>
            </w:pPr>
            <w:r w:rsidRPr="00C31A1E">
              <w:rPr>
                <w:rFonts w:ascii="Times New Roman" w:hAnsi="Times New Roman" w:cs="Times New Roman"/>
              </w:rPr>
              <w:t>Main-effects vs interaction</w:t>
            </w:r>
          </w:p>
        </w:tc>
        <w:tc>
          <w:tcPr>
            <w:tcW w:w="0" w:type="auto"/>
            <w:vAlign w:val="center"/>
            <w:hideMark/>
          </w:tcPr>
          <w:p w:rsidR="00FE619C" w:rsidRPr="00C31A1E" w:rsidRDefault="00FE619C" w:rsidP="00FE619C">
            <w:pPr>
              <w:widowControl/>
              <w:jc w:val="left"/>
              <w:rPr>
                <w:rFonts w:ascii="Times New Roman" w:hAnsi="Times New Roman" w:cs="Times New Roman"/>
              </w:rPr>
            </w:pPr>
            <w:r w:rsidRPr="00C31A1E">
              <w:rPr>
                <w:rFonts w:ascii="Times New Roman" w:hAnsi="Times New Roman" w:cs="Times New Roman"/>
              </w:rPr>
              <w:t xml:space="preserve">Model 1 (no interaction): mRS90 ~ collateral3 + EVT + age + sex + NIHSS + ASPECTS + </w:t>
            </w:r>
            <w:proofErr w:type="spellStart"/>
            <w:r w:rsidRPr="00C31A1E">
              <w:rPr>
                <w:rFonts w:ascii="Times New Roman" w:hAnsi="Times New Roman" w:cs="Times New Roman"/>
              </w:rPr>
              <w:t>onset_to_CT_time</w:t>
            </w:r>
            <w:proofErr w:type="spellEnd"/>
            <w:r w:rsidRPr="00C31A1E">
              <w:rPr>
                <w:rFonts w:ascii="Times New Roman" w:hAnsi="Times New Roman" w:cs="Times New Roman"/>
              </w:rPr>
              <w:t xml:space="preserve"> + IVT + </w:t>
            </w:r>
            <w:proofErr w:type="spellStart"/>
            <w:r w:rsidRPr="00C31A1E">
              <w:rPr>
                <w:rFonts w:ascii="Times New Roman" w:hAnsi="Times New Roman" w:cs="Times New Roman"/>
              </w:rPr>
              <w:t>MCA_occlusion</w:t>
            </w:r>
            <w:proofErr w:type="spellEnd"/>
          </w:p>
        </w:tc>
        <w:tc>
          <w:tcPr>
            <w:tcW w:w="0" w:type="auto"/>
            <w:vAlign w:val="center"/>
            <w:hideMark/>
          </w:tcPr>
          <w:p w:rsidR="00FE619C" w:rsidRPr="00C31A1E" w:rsidRDefault="00FE619C" w:rsidP="00FE619C">
            <w:pPr>
              <w:widowControl/>
              <w:jc w:val="left"/>
              <w:rPr>
                <w:rFonts w:ascii="Times New Roman" w:hAnsi="Times New Roman" w:cs="Times New Roman"/>
              </w:rPr>
            </w:pPr>
            <w:r w:rsidRPr="00C31A1E">
              <w:rPr>
                <w:rFonts w:ascii="Times New Roman" w:hAnsi="Times New Roman" w:cs="Times New Roman"/>
              </w:rPr>
              <w:t>2</w:t>
            </w:r>
          </w:p>
        </w:tc>
        <w:tc>
          <w:tcPr>
            <w:tcW w:w="0" w:type="auto"/>
            <w:vAlign w:val="center"/>
            <w:hideMark/>
          </w:tcPr>
          <w:p w:rsidR="00FE619C" w:rsidRPr="00C31A1E" w:rsidRDefault="00FE619C" w:rsidP="00FE619C">
            <w:pPr>
              <w:widowControl/>
              <w:jc w:val="left"/>
              <w:rPr>
                <w:rFonts w:ascii="Times New Roman" w:hAnsi="Times New Roman" w:cs="Times New Roman"/>
              </w:rPr>
            </w:pPr>
            <w:r w:rsidRPr="00C31A1E">
              <w:rPr>
                <w:rFonts w:ascii="Times New Roman" w:hAnsi="Times New Roman" w:cs="Times New Roman"/>
              </w:rPr>
              <w:t>-254.03</w:t>
            </w:r>
          </w:p>
        </w:tc>
        <w:tc>
          <w:tcPr>
            <w:tcW w:w="0" w:type="auto"/>
            <w:vAlign w:val="center"/>
            <w:hideMark/>
          </w:tcPr>
          <w:p w:rsidR="00FE619C" w:rsidRPr="00C31A1E" w:rsidRDefault="00FE619C" w:rsidP="00FE619C">
            <w:pPr>
              <w:widowControl/>
              <w:jc w:val="left"/>
              <w:rPr>
                <w:rFonts w:ascii="Times New Roman" w:hAnsi="Times New Roman" w:cs="Times New Roman"/>
              </w:rPr>
            </w:pPr>
          </w:p>
        </w:tc>
        <w:tc>
          <w:tcPr>
            <w:tcW w:w="0" w:type="auto"/>
            <w:vAlign w:val="center"/>
            <w:hideMark/>
          </w:tcPr>
          <w:p w:rsidR="00FE619C" w:rsidRPr="00C31A1E" w:rsidRDefault="00FE619C" w:rsidP="00FE619C">
            <w:pPr>
              <w:widowControl/>
              <w:jc w:val="left"/>
              <w:rPr>
                <w:rFonts w:ascii="Times New Roman" w:hAnsi="Times New Roman" w:cs="Times New Roman"/>
              </w:rPr>
            </w:pPr>
          </w:p>
        </w:tc>
        <w:tc>
          <w:tcPr>
            <w:tcW w:w="0" w:type="auto"/>
            <w:vAlign w:val="center"/>
            <w:hideMark/>
          </w:tcPr>
          <w:p w:rsidR="00FE619C" w:rsidRPr="00C31A1E" w:rsidRDefault="00FE619C" w:rsidP="00FE619C">
            <w:pPr>
              <w:widowControl/>
              <w:jc w:val="left"/>
              <w:rPr>
                <w:rFonts w:ascii="Times New Roman" w:hAnsi="Times New Roman" w:cs="Times New Roman"/>
              </w:rPr>
            </w:pPr>
          </w:p>
        </w:tc>
      </w:tr>
      <w:tr w:rsidR="00FE619C" w:rsidRPr="00C31A1E" w:rsidTr="00FE619C">
        <w:trPr>
          <w:tblCellSpacing w:w="15" w:type="dxa"/>
        </w:trPr>
        <w:tc>
          <w:tcPr>
            <w:tcW w:w="0" w:type="auto"/>
            <w:tcBorders>
              <w:bottom w:val="single" w:sz="4" w:space="0" w:color="auto"/>
            </w:tcBorders>
            <w:vAlign w:val="center"/>
            <w:hideMark/>
          </w:tcPr>
          <w:p w:rsidR="00FE619C" w:rsidRPr="00C31A1E" w:rsidRDefault="00FE619C" w:rsidP="00FE619C">
            <w:pPr>
              <w:widowControl/>
              <w:jc w:val="left"/>
              <w:rPr>
                <w:rFonts w:ascii="Times New Roman" w:hAnsi="Times New Roman" w:cs="Times New Roman"/>
              </w:rPr>
            </w:pPr>
          </w:p>
        </w:tc>
        <w:tc>
          <w:tcPr>
            <w:tcW w:w="0" w:type="auto"/>
            <w:tcBorders>
              <w:bottom w:val="single" w:sz="4" w:space="0" w:color="auto"/>
            </w:tcBorders>
            <w:vAlign w:val="center"/>
            <w:hideMark/>
          </w:tcPr>
          <w:p w:rsidR="00FE619C" w:rsidRPr="00C31A1E" w:rsidRDefault="00FE619C" w:rsidP="00FE619C">
            <w:pPr>
              <w:widowControl/>
              <w:jc w:val="left"/>
              <w:rPr>
                <w:rFonts w:ascii="Times New Roman" w:hAnsi="Times New Roman" w:cs="Times New Roman"/>
              </w:rPr>
            </w:pPr>
            <w:r w:rsidRPr="00C31A1E">
              <w:rPr>
                <w:rFonts w:ascii="Times New Roman" w:hAnsi="Times New Roman" w:cs="Times New Roman"/>
              </w:rPr>
              <w:t xml:space="preserve">Model 2 (with interaction): mRS90 ~ collateral3 * EVT + age + sex + NIHSS + ASPECTS + </w:t>
            </w:r>
            <w:proofErr w:type="spellStart"/>
            <w:r w:rsidRPr="00C31A1E">
              <w:rPr>
                <w:rFonts w:ascii="Times New Roman" w:hAnsi="Times New Roman" w:cs="Times New Roman"/>
              </w:rPr>
              <w:t>onset_to_CT_time</w:t>
            </w:r>
            <w:proofErr w:type="spellEnd"/>
            <w:r w:rsidRPr="00C31A1E">
              <w:rPr>
                <w:rFonts w:ascii="Times New Roman" w:hAnsi="Times New Roman" w:cs="Times New Roman"/>
              </w:rPr>
              <w:t xml:space="preserve"> + IVT + </w:t>
            </w:r>
            <w:proofErr w:type="spellStart"/>
            <w:r w:rsidRPr="00C31A1E">
              <w:rPr>
                <w:rFonts w:ascii="Times New Roman" w:hAnsi="Times New Roman" w:cs="Times New Roman"/>
              </w:rPr>
              <w:t>MCA_occlusion</w:t>
            </w:r>
            <w:proofErr w:type="spellEnd"/>
          </w:p>
        </w:tc>
        <w:tc>
          <w:tcPr>
            <w:tcW w:w="0" w:type="auto"/>
            <w:tcBorders>
              <w:bottom w:val="single" w:sz="4" w:space="0" w:color="auto"/>
            </w:tcBorders>
            <w:vAlign w:val="center"/>
            <w:hideMark/>
          </w:tcPr>
          <w:p w:rsidR="00FE619C" w:rsidRPr="00C31A1E" w:rsidRDefault="00FE619C" w:rsidP="00FE619C">
            <w:pPr>
              <w:widowControl/>
              <w:jc w:val="left"/>
              <w:rPr>
                <w:rFonts w:ascii="Times New Roman" w:hAnsi="Times New Roman" w:cs="Times New Roman"/>
              </w:rPr>
            </w:pPr>
          </w:p>
        </w:tc>
        <w:tc>
          <w:tcPr>
            <w:tcW w:w="0" w:type="auto"/>
            <w:tcBorders>
              <w:bottom w:val="single" w:sz="4" w:space="0" w:color="auto"/>
            </w:tcBorders>
            <w:vAlign w:val="center"/>
            <w:hideMark/>
          </w:tcPr>
          <w:p w:rsidR="00FE619C" w:rsidRPr="00C31A1E" w:rsidRDefault="00FE619C" w:rsidP="00FE619C">
            <w:pPr>
              <w:widowControl/>
              <w:jc w:val="left"/>
              <w:rPr>
                <w:rFonts w:ascii="Times New Roman" w:hAnsi="Times New Roman" w:cs="Times New Roman"/>
              </w:rPr>
            </w:pPr>
          </w:p>
        </w:tc>
        <w:tc>
          <w:tcPr>
            <w:tcW w:w="0" w:type="auto"/>
            <w:tcBorders>
              <w:bottom w:val="single" w:sz="4" w:space="0" w:color="auto"/>
            </w:tcBorders>
            <w:vAlign w:val="center"/>
            <w:hideMark/>
          </w:tcPr>
          <w:p w:rsidR="00FE619C" w:rsidRPr="00C31A1E" w:rsidRDefault="00FE619C" w:rsidP="00FE619C">
            <w:pPr>
              <w:widowControl/>
              <w:jc w:val="left"/>
              <w:rPr>
                <w:rFonts w:ascii="Times New Roman" w:hAnsi="Times New Roman" w:cs="Times New Roman"/>
              </w:rPr>
            </w:pPr>
            <w:r w:rsidRPr="00C31A1E">
              <w:rPr>
                <w:rFonts w:ascii="Times New Roman" w:hAnsi="Times New Roman" w:cs="Times New Roman"/>
              </w:rPr>
              <w:t>-253.38</w:t>
            </w:r>
          </w:p>
        </w:tc>
        <w:tc>
          <w:tcPr>
            <w:tcW w:w="0" w:type="auto"/>
            <w:tcBorders>
              <w:bottom w:val="single" w:sz="4" w:space="0" w:color="auto"/>
            </w:tcBorders>
            <w:vAlign w:val="center"/>
            <w:hideMark/>
          </w:tcPr>
          <w:p w:rsidR="00FE619C" w:rsidRPr="00C31A1E" w:rsidRDefault="00FE619C" w:rsidP="00FE619C">
            <w:pPr>
              <w:widowControl/>
              <w:jc w:val="left"/>
              <w:rPr>
                <w:rFonts w:ascii="Times New Roman" w:hAnsi="Times New Roman" w:cs="Times New Roman"/>
              </w:rPr>
            </w:pPr>
            <w:r w:rsidRPr="00C31A1E">
              <w:rPr>
                <w:rFonts w:ascii="Times New Roman" w:hAnsi="Times New Roman" w:cs="Times New Roman"/>
              </w:rPr>
              <w:t>1.2967</w:t>
            </w:r>
          </w:p>
        </w:tc>
        <w:tc>
          <w:tcPr>
            <w:tcW w:w="0" w:type="auto"/>
            <w:tcBorders>
              <w:bottom w:val="single" w:sz="4" w:space="0" w:color="auto"/>
            </w:tcBorders>
            <w:vAlign w:val="center"/>
            <w:hideMark/>
          </w:tcPr>
          <w:p w:rsidR="00FE619C" w:rsidRPr="00C31A1E" w:rsidRDefault="00FE619C" w:rsidP="00FE619C">
            <w:pPr>
              <w:widowControl/>
              <w:jc w:val="left"/>
              <w:rPr>
                <w:rFonts w:ascii="Times New Roman" w:hAnsi="Times New Roman" w:cs="Times New Roman"/>
                <w:b/>
                <w:bCs/>
              </w:rPr>
            </w:pPr>
            <w:r w:rsidRPr="00C31A1E">
              <w:rPr>
                <w:rFonts w:ascii="Times New Roman" w:hAnsi="Times New Roman" w:cs="Times New Roman"/>
                <w:b/>
                <w:bCs/>
              </w:rPr>
              <w:t>0.5229</w:t>
            </w:r>
          </w:p>
        </w:tc>
      </w:tr>
    </w:tbl>
    <w:p w:rsidR="00725B5A" w:rsidRPr="00C31A1E" w:rsidRDefault="00725B5A" w:rsidP="009D205C">
      <w:pPr>
        <w:widowControl/>
        <w:ind w:left="360"/>
        <w:jc w:val="left"/>
        <w:rPr>
          <w:rFonts w:ascii="Times New Roman" w:hAnsi="Times New Roman" w:cs="Times New Roman"/>
          <w:i/>
          <w:iCs/>
        </w:rPr>
      </w:pPr>
      <w:proofErr w:type="spellStart"/>
      <w:r w:rsidRPr="00C31A1E">
        <w:rPr>
          <w:rFonts w:ascii="Times New Roman" w:hAnsi="Times New Roman" w:cs="Times New Roman"/>
          <w:i/>
          <w:iCs/>
        </w:rPr>
        <w:t>mRS</w:t>
      </w:r>
      <w:proofErr w:type="spellEnd"/>
      <w:r w:rsidRPr="00C31A1E">
        <w:rPr>
          <w:rFonts w:ascii="Times New Roman" w:hAnsi="Times New Roman" w:cs="Times New Roman"/>
          <w:i/>
          <w:iCs/>
        </w:rPr>
        <w:t>, modified Rankin Scale; EVT,</w:t>
      </w:r>
      <w:r w:rsidR="008060D2" w:rsidRPr="00C31A1E">
        <w:rPr>
          <w:rFonts w:ascii="Times New Roman" w:hAnsi="Times New Roman" w:cs="Times New Roman"/>
          <w:i/>
          <w:iCs/>
        </w:rPr>
        <w:t xml:space="preserve"> endovascular thrombectomy</w:t>
      </w:r>
      <w:r w:rsidRPr="00C31A1E">
        <w:rPr>
          <w:rFonts w:ascii="Times New Roman" w:hAnsi="Times New Roman" w:cs="Times New Roman"/>
          <w:i/>
          <w:iCs/>
        </w:rPr>
        <w:t xml:space="preserve">; NIHSS, National Institutes of Health Stroke Scale; ASPECTS, Alberta Stroke Program Early CT Score; CT, computed tomography; IVT, intravenous thrombolysis; MCA, middle cerebral artery; LRT, likelihood ratio test; </w:t>
      </w:r>
      <w:proofErr w:type="spellStart"/>
      <w:r w:rsidRPr="00C31A1E">
        <w:rPr>
          <w:rFonts w:ascii="Times New Roman" w:hAnsi="Times New Roman" w:cs="Times New Roman"/>
          <w:i/>
          <w:iCs/>
        </w:rPr>
        <w:t>df</w:t>
      </w:r>
      <w:proofErr w:type="spellEnd"/>
      <w:r w:rsidRPr="00C31A1E">
        <w:rPr>
          <w:rFonts w:ascii="Times New Roman" w:hAnsi="Times New Roman" w:cs="Times New Roman"/>
          <w:i/>
          <w:iCs/>
        </w:rPr>
        <w:t>, degrees of freedom; χ², chi-square statistic</w:t>
      </w:r>
    </w:p>
    <w:p w:rsidR="00FE619C" w:rsidRPr="00C31A1E" w:rsidRDefault="00FE619C" w:rsidP="009D205C">
      <w:pPr>
        <w:widowControl/>
        <w:ind w:left="360"/>
        <w:jc w:val="left"/>
        <w:rPr>
          <w:rFonts w:ascii="Times New Roman" w:hAnsi="Times New Roman" w:cs="Times New Roman"/>
          <w:i/>
          <w:iCs/>
        </w:rPr>
      </w:pPr>
      <w:r w:rsidRPr="00C31A1E">
        <w:rPr>
          <w:rFonts w:ascii="Times New Roman" w:hAnsi="Times New Roman" w:cs="Times New Roman"/>
          <w:i/>
          <w:iCs/>
        </w:rPr>
        <w:t>collateral3 was modeled as a three-level categorical variable (0–1, 2, 3–4; reference = 0–1).</w:t>
      </w:r>
      <w:r w:rsidR="00386BA9" w:rsidRPr="00C31A1E">
        <w:rPr>
          <w:rFonts w:ascii="Times New Roman" w:hAnsi="Times New Roman" w:cs="Times New Roman"/>
          <w:i/>
          <w:iCs/>
        </w:rPr>
        <w:t xml:space="preserve"> </w:t>
      </w:r>
      <w:r w:rsidRPr="00C31A1E">
        <w:rPr>
          <w:rFonts w:ascii="Times New Roman" w:hAnsi="Times New Roman" w:cs="Times New Roman"/>
          <w:i/>
          <w:iCs/>
        </w:rPr>
        <w:t xml:space="preserve">EVT denotes </w:t>
      </w:r>
      <w:r w:rsidR="002F4BFA" w:rsidRPr="00C31A1E">
        <w:rPr>
          <w:rFonts w:ascii="Times New Roman" w:hAnsi="Times New Roman" w:cs="Times New Roman"/>
          <w:i/>
          <w:iCs/>
        </w:rPr>
        <w:t>endovascular thrombectomy</w:t>
      </w:r>
      <w:r w:rsidRPr="00C31A1E">
        <w:rPr>
          <w:rFonts w:ascii="Times New Roman" w:hAnsi="Times New Roman" w:cs="Times New Roman"/>
          <w:i/>
          <w:iCs/>
        </w:rPr>
        <w:t xml:space="preserve"> (yes/no).</w:t>
      </w:r>
    </w:p>
    <w:p w:rsidR="00FE619C" w:rsidRPr="00C31A1E" w:rsidRDefault="00FE619C" w:rsidP="009D205C">
      <w:pPr>
        <w:widowControl/>
        <w:ind w:left="360"/>
        <w:jc w:val="left"/>
        <w:rPr>
          <w:rFonts w:ascii="Times New Roman" w:hAnsi="Times New Roman" w:cs="Times New Roman"/>
          <w:i/>
          <w:iCs/>
        </w:rPr>
      </w:pPr>
      <w:r w:rsidRPr="00C31A1E">
        <w:rPr>
          <w:rFonts w:ascii="Times New Roman" w:hAnsi="Times New Roman" w:cs="Times New Roman"/>
          <w:i/>
          <w:iCs/>
        </w:rPr>
        <w:t>The global P for interaction was obtained by a likelihood ratio test (LRT) comparing the interaction model (Model 2) with the main-effects model (Model 1). Because collateral3 has three categories, the collateral-by-EVT interaction has 2 degrees of freedom (</w:t>
      </w:r>
      <w:proofErr w:type="spellStart"/>
      <w:r w:rsidRPr="00C31A1E">
        <w:rPr>
          <w:rFonts w:ascii="Times New Roman" w:hAnsi="Times New Roman" w:cs="Times New Roman"/>
          <w:i/>
          <w:iCs/>
        </w:rPr>
        <w:t>Δdf</w:t>
      </w:r>
      <w:proofErr w:type="spellEnd"/>
      <w:r w:rsidRPr="00C31A1E">
        <w:rPr>
          <w:rFonts w:ascii="Times New Roman" w:hAnsi="Times New Roman" w:cs="Times New Roman"/>
          <w:i/>
          <w:iCs/>
        </w:rPr>
        <w:t xml:space="preserve"> = 2).</w:t>
      </w:r>
    </w:p>
    <w:p w:rsidR="00FE619C" w:rsidRPr="00C31A1E" w:rsidRDefault="00FE619C" w:rsidP="009D205C">
      <w:pPr>
        <w:widowControl/>
        <w:ind w:left="360"/>
        <w:jc w:val="left"/>
        <w:rPr>
          <w:rFonts w:ascii="Times New Roman" w:hAnsi="Times New Roman" w:cs="Times New Roman"/>
          <w:i/>
          <w:iCs/>
        </w:rPr>
      </w:pPr>
      <w:r w:rsidRPr="00C31A1E">
        <w:rPr>
          <w:rFonts w:ascii="Times New Roman" w:hAnsi="Times New Roman" w:cs="Times New Roman"/>
          <w:i/>
          <w:iCs/>
        </w:rPr>
        <w:t xml:space="preserve">Covariates included age, sex, baseline NIHSS (National Institutes of Health Stroke Scale), ASPECTS (Alberta Stroke Program Early CT Score), </w:t>
      </w:r>
      <w:proofErr w:type="spellStart"/>
      <w:r w:rsidRPr="00C31A1E">
        <w:rPr>
          <w:rFonts w:ascii="Times New Roman" w:hAnsi="Times New Roman" w:cs="Times New Roman"/>
          <w:i/>
          <w:iCs/>
        </w:rPr>
        <w:t>onset_to_CT_time</w:t>
      </w:r>
      <w:proofErr w:type="spellEnd"/>
      <w:r w:rsidRPr="00C31A1E">
        <w:rPr>
          <w:rFonts w:ascii="Times New Roman" w:hAnsi="Times New Roman" w:cs="Times New Roman"/>
          <w:i/>
          <w:iCs/>
        </w:rPr>
        <w:t xml:space="preserve">, </w:t>
      </w:r>
      <w:proofErr w:type="spellStart"/>
      <w:r w:rsidRPr="00C31A1E">
        <w:rPr>
          <w:rFonts w:ascii="Times New Roman" w:hAnsi="Times New Roman" w:cs="Times New Roman"/>
          <w:i/>
          <w:iCs/>
        </w:rPr>
        <w:t>pre_mRS</w:t>
      </w:r>
      <w:proofErr w:type="spellEnd"/>
      <w:r w:rsidRPr="00C31A1E">
        <w:rPr>
          <w:rFonts w:ascii="Times New Roman" w:hAnsi="Times New Roman" w:cs="Times New Roman"/>
          <w:i/>
          <w:iCs/>
        </w:rPr>
        <w:t xml:space="preserve"> (pre-stroke modified Rankin Scale), IVT (intravenous thrombolysis), and </w:t>
      </w:r>
      <w:proofErr w:type="spellStart"/>
      <w:r w:rsidRPr="00C31A1E">
        <w:rPr>
          <w:rFonts w:ascii="Times New Roman" w:hAnsi="Times New Roman" w:cs="Times New Roman"/>
          <w:i/>
          <w:iCs/>
        </w:rPr>
        <w:t>MCA_occlusion</w:t>
      </w:r>
      <w:proofErr w:type="spellEnd"/>
      <w:r w:rsidRPr="00C31A1E">
        <w:rPr>
          <w:rFonts w:ascii="Times New Roman" w:hAnsi="Times New Roman" w:cs="Times New Roman"/>
          <w:i/>
          <w:iCs/>
        </w:rPr>
        <w:t xml:space="preserve"> (middle cerebral artery occlusion).</w:t>
      </w:r>
    </w:p>
    <w:p w:rsidR="005755A1" w:rsidRDefault="00FE619C">
      <w:pPr>
        <w:widowControl/>
        <w:jc w:val="left"/>
        <w:rPr>
          <w:rFonts w:ascii="Times New Roman" w:hAnsi="Times New Roman" w:cs="Times New Roman"/>
          <w:b/>
          <w:bCs/>
        </w:rPr>
        <w:sectPr w:rsidR="005755A1" w:rsidSect="00A10197">
          <w:pgSz w:w="16838" w:h="11906" w:orient="landscape"/>
          <w:pgMar w:top="1800" w:right="1440" w:bottom="1800" w:left="1440" w:header="851" w:footer="992" w:gutter="0"/>
          <w:cols w:space="425"/>
          <w:docGrid w:type="lines" w:linePitch="312"/>
        </w:sectPr>
      </w:pPr>
      <w:r w:rsidRPr="00C31A1E">
        <w:rPr>
          <w:rFonts w:ascii="Times New Roman" w:hAnsi="Times New Roman" w:cs="Times New Roman"/>
          <w:b/>
          <w:bCs/>
        </w:rPr>
        <w:br w:type="page"/>
      </w:r>
    </w:p>
    <w:p w:rsidR="00FE619C" w:rsidRPr="00C31A1E" w:rsidRDefault="00FE619C">
      <w:pPr>
        <w:widowControl/>
        <w:jc w:val="left"/>
        <w:rPr>
          <w:rFonts w:ascii="Times New Roman" w:hAnsi="Times New Roman" w:cs="Times New Roman"/>
          <w:b/>
          <w:bCs/>
        </w:rPr>
      </w:pPr>
    </w:p>
    <w:p w:rsidR="004D0969" w:rsidRPr="005755A1" w:rsidRDefault="004D0969" w:rsidP="004D0969">
      <w:pPr>
        <w:rPr>
          <w:rFonts w:ascii="Times New Roman" w:hAnsi="Times New Roman" w:cs="Times New Roman"/>
          <w:b/>
          <w:bCs/>
          <w:i/>
          <w:iCs/>
        </w:rPr>
      </w:pPr>
      <w:r w:rsidRPr="005755A1">
        <w:rPr>
          <w:rFonts w:ascii="Times New Roman" w:hAnsi="Times New Roman" w:cs="Times New Roman"/>
          <w:b/>
          <w:bCs/>
        </w:rPr>
        <w:t>Table S10. Inter-rater reliability for 4D-CTA collateral grading (0-4)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09"/>
        <w:gridCol w:w="2297"/>
      </w:tblGrid>
      <w:tr w:rsidR="004D0969" w:rsidRPr="00C31A1E" w:rsidTr="005755A1">
        <w:trPr>
          <w:tblHeader/>
          <w:tblCellSpacing w:w="15" w:type="dxa"/>
        </w:trPr>
        <w:tc>
          <w:tcPr>
            <w:tcW w:w="7326" w:type="dxa"/>
            <w:tcBorders>
              <w:top w:val="single" w:sz="4" w:space="0" w:color="auto"/>
              <w:bottom w:val="single" w:sz="4" w:space="0" w:color="auto"/>
            </w:tcBorders>
            <w:vAlign w:val="center"/>
            <w:hideMark/>
          </w:tcPr>
          <w:p w:rsidR="004D0969" w:rsidRPr="00C31A1E" w:rsidRDefault="004D0969" w:rsidP="004D0969">
            <w:pPr>
              <w:rPr>
                <w:rFonts w:ascii="Times New Roman" w:hAnsi="Times New Roman" w:cs="Times New Roman"/>
                <w:b/>
                <w:bCs/>
                <w:i/>
                <w:iCs/>
              </w:rPr>
            </w:pPr>
            <w:r w:rsidRPr="00C31A1E">
              <w:rPr>
                <w:rFonts w:ascii="Times New Roman" w:hAnsi="Times New Roman" w:cs="Times New Roman"/>
                <w:b/>
                <w:bCs/>
                <w:i/>
                <w:iCs/>
              </w:rPr>
              <w:t>Reliability metric</w:t>
            </w:r>
          </w:p>
        </w:tc>
        <w:tc>
          <w:tcPr>
            <w:tcW w:w="2649" w:type="dxa"/>
            <w:tcBorders>
              <w:top w:val="single" w:sz="4" w:space="0" w:color="auto"/>
              <w:bottom w:val="single" w:sz="4" w:space="0" w:color="auto"/>
            </w:tcBorders>
            <w:vAlign w:val="center"/>
            <w:hideMark/>
          </w:tcPr>
          <w:p w:rsidR="004D0969" w:rsidRPr="00C31A1E" w:rsidRDefault="004D0969" w:rsidP="004D0969">
            <w:pPr>
              <w:rPr>
                <w:rFonts w:ascii="Times New Roman" w:hAnsi="Times New Roman" w:cs="Times New Roman"/>
                <w:b/>
                <w:bCs/>
                <w:i/>
                <w:iCs/>
              </w:rPr>
            </w:pPr>
            <w:r w:rsidRPr="00C31A1E">
              <w:rPr>
                <w:rFonts w:ascii="Times New Roman" w:hAnsi="Times New Roman" w:cs="Times New Roman"/>
                <w:b/>
                <w:bCs/>
                <w:i/>
                <w:iCs/>
              </w:rPr>
              <w:t>Estimate</w:t>
            </w:r>
          </w:p>
        </w:tc>
      </w:tr>
      <w:tr w:rsidR="004D0969" w:rsidRPr="00C31A1E" w:rsidTr="005755A1">
        <w:trPr>
          <w:tblCellSpacing w:w="15" w:type="dxa"/>
        </w:trPr>
        <w:tc>
          <w:tcPr>
            <w:tcW w:w="7326"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Sample size, N</w:t>
            </w:r>
          </w:p>
        </w:tc>
        <w:tc>
          <w:tcPr>
            <w:tcW w:w="2649"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196</w:t>
            </w:r>
          </w:p>
        </w:tc>
      </w:tr>
      <w:tr w:rsidR="004D0969" w:rsidRPr="00C31A1E" w:rsidTr="005755A1">
        <w:trPr>
          <w:tblCellSpacing w:w="15" w:type="dxa"/>
        </w:trPr>
        <w:tc>
          <w:tcPr>
            <w:tcW w:w="7326"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Exact agreement, n/N (%)</w:t>
            </w:r>
          </w:p>
        </w:tc>
        <w:tc>
          <w:tcPr>
            <w:tcW w:w="2649"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180/196 (91.84%)</w:t>
            </w:r>
          </w:p>
        </w:tc>
      </w:tr>
      <w:tr w:rsidR="004D0969" w:rsidRPr="00C31A1E" w:rsidTr="005755A1">
        <w:trPr>
          <w:tblCellSpacing w:w="15" w:type="dxa"/>
        </w:trPr>
        <w:tc>
          <w:tcPr>
            <w:tcW w:w="7326"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Exact agreement, 95% CI (Wilson)</w:t>
            </w:r>
          </w:p>
        </w:tc>
        <w:tc>
          <w:tcPr>
            <w:tcW w:w="2649"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87.15%–94.91%</w:t>
            </w:r>
          </w:p>
        </w:tc>
      </w:tr>
      <w:tr w:rsidR="004D0969" w:rsidRPr="00C31A1E" w:rsidTr="005755A1">
        <w:trPr>
          <w:tblCellSpacing w:w="15" w:type="dxa"/>
        </w:trPr>
        <w:tc>
          <w:tcPr>
            <w:tcW w:w="7326"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Within-one-grade agreement (</w:t>
            </w:r>
          </w:p>
        </w:tc>
        <w:tc>
          <w:tcPr>
            <w:tcW w:w="2649" w:type="dxa"/>
            <w:vAlign w:val="center"/>
            <w:hideMark/>
          </w:tcPr>
          <w:p w:rsidR="004D0969" w:rsidRPr="00C31A1E" w:rsidRDefault="004D0969" w:rsidP="004D0969">
            <w:pPr>
              <w:rPr>
                <w:rFonts w:ascii="Times New Roman" w:hAnsi="Times New Roman" w:cs="Times New Roman"/>
                <w:i/>
                <w:iCs/>
              </w:rPr>
            </w:pPr>
            <w:proofErr w:type="spellStart"/>
            <w:r w:rsidRPr="00C31A1E">
              <w:rPr>
                <w:rFonts w:ascii="Times New Roman" w:hAnsi="Times New Roman" w:cs="Times New Roman"/>
                <w:i/>
                <w:iCs/>
              </w:rPr>
              <w:t>Δgrade</w:t>
            </w:r>
            <w:proofErr w:type="spellEnd"/>
          </w:p>
        </w:tc>
      </w:tr>
      <w:tr w:rsidR="004D0969" w:rsidRPr="00C31A1E" w:rsidTr="005755A1">
        <w:trPr>
          <w:tblCellSpacing w:w="15" w:type="dxa"/>
        </w:trPr>
        <w:tc>
          <w:tcPr>
            <w:tcW w:w="7326"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Within-one-grade agreement, 95% CI (Wilson)</w:t>
            </w:r>
          </w:p>
        </w:tc>
        <w:tc>
          <w:tcPr>
            <w:tcW w:w="2649"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98.08%–100.00%</w:t>
            </w:r>
          </w:p>
        </w:tc>
      </w:tr>
      <w:tr w:rsidR="004D0969" w:rsidRPr="00C31A1E" w:rsidTr="005755A1">
        <w:trPr>
          <w:tblCellSpacing w:w="15" w:type="dxa"/>
        </w:trPr>
        <w:tc>
          <w:tcPr>
            <w:tcW w:w="7326"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Unweighted Cohen’s kappa, κ</w:t>
            </w:r>
          </w:p>
        </w:tc>
        <w:tc>
          <w:tcPr>
            <w:tcW w:w="2649"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0.886</w:t>
            </w:r>
          </w:p>
        </w:tc>
      </w:tr>
      <w:tr w:rsidR="004D0969" w:rsidRPr="00C31A1E" w:rsidTr="005755A1">
        <w:trPr>
          <w:tblCellSpacing w:w="15" w:type="dxa"/>
        </w:trPr>
        <w:tc>
          <w:tcPr>
            <w:tcW w:w="7326"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Unweighted Cohen’s kappa, κ, 95% CI (bootstrap)</w:t>
            </w:r>
          </w:p>
        </w:tc>
        <w:tc>
          <w:tcPr>
            <w:tcW w:w="2649"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0.829–0.937</w:t>
            </w:r>
          </w:p>
        </w:tc>
      </w:tr>
      <w:tr w:rsidR="004D0969" w:rsidRPr="00C31A1E" w:rsidTr="005755A1">
        <w:trPr>
          <w:tblCellSpacing w:w="15" w:type="dxa"/>
        </w:trPr>
        <w:tc>
          <w:tcPr>
            <w:tcW w:w="7326"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 xml:space="preserve">Weighted Cohen’s kappa, </w:t>
            </w:r>
            <w:proofErr w:type="spellStart"/>
            <w:r w:rsidRPr="00C31A1E">
              <w:rPr>
                <w:rFonts w:ascii="Times New Roman" w:hAnsi="Times New Roman" w:cs="Times New Roman"/>
                <w:i/>
                <w:iCs/>
              </w:rPr>
              <w:t>κw</w:t>
            </w:r>
            <w:proofErr w:type="spellEnd"/>
            <w:r w:rsidRPr="00C31A1E">
              <w:rPr>
                <w:rFonts w:ascii="Times New Roman" w:hAnsi="Times New Roman" w:cs="Times New Roman"/>
                <w:i/>
                <w:iCs/>
              </w:rPr>
              <w:t xml:space="preserve"> (linear weights)</w:t>
            </w:r>
          </w:p>
        </w:tc>
        <w:tc>
          <w:tcPr>
            <w:tcW w:w="2649"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0.924</w:t>
            </w:r>
          </w:p>
        </w:tc>
      </w:tr>
      <w:tr w:rsidR="004D0969" w:rsidRPr="00C31A1E" w:rsidTr="005755A1">
        <w:trPr>
          <w:tblCellSpacing w:w="15" w:type="dxa"/>
        </w:trPr>
        <w:tc>
          <w:tcPr>
            <w:tcW w:w="7326"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 xml:space="preserve">Weighted Cohen’s kappa, </w:t>
            </w:r>
            <w:proofErr w:type="spellStart"/>
            <w:r w:rsidRPr="00C31A1E">
              <w:rPr>
                <w:rFonts w:ascii="Times New Roman" w:hAnsi="Times New Roman" w:cs="Times New Roman"/>
                <w:i/>
                <w:iCs/>
              </w:rPr>
              <w:t>κw</w:t>
            </w:r>
            <w:proofErr w:type="spellEnd"/>
            <w:r w:rsidRPr="00C31A1E">
              <w:rPr>
                <w:rFonts w:ascii="Times New Roman" w:hAnsi="Times New Roman" w:cs="Times New Roman"/>
                <w:i/>
                <w:iCs/>
              </w:rPr>
              <w:t xml:space="preserve"> (linear weights), 95% CI (bootstrap)</w:t>
            </w:r>
          </w:p>
        </w:tc>
        <w:tc>
          <w:tcPr>
            <w:tcW w:w="2649"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0.885–0.958</w:t>
            </w:r>
          </w:p>
        </w:tc>
      </w:tr>
      <w:tr w:rsidR="004D0969" w:rsidRPr="00C31A1E" w:rsidTr="005755A1">
        <w:trPr>
          <w:tblCellSpacing w:w="15" w:type="dxa"/>
        </w:trPr>
        <w:tc>
          <w:tcPr>
            <w:tcW w:w="7326"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 xml:space="preserve">Weighted Cohen’s kappa, </w:t>
            </w:r>
            <w:proofErr w:type="spellStart"/>
            <w:r w:rsidRPr="00C31A1E">
              <w:rPr>
                <w:rFonts w:ascii="Times New Roman" w:hAnsi="Times New Roman" w:cs="Times New Roman"/>
                <w:i/>
                <w:iCs/>
              </w:rPr>
              <w:t>κw</w:t>
            </w:r>
            <w:proofErr w:type="spellEnd"/>
            <w:r w:rsidRPr="00C31A1E">
              <w:rPr>
                <w:rFonts w:ascii="Times New Roman" w:hAnsi="Times New Roman" w:cs="Times New Roman"/>
                <w:i/>
                <w:iCs/>
              </w:rPr>
              <w:t xml:space="preserve"> (quadratic weights)</w:t>
            </w:r>
          </w:p>
        </w:tc>
        <w:tc>
          <w:tcPr>
            <w:tcW w:w="2649" w:type="dxa"/>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0.958</w:t>
            </w:r>
          </w:p>
        </w:tc>
      </w:tr>
      <w:tr w:rsidR="004D0969" w:rsidRPr="00C31A1E" w:rsidTr="005755A1">
        <w:trPr>
          <w:tblCellSpacing w:w="15" w:type="dxa"/>
        </w:trPr>
        <w:tc>
          <w:tcPr>
            <w:tcW w:w="7326" w:type="dxa"/>
            <w:tcBorders>
              <w:bottom w:val="single" w:sz="4" w:space="0" w:color="auto"/>
            </w:tcBorders>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 xml:space="preserve">Weighted Cohen’s kappa, </w:t>
            </w:r>
            <w:proofErr w:type="spellStart"/>
            <w:r w:rsidRPr="00C31A1E">
              <w:rPr>
                <w:rFonts w:ascii="Times New Roman" w:hAnsi="Times New Roman" w:cs="Times New Roman"/>
                <w:i/>
                <w:iCs/>
              </w:rPr>
              <w:t>κw</w:t>
            </w:r>
            <w:proofErr w:type="spellEnd"/>
            <w:r w:rsidRPr="00C31A1E">
              <w:rPr>
                <w:rFonts w:ascii="Times New Roman" w:hAnsi="Times New Roman" w:cs="Times New Roman"/>
                <w:i/>
                <w:iCs/>
              </w:rPr>
              <w:t xml:space="preserve"> (quadratic weights), 95% CI (bootstrap)</w:t>
            </w:r>
          </w:p>
        </w:tc>
        <w:tc>
          <w:tcPr>
            <w:tcW w:w="2649" w:type="dxa"/>
            <w:tcBorders>
              <w:bottom w:val="single" w:sz="4" w:space="0" w:color="auto"/>
            </w:tcBorders>
            <w:vAlign w:val="center"/>
            <w:hideMark/>
          </w:tcPr>
          <w:p w:rsidR="004D0969" w:rsidRPr="00C31A1E" w:rsidRDefault="004D0969" w:rsidP="004D0969">
            <w:pPr>
              <w:rPr>
                <w:rFonts w:ascii="Times New Roman" w:hAnsi="Times New Roman" w:cs="Times New Roman"/>
                <w:i/>
                <w:iCs/>
              </w:rPr>
            </w:pPr>
            <w:r w:rsidRPr="00C31A1E">
              <w:rPr>
                <w:rFonts w:ascii="Times New Roman" w:hAnsi="Times New Roman" w:cs="Times New Roman"/>
                <w:i/>
                <w:iCs/>
              </w:rPr>
              <w:t>0.935–0.976</w:t>
            </w:r>
          </w:p>
        </w:tc>
      </w:tr>
    </w:tbl>
    <w:p w:rsidR="000921A3" w:rsidRPr="00C31A1E" w:rsidRDefault="00F832C7">
      <w:pPr>
        <w:widowControl/>
        <w:jc w:val="left"/>
        <w:rPr>
          <w:rFonts w:ascii="Times New Roman" w:hAnsi="Times New Roman" w:cs="Times New Roman"/>
          <w:i/>
          <w:iCs/>
        </w:rPr>
      </w:pPr>
      <w:r w:rsidRPr="00C31A1E">
        <w:rPr>
          <w:rFonts w:ascii="Times New Roman" w:hAnsi="Times New Roman" w:cs="Times New Roman"/>
          <w:i/>
          <w:iCs/>
        </w:rPr>
        <w:t>Collateral grades were scored on an ordinal scale (0–4). Weighted Cohen’s kappa (</w:t>
      </w:r>
      <w:proofErr w:type="spellStart"/>
      <w:r w:rsidRPr="00C31A1E">
        <w:rPr>
          <w:rFonts w:ascii="Times New Roman" w:hAnsi="Times New Roman" w:cs="Times New Roman"/>
          <w:i/>
          <w:iCs/>
        </w:rPr>
        <w:t>κw</w:t>
      </w:r>
      <w:proofErr w:type="spellEnd"/>
      <w:r w:rsidRPr="00C31A1E">
        <w:rPr>
          <w:rFonts w:ascii="Times New Roman" w:hAnsi="Times New Roman" w:cs="Times New Roman"/>
          <w:i/>
          <w:iCs/>
        </w:rPr>
        <w:t>) (linear weights) was used as the primary reliability metric for ordinal ratings; unweighted Cohen’s kappa (κ) reflects exact-category agreement beyond chance without accounting for the magnitude of disagreement. Within-one-grade agreement was defined as an absolute difference ≤1. CI denotes confidence interval.</w:t>
      </w:r>
      <w:r w:rsidR="000921A3" w:rsidRPr="00C31A1E">
        <w:rPr>
          <w:rFonts w:ascii="Times New Roman" w:hAnsi="Times New Roman" w:cs="Times New Roman"/>
          <w:i/>
          <w:iCs/>
        </w:rPr>
        <w:br w:type="page"/>
      </w:r>
    </w:p>
    <w:p w:rsidR="000921A3" w:rsidRPr="00C31A1E" w:rsidRDefault="000921A3" w:rsidP="000921A3">
      <w:pPr>
        <w:rPr>
          <w:rFonts w:ascii="Times New Roman" w:hAnsi="Times New Roman" w:cs="Times New Roman"/>
          <w:i/>
          <w:iCs/>
        </w:rPr>
      </w:pPr>
      <w:r w:rsidRPr="00C31A1E">
        <w:rPr>
          <w:rFonts w:ascii="Times New Roman" w:hAnsi="Times New Roman" w:cs="Times New Roman"/>
          <w:b/>
          <w:bCs/>
        </w:rPr>
        <w:lastRenderedPageBreak/>
        <w:t>Supplementary Figure S1</w:t>
      </w:r>
      <w:r w:rsidRPr="00C31A1E">
        <w:rPr>
          <w:rFonts w:ascii="Times New Roman" w:hAnsi="Times New Roman" w:cs="Times New Roman"/>
          <w:i/>
          <w:iCs/>
        </w:rPr>
        <w:br/>
      </w:r>
      <w:r w:rsidRPr="00C31A1E">
        <w:rPr>
          <w:rFonts w:ascii="Times New Roman" w:hAnsi="Times New Roman" w:cs="Times New Roman"/>
        </w:rPr>
        <w:t>Receiver operating characteristic (ROC) curves for predicting favorable 90-day functional outcome (</w:t>
      </w:r>
      <w:proofErr w:type="spellStart"/>
      <w:r w:rsidRPr="00C31A1E">
        <w:rPr>
          <w:rFonts w:ascii="Times New Roman" w:hAnsi="Times New Roman" w:cs="Times New Roman"/>
        </w:rPr>
        <w:t>mRS</w:t>
      </w:r>
      <w:proofErr w:type="spellEnd"/>
      <w:r w:rsidRPr="00C31A1E">
        <w:rPr>
          <w:rFonts w:ascii="Times New Roman" w:hAnsi="Times New Roman" w:cs="Times New Roman"/>
        </w:rPr>
        <w:t xml:space="preserve"> 0–2) using the clinical model alone and the clinical-plus-collateral model.</w:t>
      </w:r>
    </w:p>
    <w:p w:rsidR="00A17A6C" w:rsidRPr="00C31A1E" w:rsidRDefault="00253A3D" w:rsidP="000921A3">
      <w:pPr>
        <w:rPr>
          <w:rFonts w:ascii="Times New Roman" w:hAnsi="Times New Roman" w:cs="Times New Roman"/>
          <w:i/>
          <w:iCs/>
        </w:rPr>
      </w:pPr>
      <w:r w:rsidRPr="00C31A1E">
        <w:rPr>
          <w:rFonts w:ascii="Times New Roman" w:hAnsi="Times New Roman" w:cs="Times New Roman"/>
          <w:noProof/>
        </w:rPr>
        <w:drawing>
          <wp:inline distT="0" distB="0" distL="0" distR="0" wp14:anchorId="489A0DDF" wp14:editId="79A2C0AE">
            <wp:extent cx="5274310" cy="3455670"/>
            <wp:effectExtent l="0" t="0" r="2540" b="0"/>
            <wp:docPr id="1297512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455670"/>
                    </a:xfrm>
                    <a:prstGeom prst="rect">
                      <a:avLst/>
                    </a:prstGeom>
                    <a:noFill/>
                    <a:ln>
                      <a:noFill/>
                    </a:ln>
                  </pic:spPr>
                </pic:pic>
              </a:graphicData>
            </a:graphic>
          </wp:inline>
        </w:drawing>
      </w:r>
      <w:r w:rsidR="000921A3" w:rsidRPr="00C31A1E">
        <w:rPr>
          <w:rFonts w:ascii="Times New Roman" w:hAnsi="Times New Roman" w:cs="Times New Roman"/>
          <w:i/>
          <w:iCs/>
        </w:rPr>
        <w:br/>
        <w:t xml:space="preserve">ROC indicates receiver operating characteristic; AUC, area under the curve; </w:t>
      </w:r>
    </w:p>
    <w:p w:rsidR="000921A3" w:rsidRPr="00C31A1E" w:rsidRDefault="000921A3" w:rsidP="000921A3">
      <w:pPr>
        <w:rPr>
          <w:rFonts w:ascii="Times New Roman" w:hAnsi="Times New Roman" w:cs="Times New Roman"/>
          <w:i/>
          <w:iCs/>
        </w:rPr>
      </w:pPr>
      <w:r w:rsidRPr="00C31A1E">
        <w:rPr>
          <w:rFonts w:ascii="Times New Roman" w:hAnsi="Times New Roman" w:cs="Times New Roman"/>
          <w:i/>
          <w:iCs/>
        </w:rPr>
        <w:t>The outcome was</w:t>
      </w:r>
      <w:r w:rsidRPr="00C31A1E">
        <w:rPr>
          <w:rFonts w:ascii="Times New Roman" w:hAnsi="Times New Roman" w:cs="Times New Roman"/>
          <w:b/>
          <w:bCs/>
          <w:i/>
          <w:iCs/>
        </w:rPr>
        <w:t xml:space="preserve"> </w:t>
      </w:r>
      <w:r w:rsidRPr="00C31A1E">
        <w:rPr>
          <w:rFonts w:ascii="Times New Roman" w:hAnsi="Times New Roman" w:cs="Times New Roman"/>
          <w:i/>
          <w:iCs/>
        </w:rPr>
        <w:t>favorable functional outcome at 90 days</w:t>
      </w:r>
      <w:r w:rsidRPr="00C31A1E">
        <w:rPr>
          <w:rFonts w:ascii="Times New Roman" w:hAnsi="Times New Roman" w:cs="Times New Roman"/>
          <w:b/>
          <w:bCs/>
          <w:i/>
          <w:iCs/>
        </w:rPr>
        <w:t>,</w:t>
      </w:r>
      <w:r w:rsidRPr="00C31A1E">
        <w:rPr>
          <w:rFonts w:ascii="Times New Roman" w:hAnsi="Times New Roman" w:cs="Times New Roman"/>
          <w:i/>
          <w:iCs/>
        </w:rPr>
        <w:t xml:space="preserve"> defined as </w:t>
      </w:r>
      <w:proofErr w:type="spellStart"/>
      <w:r w:rsidRPr="00C31A1E">
        <w:rPr>
          <w:rFonts w:ascii="Times New Roman" w:hAnsi="Times New Roman" w:cs="Times New Roman"/>
          <w:i/>
          <w:iCs/>
        </w:rPr>
        <w:t>mRS</w:t>
      </w:r>
      <w:proofErr w:type="spellEnd"/>
      <w:r w:rsidRPr="00C31A1E">
        <w:rPr>
          <w:rFonts w:ascii="Times New Roman" w:hAnsi="Times New Roman" w:cs="Times New Roman"/>
          <w:i/>
          <w:iCs/>
        </w:rPr>
        <w:t xml:space="preserve"> 0–2. The clinical model included age, sex, baseline NIHSS, ASPECTS, onset-to-CT time, IVT, and EVT. The clinical-plus-collateral model additionally incorporated collateral status assessed by 4D-CTA. AUC values are shown to compare the discriminative performance of the two models.</w:t>
      </w:r>
      <w:r w:rsidR="0013058B" w:rsidRPr="00C31A1E">
        <w:rPr>
          <w:rFonts w:ascii="Times New Roman" w:hAnsi="Times New Roman" w:cs="Times New Roman"/>
          <w:i/>
          <w:iCs/>
        </w:rPr>
        <w:t xml:space="preserve"> The difference in AUCs was assessed using the DeLong test. Calibration assessment did not reveal substantial miscalibration.</w:t>
      </w:r>
    </w:p>
    <w:p w:rsidR="008E1C9A" w:rsidRPr="00C31A1E" w:rsidRDefault="008E1C9A">
      <w:pPr>
        <w:rPr>
          <w:rFonts w:ascii="Times New Roman" w:hAnsi="Times New Roman" w:cs="Times New Roman"/>
        </w:rPr>
      </w:pPr>
    </w:p>
    <w:sectPr w:rsidR="008E1C9A" w:rsidRPr="00C31A1E" w:rsidSect="005755A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46652" w:rsidRDefault="00246652" w:rsidP="00460666">
      <w:pPr>
        <w:rPr>
          <w:rFonts w:hint="eastAsia"/>
        </w:rPr>
      </w:pPr>
      <w:r>
        <w:separator/>
      </w:r>
    </w:p>
  </w:endnote>
  <w:endnote w:type="continuationSeparator" w:id="0">
    <w:p w:rsidR="00246652" w:rsidRDefault="00246652" w:rsidP="0046066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46652" w:rsidRDefault="00246652" w:rsidP="00460666">
      <w:pPr>
        <w:rPr>
          <w:rFonts w:hint="eastAsia"/>
        </w:rPr>
      </w:pPr>
      <w:r>
        <w:separator/>
      </w:r>
    </w:p>
  </w:footnote>
  <w:footnote w:type="continuationSeparator" w:id="0">
    <w:p w:rsidR="00246652" w:rsidRDefault="00246652" w:rsidP="00460666">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BE741D"/>
    <w:multiLevelType w:val="multilevel"/>
    <w:tmpl w:val="AC560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AE72C8"/>
    <w:multiLevelType w:val="multilevel"/>
    <w:tmpl w:val="878EE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B0A5CE3"/>
    <w:multiLevelType w:val="multilevel"/>
    <w:tmpl w:val="68C6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DC2877"/>
    <w:multiLevelType w:val="multilevel"/>
    <w:tmpl w:val="36E4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08325A"/>
    <w:multiLevelType w:val="multilevel"/>
    <w:tmpl w:val="DF34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FA64E7"/>
    <w:multiLevelType w:val="multilevel"/>
    <w:tmpl w:val="9A285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1B336D4"/>
    <w:multiLevelType w:val="multilevel"/>
    <w:tmpl w:val="5E86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161564">
    <w:abstractNumId w:val="0"/>
  </w:num>
  <w:num w:numId="2" w16cid:durableId="1618366386">
    <w:abstractNumId w:val="6"/>
  </w:num>
  <w:num w:numId="3" w16cid:durableId="1161116300">
    <w:abstractNumId w:val="2"/>
  </w:num>
  <w:num w:numId="4" w16cid:durableId="734355279">
    <w:abstractNumId w:val="4"/>
  </w:num>
  <w:num w:numId="5" w16cid:durableId="347411758">
    <w:abstractNumId w:val="3"/>
  </w:num>
  <w:num w:numId="6" w16cid:durableId="1978878910">
    <w:abstractNumId w:val="5"/>
  </w:num>
  <w:num w:numId="7" w16cid:durableId="1394540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027"/>
    <w:rsid w:val="00044ECB"/>
    <w:rsid w:val="00047345"/>
    <w:rsid w:val="00061719"/>
    <w:rsid w:val="00064FC9"/>
    <w:rsid w:val="00071027"/>
    <w:rsid w:val="00071661"/>
    <w:rsid w:val="00071A3C"/>
    <w:rsid w:val="000905A4"/>
    <w:rsid w:val="000921A3"/>
    <w:rsid w:val="000974D8"/>
    <w:rsid w:val="000A2459"/>
    <w:rsid w:val="000A589A"/>
    <w:rsid w:val="000A6271"/>
    <w:rsid w:val="000C5002"/>
    <w:rsid w:val="000E1250"/>
    <w:rsid w:val="000F6507"/>
    <w:rsid w:val="00107239"/>
    <w:rsid w:val="00123E10"/>
    <w:rsid w:val="0013058B"/>
    <w:rsid w:val="0013101A"/>
    <w:rsid w:val="001375E0"/>
    <w:rsid w:val="001376FF"/>
    <w:rsid w:val="001432E5"/>
    <w:rsid w:val="0014514C"/>
    <w:rsid w:val="00153A1B"/>
    <w:rsid w:val="001545B0"/>
    <w:rsid w:val="00176ABC"/>
    <w:rsid w:val="001A0A23"/>
    <w:rsid w:val="001B5E61"/>
    <w:rsid w:val="001D316E"/>
    <w:rsid w:val="001E5498"/>
    <w:rsid w:val="001E756D"/>
    <w:rsid w:val="001F520A"/>
    <w:rsid w:val="001F7AAA"/>
    <w:rsid w:val="00210122"/>
    <w:rsid w:val="0021711B"/>
    <w:rsid w:val="00231607"/>
    <w:rsid w:val="00244345"/>
    <w:rsid w:val="00246652"/>
    <w:rsid w:val="00253A3D"/>
    <w:rsid w:val="00264D50"/>
    <w:rsid w:val="00265AA0"/>
    <w:rsid w:val="00266346"/>
    <w:rsid w:val="00282E1B"/>
    <w:rsid w:val="002A33A9"/>
    <w:rsid w:val="002C1A8B"/>
    <w:rsid w:val="002D156C"/>
    <w:rsid w:val="002D1A2E"/>
    <w:rsid w:val="002D3217"/>
    <w:rsid w:val="002E1C66"/>
    <w:rsid w:val="002E464E"/>
    <w:rsid w:val="002F1781"/>
    <w:rsid w:val="002F4BFA"/>
    <w:rsid w:val="002F6384"/>
    <w:rsid w:val="00332604"/>
    <w:rsid w:val="00337586"/>
    <w:rsid w:val="003539DE"/>
    <w:rsid w:val="003826EB"/>
    <w:rsid w:val="00386BA9"/>
    <w:rsid w:val="003A48BD"/>
    <w:rsid w:val="003D1E71"/>
    <w:rsid w:val="003E2EE1"/>
    <w:rsid w:val="003F161C"/>
    <w:rsid w:val="00417682"/>
    <w:rsid w:val="00433A92"/>
    <w:rsid w:val="00450A73"/>
    <w:rsid w:val="00460666"/>
    <w:rsid w:val="00465DF1"/>
    <w:rsid w:val="004C2E42"/>
    <w:rsid w:val="004D0969"/>
    <w:rsid w:val="004D3AB7"/>
    <w:rsid w:val="004E012B"/>
    <w:rsid w:val="004E0446"/>
    <w:rsid w:val="004E2A28"/>
    <w:rsid w:val="005005F8"/>
    <w:rsid w:val="00512F0E"/>
    <w:rsid w:val="00526BDB"/>
    <w:rsid w:val="00535945"/>
    <w:rsid w:val="0057049B"/>
    <w:rsid w:val="0057134C"/>
    <w:rsid w:val="00571DA2"/>
    <w:rsid w:val="005755A1"/>
    <w:rsid w:val="00577103"/>
    <w:rsid w:val="0058052A"/>
    <w:rsid w:val="005A18F7"/>
    <w:rsid w:val="005B7010"/>
    <w:rsid w:val="005C35EF"/>
    <w:rsid w:val="005D15CA"/>
    <w:rsid w:val="005D685B"/>
    <w:rsid w:val="005F3CB8"/>
    <w:rsid w:val="005F72BD"/>
    <w:rsid w:val="005F7790"/>
    <w:rsid w:val="00603BB6"/>
    <w:rsid w:val="00605B4F"/>
    <w:rsid w:val="00606C3D"/>
    <w:rsid w:val="00610914"/>
    <w:rsid w:val="0061222A"/>
    <w:rsid w:val="00621278"/>
    <w:rsid w:val="00622F15"/>
    <w:rsid w:val="0063015A"/>
    <w:rsid w:val="00632925"/>
    <w:rsid w:val="00633454"/>
    <w:rsid w:val="00640EA9"/>
    <w:rsid w:val="00667353"/>
    <w:rsid w:val="0067537E"/>
    <w:rsid w:val="00683838"/>
    <w:rsid w:val="00695E8B"/>
    <w:rsid w:val="006A585C"/>
    <w:rsid w:val="006C28F3"/>
    <w:rsid w:val="006D08EC"/>
    <w:rsid w:val="006E2C89"/>
    <w:rsid w:val="006F319F"/>
    <w:rsid w:val="00712D69"/>
    <w:rsid w:val="0071356C"/>
    <w:rsid w:val="00720A7C"/>
    <w:rsid w:val="00724B0B"/>
    <w:rsid w:val="00725476"/>
    <w:rsid w:val="00725B5A"/>
    <w:rsid w:val="00725C7F"/>
    <w:rsid w:val="00727897"/>
    <w:rsid w:val="00733C67"/>
    <w:rsid w:val="00734B11"/>
    <w:rsid w:val="00735C4C"/>
    <w:rsid w:val="00747F07"/>
    <w:rsid w:val="007628D4"/>
    <w:rsid w:val="007777CA"/>
    <w:rsid w:val="0078177C"/>
    <w:rsid w:val="007A5A4A"/>
    <w:rsid w:val="007A5B58"/>
    <w:rsid w:val="007A739F"/>
    <w:rsid w:val="007C0550"/>
    <w:rsid w:val="007C34DB"/>
    <w:rsid w:val="007D46C5"/>
    <w:rsid w:val="007D7B7D"/>
    <w:rsid w:val="007E0D80"/>
    <w:rsid w:val="007E2130"/>
    <w:rsid w:val="007F583B"/>
    <w:rsid w:val="00805DEE"/>
    <w:rsid w:val="008060D2"/>
    <w:rsid w:val="008121B6"/>
    <w:rsid w:val="00817160"/>
    <w:rsid w:val="00835957"/>
    <w:rsid w:val="00837234"/>
    <w:rsid w:val="00837C23"/>
    <w:rsid w:val="00853424"/>
    <w:rsid w:val="00857707"/>
    <w:rsid w:val="00880F4F"/>
    <w:rsid w:val="008D6172"/>
    <w:rsid w:val="008E1C9A"/>
    <w:rsid w:val="008F5908"/>
    <w:rsid w:val="00900AAE"/>
    <w:rsid w:val="00903FBB"/>
    <w:rsid w:val="0091510C"/>
    <w:rsid w:val="009313D1"/>
    <w:rsid w:val="00933001"/>
    <w:rsid w:val="00940171"/>
    <w:rsid w:val="0095035F"/>
    <w:rsid w:val="009527E9"/>
    <w:rsid w:val="00955E1C"/>
    <w:rsid w:val="00957969"/>
    <w:rsid w:val="009657F4"/>
    <w:rsid w:val="00966425"/>
    <w:rsid w:val="00967849"/>
    <w:rsid w:val="00967FA0"/>
    <w:rsid w:val="0097131D"/>
    <w:rsid w:val="00971E54"/>
    <w:rsid w:val="00982204"/>
    <w:rsid w:val="00983C39"/>
    <w:rsid w:val="009A6F4C"/>
    <w:rsid w:val="009B3150"/>
    <w:rsid w:val="009C0D37"/>
    <w:rsid w:val="009D205C"/>
    <w:rsid w:val="009D38C8"/>
    <w:rsid w:val="009D5B04"/>
    <w:rsid w:val="009D6420"/>
    <w:rsid w:val="009D6A6B"/>
    <w:rsid w:val="009E0CFC"/>
    <w:rsid w:val="009F4C14"/>
    <w:rsid w:val="00A0790E"/>
    <w:rsid w:val="00A10197"/>
    <w:rsid w:val="00A11048"/>
    <w:rsid w:val="00A17A6C"/>
    <w:rsid w:val="00A33068"/>
    <w:rsid w:val="00A3629C"/>
    <w:rsid w:val="00A452B3"/>
    <w:rsid w:val="00A64B59"/>
    <w:rsid w:val="00A672A6"/>
    <w:rsid w:val="00A811CA"/>
    <w:rsid w:val="00A849C9"/>
    <w:rsid w:val="00AA47EC"/>
    <w:rsid w:val="00AB149B"/>
    <w:rsid w:val="00B15B1C"/>
    <w:rsid w:val="00B27DD2"/>
    <w:rsid w:val="00B36FD5"/>
    <w:rsid w:val="00B37DEA"/>
    <w:rsid w:val="00B533BD"/>
    <w:rsid w:val="00B67D0C"/>
    <w:rsid w:val="00B7333F"/>
    <w:rsid w:val="00B97B76"/>
    <w:rsid w:val="00BA087A"/>
    <w:rsid w:val="00BD4AE0"/>
    <w:rsid w:val="00BD6C94"/>
    <w:rsid w:val="00BD74C8"/>
    <w:rsid w:val="00C07311"/>
    <w:rsid w:val="00C07C42"/>
    <w:rsid w:val="00C137F3"/>
    <w:rsid w:val="00C20480"/>
    <w:rsid w:val="00C27AC0"/>
    <w:rsid w:val="00C31A1E"/>
    <w:rsid w:val="00C42DF2"/>
    <w:rsid w:val="00C500EF"/>
    <w:rsid w:val="00C53DF1"/>
    <w:rsid w:val="00C625A8"/>
    <w:rsid w:val="00C70A8A"/>
    <w:rsid w:val="00CA4E62"/>
    <w:rsid w:val="00CA6842"/>
    <w:rsid w:val="00CB0927"/>
    <w:rsid w:val="00CB1FC1"/>
    <w:rsid w:val="00CB206B"/>
    <w:rsid w:val="00CB32F9"/>
    <w:rsid w:val="00CC7DA1"/>
    <w:rsid w:val="00CD5615"/>
    <w:rsid w:val="00CD6D48"/>
    <w:rsid w:val="00CE7C74"/>
    <w:rsid w:val="00D00E5D"/>
    <w:rsid w:val="00D22259"/>
    <w:rsid w:val="00D22A2A"/>
    <w:rsid w:val="00D32162"/>
    <w:rsid w:val="00D37BC0"/>
    <w:rsid w:val="00D422DC"/>
    <w:rsid w:val="00D44BCB"/>
    <w:rsid w:val="00D54AF7"/>
    <w:rsid w:val="00D57A26"/>
    <w:rsid w:val="00D61EDA"/>
    <w:rsid w:val="00D873B3"/>
    <w:rsid w:val="00D87B3A"/>
    <w:rsid w:val="00DA2CA6"/>
    <w:rsid w:val="00DB011E"/>
    <w:rsid w:val="00DD3580"/>
    <w:rsid w:val="00DD4390"/>
    <w:rsid w:val="00DD4AB1"/>
    <w:rsid w:val="00DD5159"/>
    <w:rsid w:val="00DD77E9"/>
    <w:rsid w:val="00DD7959"/>
    <w:rsid w:val="00E01B26"/>
    <w:rsid w:val="00E0488C"/>
    <w:rsid w:val="00E2125F"/>
    <w:rsid w:val="00E22528"/>
    <w:rsid w:val="00E23FFF"/>
    <w:rsid w:val="00E41EF0"/>
    <w:rsid w:val="00E55FDB"/>
    <w:rsid w:val="00E60342"/>
    <w:rsid w:val="00E746E6"/>
    <w:rsid w:val="00E85836"/>
    <w:rsid w:val="00EA0249"/>
    <w:rsid w:val="00EB654D"/>
    <w:rsid w:val="00ED6059"/>
    <w:rsid w:val="00EE0B0F"/>
    <w:rsid w:val="00EE1802"/>
    <w:rsid w:val="00EE2139"/>
    <w:rsid w:val="00EF047C"/>
    <w:rsid w:val="00EF2EED"/>
    <w:rsid w:val="00F076E3"/>
    <w:rsid w:val="00F1106D"/>
    <w:rsid w:val="00F16AB8"/>
    <w:rsid w:val="00F315A6"/>
    <w:rsid w:val="00F36368"/>
    <w:rsid w:val="00F367D8"/>
    <w:rsid w:val="00F6295A"/>
    <w:rsid w:val="00F72365"/>
    <w:rsid w:val="00F73F3C"/>
    <w:rsid w:val="00F760EB"/>
    <w:rsid w:val="00F832C7"/>
    <w:rsid w:val="00F83642"/>
    <w:rsid w:val="00F9061E"/>
    <w:rsid w:val="00F94CF5"/>
    <w:rsid w:val="00FB0BA2"/>
    <w:rsid w:val="00FB1F18"/>
    <w:rsid w:val="00FB39A9"/>
    <w:rsid w:val="00FC4817"/>
    <w:rsid w:val="00FD0EA4"/>
    <w:rsid w:val="00FD3CCE"/>
    <w:rsid w:val="00FE2BEA"/>
    <w:rsid w:val="00FE49C7"/>
    <w:rsid w:val="00FE619C"/>
    <w:rsid w:val="00FF6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061E3"/>
  <w15:chartTrackingRefBased/>
  <w15:docId w15:val="{47E6C932-59C6-43F4-A7FF-701D07C2A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71027"/>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071027"/>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071027"/>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071027"/>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071027"/>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071027"/>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071027"/>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71027"/>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071027"/>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71027"/>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071027"/>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071027"/>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071027"/>
    <w:rPr>
      <w:rFonts w:cstheme="majorBidi"/>
      <w:color w:val="2F5496" w:themeColor="accent1" w:themeShade="BF"/>
      <w:sz w:val="28"/>
      <w:szCs w:val="28"/>
    </w:rPr>
  </w:style>
  <w:style w:type="character" w:customStyle="1" w:styleId="50">
    <w:name w:val="标题 5 字符"/>
    <w:basedOn w:val="a0"/>
    <w:link w:val="5"/>
    <w:uiPriority w:val="9"/>
    <w:semiHidden/>
    <w:rsid w:val="00071027"/>
    <w:rPr>
      <w:rFonts w:cstheme="majorBidi"/>
      <w:color w:val="2F5496" w:themeColor="accent1" w:themeShade="BF"/>
      <w:sz w:val="24"/>
      <w:szCs w:val="24"/>
    </w:rPr>
  </w:style>
  <w:style w:type="character" w:customStyle="1" w:styleId="60">
    <w:name w:val="标题 6 字符"/>
    <w:basedOn w:val="a0"/>
    <w:link w:val="6"/>
    <w:uiPriority w:val="9"/>
    <w:semiHidden/>
    <w:rsid w:val="00071027"/>
    <w:rPr>
      <w:rFonts w:cstheme="majorBidi"/>
      <w:b/>
      <w:bCs/>
      <w:color w:val="2F5496" w:themeColor="accent1" w:themeShade="BF"/>
    </w:rPr>
  </w:style>
  <w:style w:type="character" w:customStyle="1" w:styleId="70">
    <w:name w:val="标题 7 字符"/>
    <w:basedOn w:val="a0"/>
    <w:link w:val="7"/>
    <w:uiPriority w:val="9"/>
    <w:semiHidden/>
    <w:rsid w:val="00071027"/>
    <w:rPr>
      <w:rFonts w:cstheme="majorBidi"/>
      <w:b/>
      <w:bCs/>
      <w:color w:val="595959" w:themeColor="text1" w:themeTint="A6"/>
    </w:rPr>
  </w:style>
  <w:style w:type="character" w:customStyle="1" w:styleId="80">
    <w:name w:val="标题 8 字符"/>
    <w:basedOn w:val="a0"/>
    <w:link w:val="8"/>
    <w:uiPriority w:val="9"/>
    <w:semiHidden/>
    <w:rsid w:val="00071027"/>
    <w:rPr>
      <w:rFonts w:cstheme="majorBidi"/>
      <w:color w:val="595959" w:themeColor="text1" w:themeTint="A6"/>
    </w:rPr>
  </w:style>
  <w:style w:type="character" w:customStyle="1" w:styleId="90">
    <w:name w:val="标题 9 字符"/>
    <w:basedOn w:val="a0"/>
    <w:link w:val="9"/>
    <w:uiPriority w:val="9"/>
    <w:semiHidden/>
    <w:rsid w:val="00071027"/>
    <w:rPr>
      <w:rFonts w:eastAsiaTheme="majorEastAsia" w:cstheme="majorBidi"/>
      <w:color w:val="595959" w:themeColor="text1" w:themeTint="A6"/>
    </w:rPr>
  </w:style>
  <w:style w:type="paragraph" w:styleId="a3">
    <w:name w:val="Title"/>
    <w:basedOn w:val="a"/>
    <w:next w:val="a"/>
    <w:link w:val="a4"/>
    <w:uiPriority w:val="10"/>
    <w:qFormat/>
    <w:rsid w:val="0007102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7102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7102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7102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71027"/>
    <w:pPr>
      <w:spacing w:before="160" w:after="160"/>
      <w:jc w:val="center"/>
    </w:pPr>
    <w:rPr>
      <w:i/>
      <w:iCs/>
      <w:color w:val="404040" w:themeColor="text1" w:themeTint="BF"/>
    </w:rPr>
  </w:style>
  <w:style w:type="character" w:customStyle="1" w:styleId="a8">
    <w:name w:val="引用 字符"/>
    <w:basedOn w:val="a0"/>
    <w:link w:val="a7"/>
    <w:uiPriority w:val="29"/>
    <w:rsid w:val="00071027"/>
    <w:rPr>
      <w:i/>
      <w:iCs/>
      <w:color w:val="404040" w:themeColor="text1" w:themeTint="BF"/>
    </w:rPr>
  </w:style>
  <w:style w:type="paragraph" w:styleId="a9">
    <w:name w:val="List Paragraph"/>
    <w:basedOn w:val="a"/>
    <w:uiPriority w:val="34"/>
    <w:qFormat/>
    <w:rsid w:val="00071027"/>
    <w:pPr>
      <w:ind w:left="720"/>
      <w:contextualSpacing/>
    </w:pPr>
  </w:style>
  <w:style w:type="character" w:styleId="aa">
    <w:name w:val="Intense Emphasis"/>
    <w:basedOn w:val="a0"/>
    <w:uiPriority w:val="21"/>
    <w:qFormat/>
    <w:rsid w:val="00071027"/>
    <w:rPr>
      <w:i/>
      <w:iCs/>
      <w:color w:val="2F5496" w:themeColor="accent1" w:themeShade="BF"/>
    </w:rPr>
  </w:style>
  <w:style w:type="paragraph" w:styleId="ab">
    <w:name w:val="Intense Quote"/>
    <w:basedOn w:val="a"/>
    <w:next w:val="a"/>
    <w:link w:val="ac"/>
    <w:uiPriority w:val="30"/>
    <w:qFormat/>
    <w:rsid w:val="000710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071027"/>
    <w:rPr>
      <w:i/>
      <w:iCs/>
      <w:color w:val="2F5496" w:themeColor="accent1" w:themeShade="BF"/>
    </w:rPr>
  </w:style>
  <w:style w:type="character" w:styleId="ad">
    <w:name w:val="Intense Reference"/>
    <w:basedOn w:val="a0"/>
    <w:uiPriority w:val="32"/>
    <w:qFormat/>
    <w:rsid w:val="00071027"/>
    <w:rPr>
      <w:b/>
      <w:bCs/>
      <w:smallCaps/>
      <w:color w:val="2F5496" w:themeColor="accent1" w:themeShade="BF"/>
      <w:spacing w:val="5"/>
    </w:rPr>
  </w:style>
  <w:style w:type="paragraph" w:styleId="ae">
    <w:name w:val="header"/>
    <w:basedOn w:val="a"/>
    <w:link w:val="af"/>
    <w:uiPriority w:val="99"/>
    <w:unhideWhenUsed/>
    <w:rsid w:val="00460666"/>
    <w:pPr>
      <w:tabs>
        <w:tab w:val="center" w:pos="4153"/>
        <w:tab w:val="right" w:pos="8306"/>
      </w:tabs>
      <w:snapToGrid w:val="0"/>
      <w:jc w:val="center"/>
    </w:pPr>
    <w:rPr>
      <w:sz w:val="18"/>
      <w:szCs w:val="18"/>
    </w:rPr>
  </w:style>
  <w:style w:type="character" w:customStyle="1" w:styleId="af">
    <w:name w:val="页眉 字符"/>
    <w:basedOn w:val="a0"/>
    <w:link w:val="ae"/>
    <w:uiPriority w:val="99"/>
    <w:rsid w:val="00460666"/>
    <w:rPr>
      <w:sz w:val="18"/>
      <w:szCs w:val="18"/>
    </w:rPr>
  </w:style>
  <w:style w:type="paragraph" w:styleId="af0">
    <w:name w:val="footer"/>
    <w:basedOn w:val="a"/>
    <w:link w:val="af1"/>
    <w:uiPriority w:val="99"/>
    <w:unhideWhenUsed/>
    <w:rsid w:val="00460666"/>
    <w:pPr>
      <w:tabs>
        <w:tab w:val="center" w:pos="4153"/>
        <w:tab w:val="right" w:pos="8306"/>
      </w:tabs>
      <w:snapToGrid w:val="0"/>
      <w:jc w:val="left"/>
    </w:pPr>
    <w:rPr>
      <w:sz w:val="18"/>
      <w:szCs w:val="18"/>
    </w:rPr>
  </w:style>
  <w:style w:type="character" w:customStyle="1" w:styleId="af1">
    <w:name w:val="页脚 字符"/>
    <w:basedOn w:val="a0"/>
    <w:link w:val="af0"/>
    <w:uiPriority w:val="99"/>
    <w:rsid w:val="00460666"/>
    <w:rPr>
      <w:sz w:val="18"/>
      <w:szCs w:val="18"/>
    </w:rPr>
  </w:style>
  <w:style w:type="character" w:styleId="af2">
    <w:name w:val="Hyperlink"/>
    <w:basedOn w:val="a0"/>
    <w:uiPriority w:val="99"/>
    <w:unhideWhenUsed/>
    <w:rsid w:val="00B36FD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540</TotalTime>
  <Pages>13</Pages>
  <Words>2232</Words>
  <Characters>12725</Characters>
  <Application>Microsoft Office Word</Application>
  <DocSecurity>0</DocSecurity>
  <Lines>106</Lines>
  <Paragraphs>29</Paragraphs>
  <ScaleCrop>false</ScaleCrop>
  <Company/>
  <LinksUpToDate>false</LinksUpToDate>
  <CharactersWithSpaces>14928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jiacai zuo</dc:creator>
  <cp:keywords/>
  <dc:description/>
  <cp:lastModifiedBy>jiacai zuo</cp:lastModifiedBy>
  <cp:revision>240</cp:revision>
  <dcterms:created xsi:type="dcterms:W3CDTF">2025-12-19T07:43:00Z</dcterms:created>
  <dcterms:modified xsi:type="dcterms:W3CDTF">2026-02-02T11:43:00Z</dcterms:modified>
</cp:coreProperties>
</file>