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7E0" w:rsidRPr="00BC48A3" w:rsidRDefault="007017E0" w:rsidP="007017E0">
      <w:pPr>
        <w:adjustRightInd w:val="0"/>
        <w:snapToGrid w:val="0"/>
        <w:spacing w:line="480" w:lineRule="auto"/>
        <w:rPr>
          <w:b/>
          <w:sz w:val="24"/>
          <w:szCs w:val="24"/>
        </w:rPr>
      </w:pPr>
      <w:r w:rsidRPr="00BC48A3">
        <w:rPr>
          <w:b/>
          <w:sz w:val="24"/>
          <w:szCs w:val="24"/>
        </w:rPr>
        <w:t>SUPPLEMENTS</w:t>
      </w:r>
    </w:p>
    <w:p w:rsidR="007017E0" w:rsidRPr="00BC48A3" w:rsidRDefault="007017E0" w:rsidP="007017E0">
      <w:pPr>
        <w:pStyle w:val="a3"/>
        <w:numPr>
          <w:ilvl w:val="0"/>
          <w:numId w:val="1"/>
        </w:numPr>
        <w:adjustRightInd w:val="0"/>
        <w:snapToGrid w:val="0"/>
        <w:spacing w:line="480" w:lineRule="auto"/>
        <w:ind w:leftChars="0"/>
        <w:rPr>
          <w:sz w:val="24"/>
          <w:szCs w:val="24"/>
        </w:rPr>
      </w:pPr>
      <w:bookmarkStart w:id="0" w:name="_GoBack"/>
      <w:r w:rsidRPr="00BC48A3">
        <w:rPr>
          <w:b/>
          <w:sz w:val="24"/>
          <w:szCs w:val="24"/>
        </w:rPr>
        <w:t>Preliminary parameter study</w:t>
      </w:r>
      <w:bookmarkEnd w:id="0"/>
      <w:r w:rsidRPr="00BC48A3">
        <w:rPr>
          <w:sz w:val="24"/>
          <w:szCs w:val="24"/>
        </w:rPr>
        <w:t xml:space="preserve"> </w:t>
      </w:r>
    </w:p>
    <w:p w:rsidR="007017E0" w:rsidRPr="00BC48A3" w:rsidRDefault="007017E0" w:rsidP="007017E0">
      <w:pPr>
        <w:keepNext/>
        <w:adjustRightInd w:val="0"/>
        <w:snapToGrid w:val="0"/>
        <w:spacing w:line="480" w:lineRule="auto"/>
        <w:ind w:leftChars="-497" w:left="-168" w:hangingChars="413" w:hanging="826"/>
        <w:jc w:val="center"/>
      </w:pPr>
      <w:r w:rsidRPr="00BC48A3">
        <w:rPr>
          <w:noProof/>
          <w:lang w:val="en-US"/>
        </w:rPr>
        <w:drawing>
          <wp:inline distT="0" distB="0" distL="0" distR="0" wp14:anchorId="3C3FF845" wp14:editId="7D24545E">
            <wp:extent cx="5889904" cy="4322914"/>
            <wp:effectExtent l="0" t="0" r="0" b="190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604" cy="4327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7E0" w:rsidRPr="00BC48A3" w:rsidRDefault="007017E0" w:rsidP="007017E0">
      <w:pPr>
        <w:adjustRightInd w:val="0"/>
        <w:snapToGrid w:val="0"/>
        <w:spacing w:line="480" w:lineRule="auto"/>
      </w:pPr>
      <w:r w:rsidRPr="00BC48A3">
        <w:t>Figure S-1. Dependence of the strength of in-phase synchronisation on</w:t>
      </w:r>
      <w:r w:rsidRPr="00BC48A3">
        <w:rPr>
          <w:bCs/>
        </w:rPr>
        <w:t xml:space="preserve"> </w:t>
      </w:r>
      <w:r w:rsidRPr="00BC48A3">
        <w:rPr>
          <w:bCs/>
          <w:i/>
        </w:rPr>
        <w:t>m</w:t>
      </w:r>
      <w:r w:rsidRPr="00BC48A3">
        <w:rPr>
          <w:bCs/>
        </w:rPr>
        <w:t xml:space="preserve">, </w:t>
      </w:r>
      <m:oMath>
        <m:r>
          <w:rPr>
            <w:rFonts w:ascii="Cambria Math" w:hAnsi="Cambria Math"/>
          </w:rPr>
          <m:t>ε</m:t>
        </m:r>
      </m:oMath>
      <w:r w:rsidRPr="00BC48A3">
        <w:rPr>
          <w:bCs/>
        </w:rPr>
        <w:t xml:space="preserve"> </w:t>
      </w:r>
      <w:r w:rsidRPr="00405645">
        <w:rPr>
          <w:bCs/>
        </w:rPr>
        <w:t xml:space="preserve">and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.</m:t>
        </m:r>
      </m:oMath>
      <w:r w:rsidRPr="00405645">
        <w:t xml:space="preserve"> </w:t>
      </w:r>
      <w:r w:rsidRPr="00BC48A3">
        <w:t>First row (a), (b), (c), (d)</w:t>
      </w:r>
      <w:r>
        <w:t xml:space="preserve">, and </w:t>
      </w:r>
      <w:r w:rsidRPr="00BC48A3">
        <w:t>(e):</w:t>
      </w:r>
      <w:r w:rsidRPr="00BC48A3">
        <w:rPr>
          <w:i/>
        </w:rPr>
        <w:t xml:space="preserve">m vs </w:t>
      </w:r>
      <w:r w:rsidRPr="00BC48A3">
        <w:rPr>
          <w:rFonts w:ascii="Symbol" w:hAnsi="Symbol"/>
          <w:i/>
        </w:rPr>
        <w:t></w:t>
      </w:r>
      <w:r w:rsidRPr="00BC48A3">
        <w:rPr>
          <w:rFonts w:ascii="Symbol" w:hAnsi="Symbol"/>
        </w:rPr>
        <w:t></w:t>
      </w:r>
      <w:r w:rsidRPr="00BC48A3">
        <w:t xml:space="preserve">diagram for </w:t>
      </w:r>
      <w:proofErr w:type="spellStart"/>
      <w:r w:rsidRPr="00BC48A3">
        <w:rPr>
          <w:i/>
          <w:iCs/>
        </w:rPr>
        <w:t>e</w:t>
      </w:r>
      <w:r w:rsidRPr="00BC48A3">
        <w:rPr>
          <w:i/>
          <w:iCs/>
          <w:vertAlign w:val="subscript"/>
        </w:rPr>
        <w:t>C</w:t>
      </w:r>
      <w:proofErr w:type="spellEnd"/>
      <w:r w:rsidRPr="00BC48A3">
        <w:rPr>
          <w:vertAlign w:val="subscript"/>
        </w:rPr>
        <w:t xml:space="preserve"> </w:t>
      </w:r>
      <w:r w:rsidRPr="00BC48A3">
        <w:t>=0, 01, 0.2, 0.3,and 0.4; second row (f), (g), (h),(j)</w:t>
      </w:r>
      <w:r w:rsidRPr="00C1328C">
        <w:t xml:space="preserve"> </w:t>
      </w:r>
      <w:r>
        <w:t>, and</w:t>
      </w:r>
      <w:r w:rsidRPr="00BC48A3">
        <w:t xml:space="preserve"> (k):</w:t>
      </w:r>
      <w:r w:rsidRPr="00BC48A3">
        <w:rPr>
          <w:i/>
        </w:rPr>
        <w:t>m vs</w:t>
      </w:r>
      <w:r w:rsidRPr="00BC48A3">
        <w:rPr>
          <w:i/>
          <w:iCs/>
        </w:rPr>
        <w:t xml:space="preserve"> </w:t>
      </w:r>
      <w:proofErr w:type="spellStart"/>
      <w:r w:rsidRPr="00BC48A3">
        <w:rPr>
          <w:i/>
          <w:iCs/>
        </w:rPr>
        <w:t>e</w:t>
      </w:r>
      <w:r w:rsidRPr="00BC48A3">
        <w:rPr>
          <w:i/>
          <w:iCs/>
          <w:vertAlign w:val="subscript"/>
        </w:rPr>
        <w:t>C</w:t>
      </w:r>
      <w:proofErr w:type="spellEnd"/>
      <w:r w:rsidRPr="00BC48A3">
        <w:t xml:space="preserve"> diagram for </w:t>
      </w:r>
      <w:r w:rsidRPr="00BC48A3">
        <w:rPr>
          <w:rFonts w:ascii="Symbol" w:hAnsi="Symbol"/>
          <w:i/>
        </w:rPr>
        <w:t></w:t>
      </w:r>
      <w:r w:rsidRPr="00BC48A3">
        <w:rPr>
          <w:rFonts w:ascii="Symbol" w:hAnsi="Symbol"/>
        </w:rPr>
        <w:t></w:t>
      </w:r>
      <w:r w:rsidRPr="00BC48A3">
        <w:t>=0, 01, 0.2, 0.3, and 0.4; third row (k) ,(l), (m), (n)</w:t>
      </w:r>
      <w:r w:rsidRPr="00C1328C">
        <w:t xml:space="preserve"> </w:t>
      </w:r>
      <w:r>
        <w:t>, and</w:t>
      </w:r>
      <w:r w:rsidRPr="00BC48A3">
        <w:t xml:space="preserve"> (o):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 xml:space="preserve"> vs. ε </m:t>
        </m:r>
      </m:oMath>
      <w:r w:rsidRPr="00BC48A3">
        <w:t xml:space="preserve">diagram for </w:t>
      </w:r>
      <w:r w:rsidRPr="00BC48A3">
        <w:rPr>
          <w:i/>
          <w:iCs/>
        </w:rPr>
        <w:t xml:space="preserve">m </w:t>
      </w:r>
      <w:r w:rsidRPr="00BC48A3">
        <w:t>= 1.0, 1.2, 1.4, 1.6, and 1.8.; fourth row (p),(q), (r),(s)</w:t>
      </w:r>
      <w:r w:rsidRPr="00C1328C">
        <w:t xml:space="preserve"> </w:t>
      </w:r>
      <w:r>
        <w:t>, and</w:t>
      </w:r>
      <w:r w:rsidRPr="00BC48A3">
        <w:t xml:space="preserve"> (t):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 xml:space="preserve"> vs. ε </m:t>
        </m:r>
      </m:oMath>
      <w:r w:rsidRPr="00BC48A3">
        <w:t xml:space="preserve">diagram for </w:t>
      </w:r>
      <w:r w:rsidRPr="00BC48A3">
        <w:rPr>
          <w:i/>
          <w:iCs/>
        </w:rPr>
        <w:t xml:space="preserve">m </w:t>
      </w:r>
      <w:r w:rsidRPr="00BC48A3">
        <w:t>= 1.0, 1.2, 1.4, 1.6, and 1.8.</w:t>
      </w:r>
    </w:p>
    <w:p w:rsidR="007017E0" w:rsidRPr="00C1328C" w:rsidRDefault="007017E0" w:rsidP="007017E0"/>
    <w:p w:rsidR="007017E0" w:rsidRPr="00BC48A3" w:rsidRDefault="007017E0" w:rsidP="007017E0">
      <w:pPr>
        <w:adjustRightInd w:val="0"/>
        <w:snapToGrid w:val="0"/>
        <w:spacing w:line="480" w:lineRule="auto"/>
        <w:rPr>
          <w:sz w:val="24"/>
          <w:szCs w:val="24"/>
        </w:rPr>
      </w:pPr>
      <w:r w:rsidRPr="00BC48A3">
        <w:rPr>
          <w:sz w:val="24"/>
          <w:szCs w:val="24"/>
        </w:rPr>
        <w:t>Fig. S-1 shows the preliminary parameter study for the essential factors.</w:t>
      </w:r>
    </w:p>
    <w:p w:rsidR="007017E0" w:rsidRPr="00BC48A3" w:rsidRDefault="007017E0" w:rsidP="007017E0">
      <w:pPr>
        <w:adjustRightInd w:val="0"/>
        <w:snapToGrid w:val="0"/>
        <w:spacing w:line="480" w:lineRule="auto"/>
        <w:ind w:firstLineChars="50" w:firstLine="120"/>
        <w:rPr>
          <w:sz w:val="24"/>
          <w:szCs w:val="24"/>
        </w:rPr>
      </w:pPr>
      <w:r w:rsidRPr="00BC48A3">
        <w:rPr>
          <w:sz w:val="24"/>
          <w:szCs w:val="24"/>
        </w:rPr>
        <w:t xml:space="preserve">In the orchard, </w:t>
      </w:r>
      <w:r w:rsidRPr="00BC48A3">
        <w:rPr>
          <w:i/>
          <w:sz w:val="24"/>
          <w:szCs w:val="24"/>
        </w:rPr>
        <w:t>F</w:t>
      </w:r>
      <w:r w:rsidRPr="00BC48A3">
        <w:rPr>
          <w:sz w:val="24"/>
          <w:szCs w:val="24"/>
          <w:vertAlign w:val="subscript"/>
        </w:rPr>
        <w:t>IN</w:t>
      </w:r>
      <w:r w:rsidRPr="00BC48A3">
        <w:rPr>
          <w:sz w:val="24"/>
          <w:szCs w:val="24"/>
        </w:rPr>
        <w:t xml:space="preserve"> ranges from 0.92 to 0.7 in the west-east direction. As shown in the panels of the third and last rows, both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Pr="00BC48A3">
        <w:rPr>
          <w:sz w:val="24"/>
          <w:szCs w:val="24"/>
        </w:rPr>
        <w:t xml:space="preserve"> and </w:t>
      </w:r>
      <m:oMath>
        <m:r>
          <w:rPr>
            <w:rFonts w:ascii="Cambria Math" w:hAnsi="Cambria Math"/>
            <w:sz w:val="24"/>
            <w:szCs w:val="24"/>
          </w:rPr>
          <m:t>ε</m:t>
        </m:r>
      </m:oMath>
      <w:r w:rsidRPr="00BC48A3">
        <w:rPr>
          <w:sz w:val="24"/>
          <w:szCs w:val="24"/>
        </w:rPr>
        <w:t xml:space="preserve"> do not affect the </w:t>
      </w:r>
      <w:r w:rsidRPr="00BC48A3">
        <w:rPr>
          <w:i/>
          <w:sz w:val="24"/>
          <w:szCs w:val="24"/>
        </w:rPr>
        <w:t>F</w:t>
      </w:r>
      <w:r w:rsidRPr="00BC48A3">
        <w:rPr>
          <w:sz w:val="24"/>
          <w:szCs w:val="24"/>
          <w:vertAlign w:val="subscript"/>
        </w:rPr>
        <w:t>IN</w:t>
      </w:r>
      <w:r w:rsidRPr="00BC48A3">
        <w:rPr>
          <w:sz w:val="24"/>
          <w:szCs w:val="24"/>
        </w:rPr>
        <w:t xml:space="preserve"> range of the orchard (i.e. </w:t>
      </w:r>
      <w:r w:rsidRPr="00BC48A3">
        <w:rPr>
          <w:i/>
          <w:sz w:val="24"/>
          <w:szCs w:val="24"/>
        </w:rPr>
        <w:t>F</w:t>
      </w:r>
      <w:r w:rsidRPr="00BC48A3">
        <w:rPr>
          <w:sz w:val="24"/>
          <w:szCs w:val="24"/>
          <w:vertAlign w:val="subscript"/>
        </w:rPr>
        <w:t>IN</w:t>
      </w:r>
      <w:r w:rsidRPr="00BC48A3">
        <w:rPr>
          <w:sz w:val="24"/>
          <w:szCs w:val="24"/>
        </w:rPr>
        <w:t xml:space="preserve"> =[0.92, 0.7]). Since </w:t>
      </w:r>
      <w:r w:rsidRPr="00BC48A3">
        <w:rPr>
          <w:i/>
          <w:sz w:val="24"/>
          <w:szCs w:val="24"/>
        </w:rPr>
        <w:t>m</w:t>
      </w:r>
      <w:r w:rsidRPr="00BC48A3">
        <w:rPr>
          <w:sz w:val="24"/>
          <w:szCs w:val="24"/>
        </w:rPr>
        <w:t xml:space="preserve"> is the only parameter changing </w:t>
      </w:r>
      <w:r w:rsidRPr="00BC48A3">
        <w:rPr>
          <w:i/>
          <w:sz w:val="24"/>
          <w:szCs w:val="24"/>
        </w:rPr>
        <w:t>F</w:t>
      </w:r>
      <w:r w:rsidRPr="00BC48A3">
        <w:rPr>
          <w:sz w:val="24"/>
          <w:szCs w:val="24"/>
          <w:vertAlign w:val="subscript"/>
        </w:rPr>
        <w:t>IN</w:t>
      </w:r>
      <w:r w:rsidRPr="00BC48A3">
        <w:rPr>
          <w:sz w:val="24"/>
          <w:szCs w:val="24"/>
        </w:rPr>
        <w:t xml:space="preserve"> in that range </w:t>
      </w:r>
      <w:r w:rsidRPr="00BC48A3">
        <w:rPr>
          <w:sz w:val="24"/>
          <w:szCs w:val="24"/>
        </w:rPr>
        <w:lastRenderedPageBreak/>
        <w:t xml:space="preserve">(i.e. 0.92 to 0.7), we assume that </w:t>
      </w:r>
      <w:r w:rsidRPr="00BC48A3">
        <w:rPr>
          <w:i/>
          <w:sz w:val="24"/>
          <w:szCs w:val="24"/>
        </w:rPr>
        <w:t>m</w:t>
      </w:r>
      <w:r w:rsidRPr="00BC48A3">
        <w:rPr>
          <w:sz w:val="24"/>
          <w:szCs w:val="24"/>
        </w:rPr>
        <w:t xml:space="preserve"> changes spatially from west to east. The cropping coefficient </w:t>
      </w:r>
      <w:r w:rsidRPr="00BC48A3">
        <w:rPr>
          <w:i/>
          <w:sz w:val="24"/>
          <w:szCs w:val="24"/>
        </w:rPr>
        <w:t>m</w:t>
      </w:r>
      <w:r w:rsidRPr="00BC48A3">
        <w:rPr>
          <w:sz w:val="24"/>
          <w:szCs w:val="24"/>
        </w:rPr>
        <w:t xml:space="preserve"> is the control parameter of the RBM, which depends on plant species. Common noise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</m:oMath>
      <w:r w:rsidRPr="00BC48A3">
        <w:rPr>
          <w:sz w:val="24"/>
          <w:szCs w:val="24"/>
        </w:rPr>
        <w:t xml:space="preserve"> and the local direct coupling </w:t>
      </w:r>
      <w:r w:rsidRPr="00BC48A3">
        <w:rPr>
          <w:rFonts w:ascii="Symbol" w:hAnsi="Symbol"/>
          <w:i/>
          <w:sz w:val="24"/>
          <w:szCs w:val="24"/>
        </w:rPr>
        <w:t></w:t>
      </w:r>
      <w:r w:rsidRPr="00BC48A3">
        <w:rPr>
          <w:sz w:val="24"/>
          <w:szCs w:val="24"/>
        </w:rPr>
        <w:t xml:space="preserve"> vary depending on meteorological environments and the state of the root network developments of the orchards, respectively. Therefore, </w:t>
      </w:r>
      <w:r w:rsidRPr="00BC48A3">
        <w:rPr>
          <w:i/>
          <w:sz w:val="24"/>
          <w:szCs w:val="24"/>
        </w:rPr>
        <w:t>F</w:t>
      </w:r>
      <w:r w:rsidRPr="00BC48A3">
        <w:rPr>
          <w:sz w:val="24"/>
          <w:szCs w:val="24"/>
          <w:vertAlign w:val="subscript"/>
        </w:rPr>
        <w:t>IN</w:t>
      </w:r>
      <w:r w:rsidRPr="00BC48A3">
        <w:rPr>
          <w:sz w:val="24"/>
          <w:szCs w:val="24"/>
        </w:rPr>
        <w:t xml:space="preserve"> is considered as a function of </w:t>
      </w:r>
      <w:r w:rsidRPr="00BC48A3">
        <w:rPr>
          <w:i/>
          <w:sz w:val="24"/>
          <w:szCs w:val="24"/>
        </w:rPr>
        <w:t>m</w:t>
      </w:r>
      <w:r w:rsidRPr="00BC48A3">
        <w:rPr>
          <w:sz w:val="24"/>
          <w:szCs w:val="24"/>
        </w:rPr>
        <w:t xml:space="preserve"> accompanied with endogenous and exogenous parameters;</w:t>
      </w:r>
      <w:r w:rsidRPr="00BC48A3">
        <w:rPr>
          <w:rFonts w:ascii="Symbol" w:hAnsi="Symbol"/>
          <w:i/>
          <w:sz w:val="24"/>
          <w:szCs w:val="24"/>
        </w:rPr>
        <w:t></w:t>
      </w:r>
      <w:r w:rsidRPr="00BC48A3">
        <w:rPr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</m:oMath>
      <w:r w:rsidRPr="00BC48A3">
        <w:rPr>
          <w:sz w:val="24"/>
          <w:szCs w:val="24"/>
        </w:rPr>
        <w:t xml:space="preserve"> respectively. For all panels of Fig. S-1, the phase synchronisations are enhanced by local coupling </w:t>
      </w:r>
      <w:r w:rsidRPr="00BC48A3">
        <w:rPr>
          <w:rFonts w:ascii="Symbol" w:hAnsi="Symbol"/>
          <w:i/>
          <w:sz w:val="24"/>
          <w:szCs w:val="24"/>
        </w:rPr>
        <w:t></w:t>
      </w:r>
      <w:r w:rsidRPr="00BC48A3">
        <w:rPr>
          <w:sz w:val="24"/>
          <w:szCs w:val="24"/>
        </w:rPr>
        <w:t xml:space="preserve">. As exhibited in Figs. S-1(f) and (g) later, </w:t>
      </w:r>
      <w:r w:rsidRPr="00BC48A3">
        <w:rPr>
          <w:rFonts w:ascii="Symbol" w:hAnsi="Symbol"/>
          <w:i/>
          <w:sz w:val="24"/>
          <w:szCs w:val="24"/>
        </w:rPr>
        <w:t></w:t>
      </w:r>
      <w:r w:rsidRPr="00BC48A3">
        <w:rPr>
          <w:sz w:val="24"/>
          <w:szCs w:val="24"/>
        </w:rPr>
        <w:t xml:space="preserve"> larger than 0.2 cannot satisfy the feature observed in the spatial correlation of the orchard. Common noise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</m:oMath>
      <w:r w:rsidRPr="00BC48A3">
        <w:rPr>
          <w:sz w:val="24"/>
          <w:szCs w:val="24"/>
        </w:rPr>
        <w:t xml:space="preserve"> enhances phase synchronisation, however, an 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</m:oMath>
      <w:r w:rsidRPr="00BC48A3">
        <w:rPr>
          <w:sz w:val="24"/>
          <w:szCs w:val="24"/>
        </w:rPr>
        <w:t xml:space="preserve"> higher than 0.2 does not increase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IN</m:t>
            </m:r>
          </m:sub>
        </m:sSub>
      </m:oMath>
      <w:r w:rsidRPr="00BC48A3">
        <w:rPr>
          <w:sz w:val="24"/>
          <w:szCs w:val="24"/>
        </w:rPr>
        <w:t xml:space="preserve"> significantly.  </w:t>
      </w:r>
    </w:p>
    <w:p w:rsidR="007017E0" w:rsidRPr="00BC48A3" w:rsidRDefault="007017E0" w:rsidP="007017E0">
      <w:pPr>
        <w:adjustRightInd w:val="0"/>
        <w:snapToGrid w:val="0"/>
        <w:spacing w:line="480" w:lineRule="auto"/>
        <w:ind w:firstLineChars="50" w:firstLine="120"/>
        <w:rPr>
          <w:sz w:val="24"/>
          <w:szCs w:val="24"/>
        </w:rPr>
      </w:pPr>
      <w:r w:rsidRPr="00BC48A3">
        <w:rPr>
          <w:sz w:val="24"/>
          <w:szCs w:val="24"/>
        </w:rPr>
        <w:t>Summarising the results and considerations above, we estimate the ranges of the three essential parameters i.e. common noise (</w:t>
      </w:r>
      <m:oMath>
        <m:sSub>
          <m:sSub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</m:oMath>
      <w:r w:rsidRPr="00BC48A3">
        <w:rPr>
          <w:sz w:val="24"/>
          <w:szCs w:val="24"/>
        </w:rPr>
        <w:t xml:space="preserve"> = 0.2~0.3), local coupling (</w:t>
      </w:r>
      <w:r w:rsidRPr="00BC48A3">
        <w:rPr>
          <w:rFonts w:ascii="Symbol" w:hAnsi="Symbol"/>
          <w:i/>
          <w:sz w:val="24"/>
          <w:szCs w:val="24"/>
        </w:rPr>
        <w:t></w:t>
      </w:r>
      <w:r w:rsidRPr="00BC48A3">
        <w:rPr>
          <w:rFonts w:ascii="Symbol" w:hAnsi="Symbol"/>
          <w:i/>
          <w:sz w:val="24"/>
          <w:szCs w:val="24"/>
        </w:rPr>
        <w:t></w:t>
      </w:r>
      <w:r w:rsidRPr="00BC48A3">
        <w:rPr>
          <w:sz w:val="24"/>
          <w:szCs w:val="24"/>
        </w:rPr>
        <w:t>= 0.1) and cropping coefficient (m = 1~1.6, west to east) as general approximation values.</w:t>
      </w:r>
    </w:p>
    <w:p w:rsidR="007017E0" w:rsidRPr="00BC48A3" w:rsidRDefault="007017E0" w:rsidP="007017E0">
      <w:pPr>
        <w:rPr>
          <w:sz w:val="24"/>
          <w:szCs w:val="24"/>
        </w:rPr>
      </w:pPr>
    </w:p>
    <w:sectPr w:rsidR="007017E0" w:rsidRPr="00BC48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B211DB"/>
    <w:multiLevelType w:val="hybridMultilevel"/>
    <w:tmpl w:val="3042A6F8"/>
    <w:lvl w:ilvl="0" w:tplc="4CDE523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7E0"/>
    <w:rsid w:val="001F478A"/>
    <w:rsid w:val="00407737"/>
    <w:rsid w:val="005D3FE7"/>
    <w:rsid w:val="00615190"/>
    <w:rsid w:val="007017E0"/>
    <w:rsid w:val="00A051FE"/>
    <w:rsid w:val="00DC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E0BB64"/>
  <w15:chartTrackingRefBased/>
  <w15:docId w15:val="{9DF782C5-F8FB-404A-BF76-40E4666F9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7E0"/>
    <w:rPr>
      <w:rFonts w:ascii="Times New Roman" w:eastAsia="ＭＳ 明朝" w:hAnsi="Times New Roman" w:cs="Times New Roman"/>
      <w:kern w:val="20"/>
      <w:sz w:val="2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7E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ken</cp:lastModifiedBy>
  <cp:revision>3</cp:revision>
  <dcterms:created xsi:type="dcterms:W3CDTF">2021-09-02T03:09:00Z</dcterms:created>
  <dcterms:modified xsi:type="dcterms:W3CDTF">2021-09-02T03:27:00Z</dcterms:modified>
</cp:coreProperties>
</file>