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9059C" w14:textId="77777777" w:rsidR="00B242BB" w:rsidRPr="004D5C0A" w:rsidRDefault="00B242BB" w:rsidP="00B242BB">
      <w:pPr>
        <w:rPr>
          <w:rFonts w:ascii="Arial" w:hAnsi="Arial" w:cs="Arial"/>
          <w:b/>
          <w:bCs/>
          <w:sz w:val="24"/>
          <w:szCs w:val="24"/>
        </w:rPr>
      </w:pPr>
      <w:r w:rsidRPr="004D5C0A">
        <w:rPr>
          <w:rFonts w:ascii="Arial" w:hAnsi="Arial" w:cs="Arial" w:hint="eastAsia"/>
          <w:b/>
          <w:bCs/>
          <w:sz w:val="24"/>
          <w:szCs w:val="24"/>
        </w:rPr>
        <w:t xml:space="preserve">Supplementary </w:t>
      </w:r>
      <w:r w:rsidRPr="004D5C0A">
        <w:rPr>
          <w:rFonts w:ascii="Arial" w:hAnsi="Arial" w:cs="Arial"/>
          <w:b/>
          <w:bCs/>
          <w:sz w:val="24"/>
          <w:szCs w:val="24"/>
        </w:rPr>
        <w:t>Fig</w:t>
      </w:r>
      <w:r w:rsidRPr="004D5C0A">
        <w:rPr>
          <w:rFonts w:ascii="Arial" w:hAnsi="Arial" w:cs="Arial" w:hint="eastAsia"/>
          <w:b/>
          <w:bCs/>
          <w:sz w:val="24"/>
          <w:szCs w:val="24"/>
        </w:rPr>
        <w:t>ure</w:t>
      </w:r>
      <w:r w:rsidRPr="004D5C0A">
        <w:rPr>
          <w:rFonts w:ascii="Arial" w:hAnsi="Arial" w:cs="Arial"/>
          <w:b/>
          <w:bCs/>
          <w:sz w:val="24"/>
          <w:szCs w:val="24"/>
        </w:rPr>
        <w:t xml:space="preserve"> Legends</w:t>
      </w:r>
    </w:p>
    <w:p w14:paraId="4C790405" w14:textId="77777777" w:rsidR="00B242BB" w:rsidRPr="004D5C0A" w:rsidRDefault="00B242BB" w:rsidP="00B242BB">
      <w:pPr>
        <w:rPr>
          <w:rFonts w:ascii="Arial" w:hAnsi="Arial" w:cs="Arial"/>
          <w:b/>
          <w:bCs/>
          <w:szCs w:val="21"/>
        </w:rPr>
      </w:pPr>
      <w:bookmarkStart w:id="0" w:name="_Hlk213947157"/>
      <w:r w:rsidRPr="004D5C0A">
        <w:rPr>
          <w:rFonts w:ascii="Arial" w:hAnsi="Arial" w:cs="Arial"/>
          <w:b/>
          <w:bCs/>
          <w:szCs w:val="21"/>
        </w:rPr>
        <w:t>Supplementary Fig</w:t>
      </w:r>
      <w:r w:rsidRPr="004D5C0A">
        <w:rPr>
          <w:rFonts w:ascii="Arial" w:hAnsi="Arial" w:cs="Arial" w:hint="eastAsia"/>
          <w:b/>
          <w:bCs/>
          <w:szCs w:val="21"/>
        </w:rPr>
        <w:t>ure</w:t>
      </w:r>
      <w:r w:rsidRPr="004D5C0A">
        <w:rPr>
          <w:rFonts w:ascii="Arial" w:hAnsi="Arial" w:cs="Arial"/>
          <w:b/>
          <w:bCs/>
          <w:szCs w:val="21"/>
        </w:rPr>
        <w:t xml:space="preserve"> 1</w:t>
      </w:r>
      <w:r w:rsidRPr="004D5C0A">
        <w:rPr>
          <w:rFonts w:ascii="Arial" w:hAnsi="Arial" w:cs="Arial" w:hint="eastAsia"/>
          <w:b/>
          <w:bCs/>
          <w:szCs w:val="21"/>
        </w:rPr>
        <w:t>. C</w:t>
      </w:r>
      <w:r w:rsidRPr="004D5C0A">
        <w:rPr>
          <w:rFonts w:ascii="Arial" w:hAnsi="Arial" w:cs="Arial"/>
          <w:b/>
          <w:bCs/>
          <w:szCs w:val="21"/>
        </w:rPr>
        <w:t xml:space="preserve">hemical composition analysis of </w:t>
      </w:r>
      <w:r w:rsidRPr="004D5C0A">
        <w:rPr>
          <w:rFonts w:ascii="Arial" w:hAnsi="Arial" w:cs="Arial" w:hint="eastAsia"/>
          <w:b/>
          <w:bCs/>
          <w:szCs w:val="21"/>
        </w:rPr>
        <w:t>GS</w:t>
      </w:r>
      <w:r w:rsidRPr="004D5C0A">
        <w:rPr>
          <w:rFonts w:ascii="Arial" w:hAnsi="Arial" w:cs="Arial"/>
          <w:b/>
          <w:bCs/>
          <w:szCs w:val="21"/>
        </w:rPr>
        <w:t>.</w:t>
      </w:r>
      <w:r w:rsidRPr="004D5C0A">
        <w:rPr>
          <w:rFonts w:ascii="Arial" w:hAnsi="Arial" w:cs="Arial" w:hint="eastAsia"/>
          <w:b/>
          <w:bCs/>
          <w:szCs w:val="21"/>
        </w:rPr>
        <w:t xml:space="preserve"> </w:t>
      </w:r>
    </w:p>
    <w:p w14:paraId="599BFF31" w14:textId="77777777" w:rsidR="00B242BB" w:rsidRPr="004D5C0A" w:rsidRDefault="00B242BB" w:rsidP="00B242BB">
      <w:pPr>
        <w:rPr>
          <w:rFonts w:ascii="Arial" w:hAnsi="Arial" w:cs="Arial"/>
          <w:szCs w:val="21"/>
        </w:rPr>
      </w:pPr>
      <w:r w:rsidRPr="004D5C0A">
        <w:rPr>
          <w:rFonts w:ascii="Arial" w:hAnsi="Arial" w:cs="Arial" w:hint="eastAsia"/>
          <w:szCs w:val="21"/>
        </w:rPr>
        <w:t>(</w:t>
      </w:r>
      <w:r w:rsidRPr="004D5C0A">
        <w:rPr>
          <w:rFonts w:ascii="Arial" w:hAnsi="Arial" w:cs="Arial"/>
          <w:szCs w:val="21"/>
        </w:rPr>
        <w:t>A</w:t>
      </w:r>
      <w:r w:rsidRPr="004D5C0A">
        <w:rPr>
          <w:rFonts w:ascii="Arial" w:hAnsi="Arial" w:cs="Arial" w:hint="eastAsia"/>
          <w:szCs w:val="21"/>
        </w:rPr>
        <w:t>)</w:t>
      </w:r>
      <w:r w:rsidRPr="004D5C0A">
        <w:rPr>
          <w:rFonts w:ascii="Arial" w:hAnsi="Arial" w:cs="Arial"/>
          <w:szCs w:val="21"/>
        </w:rPr>
        <w:t xml:space="preserve"> Total ion chromatogram (TIC) of GS.</w:t>
      </w:r>
      <w:r w:rsidRPr="004D5C0A">
        <w:rPr>
          <w:rFonts w:ascii="Arial" w:hAnsi="Arial" w:cs="Arial" w:hint="eastAsia"/>
          <w:szCs w:val="21"/>
        </w:rPr>
        <w:t xml:space="preserve">  </w:t>
      </w:r>
      <w:r w:rsidRPr="004D5C0A">
        <w:rPr>
          <w:rFonts w:ascii="Arial" w:hAnsi="Arial" w:cs="Arial"/>
          <w:szCs w:val="21"/>
        </w:rPr>
        <w:t>(B) Mass spectrum of the primary fragment ions of GsRe.</w:t>
      </w:r>
      <w:r w:rsidRPr="004D5C0A">
        <w:rPr>
          <w:rFonts w:ascii="Arial" w:hAnsi="Arial" w:cs="Arial" w:hint="eastAsia"/>
          <w:szCs w:val="21"/>
        </w:rPr>
        <w:t xml:space="preserve">  </w:t>
      </w:r>
      <w:r w:rsidRPr="004D5C0A">
        <w:rPr>
          <w:rFonts w:ascii="Arial" w:hAnsi="Arial" w:cs="Arial"/>
          <w:szCs w:val="21"/>
        </w:rPr>
        <w:t>(C) Mass spectrum of the secondary fragment ions of GsRe.</w:t>
      </w:r>
    </w:p>
    <w:bookmarkEnd w:id="0"/>
    <w:p w14:paraId="5099F0AA" w14:textId="77777777" w:rsidR="00B242BB" w:rsidRPr="004D5C0A" w:rsidRDefault="00B242BB" w:rsidP="00B242BB">
      <w:pPr>
        <w:rPr>
          <w:rFonts w:ascii="Arial" w:hAnsi="Arial" w:cs="Arial"/>
          <w:szCs w:val="21"/>
        </w:rPr>
      </w:pPr>
    </w:p>
    <w:p w14:paraId="3CB278E2" w14:textId="77777777" w:rsidR="00B242BB" w:rsidRPr="004D5C0A" w:rsidRDefault="00B242BB" w:rsidP="00B242BB">
      <w:pPr>
        <w:rPr>
          <w:rFonts w:ascii="Arial" w:hAnsi="Arial" w:cs="Arial"/>
          <w:b/>
          <w:bCs/>
          <w:szCs w:val="21"/>
        </w:rPr>
      </w:pPr>
      <w:bookmarkStart w:id="1" w:name="_Hlk213947177"/>
      <w:r w:rsidRPr="004D5C0A">
        <w:rPr>
          <w:rFonts w:ascii="Arial" w:hAnsi="Arial" w:cs="Arial"/>
          <w:b/>
          <w:bCs/>
          <w:szCs w:val="21"/>
        </w:rPr>
        <w:t>Supplementary Fig</w:t>
      </w:r>
      <w:r w:rsidRPr="004D5C0A">
        <w:rPr>
          <w:rFonts w:ascii="Arial" w:hAnsi="Arial" w:cs="Arial" w:hint="eastAsia"/>
          <w:b/>
          <w:bCs/>
          <w:szCs w:val="21"/>
        </w:rPr>
        <w:t>ure</w:t>
      </w:r>
      <w:r w:rsidRPr="004D5C0A">
        <w:rPr>
          <w:rFonts w:ascii="Arial" w:hAnsi="Arial" w:cs="Arial"/>
          <w:b/>
          <w:bCs/>
          <w:szCs w:val="21"/>
        </w:rPr>
        <w:t xml:space="preserve"> </w:t>
      </w:r>
      <w:r w:rsidRPr="004D5C0A">
        <w:rPr>
          <w:rFonts w:ascii="Arial" w:hAnsi="Arial" w:cs="Arial" w:hint="eastAsia"/>
          <w:b/>
          <w:bCs/>
          <w:szCs w:val="21"/>
        </w:rPr>
        <w:t>2</w:t>
      </w:r>
      <w:r w:rsidRPr="004D5C0A">
        <w:rPr>
          <w:rFonts w:ascii="Arial" w:hAnsi="Arial" w:cs="Arial"/>
          <w:b/>
          <w:bCs/>
          <w:szCs w:val="21"/>
        </w:rPr>
        <w:t xml:space="preserve">. Protective effects of individual </w:t>
      </w:r>
      <w:r w:rsidRPr="004D5C0A">
        <w:rPr>
          <w:rFonts w:ascii="Arial" w:hAnsi="Arial" w:cs="Arial" w:hint="eastAsia"/>
          <w:b/>
          <w:bCs/>
          <w:szCs w:val="21"/>
        </w:rPr>
        <w:t xml:space="preserve">GS </w:t>
      </w:r>
      <w:r w:rsidRPr="004D5C0A">
        <w:rPr>
          <w:rFonts w:ascii="Arial" w:hAnsi="Arial" w:cs="Arial"/>
          <w:b/>
          <w:bCs/>
          <w:szCs w:val="21"/>
        </w:rPr>
        <w:t>monomers against MPP</w:t>
      </w:r>
      <w:r w:rsidRPr="004D5C0A">
        <w:rPr>
          <w:rFonts w:ascii="Cambria Math" w:hAnsi="Cambria Math" w:cs="Cambria Math"/>
          <w:b/>
          <w:bCs/>
          <w:szCs w:val="21"/>
        </w:rPr>
        <w:t>⁺</w:t>
      </w:r>
      <w:r w:rsidRPr="004D5C0A">
        <w:rPr>
          <w:rFonts w:ascii="Arial" w:hAnsi="Arial" w:cs="Arial" w:hint="eastAsia"/>
          <w:b/>
          <w:bCs/>
          <w:szCs w:val="21"/>
        </w:rPr>
        <w:t xml:space="preserve"> </w:t>
      </w:r>
      <w:r w:rsidRPr="004D5C0A">
        <w:rPr>
          <w:rFonts w:ascii="Arial" w:hAnsi="Arial" w:cs="Arial"/>
          <w:b/>
          <w:bCs/>
          <w:szCs w:val="21"/>
        </w:rPr>
        <w:t>induced neuronal cell injury: an in</w:t>
      </w:r>
      <w:r w:rsidRPr="004D5C0A">
        <w:rPr>
          <w:rFonts w:ascii="Arial" w:hAnsi="Arial" w:cs="Arial" w:hint="eastAsia"/>
          <w:b/>
          <w:bCs/>
          <w:szCs w:val="21"/>
        </w:rPr>
        <w:t xml:space="preserve"> </w:t>
      </w:r>
      <w:r w:rsidRPr="004D5C0A">
        <w:rPr>
          <w:rFonts w:ascii="Arial" w:hAnsi="Arial" w:cs="Arial"/>
          <w:b/>
          <w:bCs/>
          <w:szCs w:val="21"/>
        </w:rPr>
        <w:t>vitro screening approach.</w:t>
      </w:r>
      <w:r w:rsidRPr="004D5C0A">
        <w:rPr>
          <w:rFonts w:ascii="Arial" w:hAnsi="Arial" w:cs="Arial" w:hint="eastAsia"/>
          <w:b/>
          <w:bCs/>
          <w:szCs w:val="21"/>
        </w:rPr>
        <w:t xml:space="preserve"> </w:t>
      </w:r>
    </w:p>
    <w:p w14:paraId="25D448C0" w14:textId="77777777" w:rsidR="00B242BB" w:rsidRPr="004D5C0A" w:rsidRDefault="00B242BB" w:rsidP="00B242BB">
      <w:pPr>
        <w:rPr>
          <w:rFonts w:ascii="Arial" w:hAnsi="Arial" w:cs="Arial"/>
          <w:b/>
          <w:bCs/>
          <w:szCs w:val="21"/>
        </w:rPr>
      </w:pPr>
      <w:r w:rsidRPr="004D5C0A">
        <w:rPr>
          <w:rFonts w:ascii="Arial" w:hAnsi="Arial" w:cs="Arial"/>
          <w:szCs w:val="21"/>
        </w:rPr>
        <w:t>(A) Effect of different MPP</w:t>
      </w:r>
      <w:r w:rsidRPr="004D5C0A">
        <w:rPr>
          <w:rFonts w:ascii="Cambria Math" w:hAnsi="Cambria Math" w:cs="Cambria Math"/>
          <w:szCs w:val="21"/>
        </w:rPr>
        <w:t>⁺</w:t>
      </w:r>
      <w:r w:rsidRPr="004D5C0A">
        <w:rPr>
          <w:rFonts w:ascii="Arial" w:hAnsi="Arial" w:cs="Arial"/>
          <w:szCs w:val="21"/>
        </w:rPr>
        <w:t xml:space="preserve"> concentrations on the viability of SH-SY5Y cells.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hAnsi="Arial" w:cs="Arial"/>
          <w:szCs w:val="21"/>
        </w:rPr>
        <w:t xml:space="preserve"> (B) Effects of total GS and individual </w:t>
      </w:r>
      <w:r w:rsidRPr="004D5C0A">
        <w:rPr>
          <w:rFonts w:ascii="Arial" w:hAnsi="Arial" w:cs="Arial" w:hint="eastAsia"/>
          <w:szCs w:val="21"/>
        </w:rPr>
        <w:t>GS</w:t>
      </w:r>
      <w:r w:rsidRPr="004D5C0A">
        <w:rPr>
          <w:rFonts w:ascii="Arial" w:hAnsi="Arial" w:cs="Arial"/>
          <w:szCs w:val="21"/>
        </w:rPr>
        <w:t xml:space="preserve"> monomers on SH-SY5Y cell viability at varying concentrations.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hAnsi="Arial" w:cs="Arial"/>
          <w:szCs w:val="21"/>
        </w:rPr>
        <w:t xml:space="preserve"> (C) Effects of total GS and individual </w:t>
      </w:r>
      <w:r w:rsidRPr="004D5C0A">
        <w:rPr>
          <w:rFonts w:ascii="Arial" w:hAnsi="Arial" w:cs="Arial" w:hint="eastAsia"/>
          <w:szCs w:val="21"/>
        </w:rPr>
        <w:t>GS</w:t>
      </w:r>
      <w:r w:rsidRPr="004D5C0A">
        <w:rPr>
          <w:rFonts w:ascii="Arial" w:hAnsi="Arial" w:cs="Arial"/>
          <w:szCs w:val="21"/>
        </w:rPr>
        <w:t xml:space="preserve"> monomers on MPP</w:t>
      </w:r>
      <w:r w:rsidRPr="004D5C0A">
        <w:rPr>
          <w:rFonts w:ascii="Cambria Math" w:hAnsi="Cambria Math" w:cs="Cambria Math"/>
          <w:szCs w:val="21"/>
        </w:rPr>
        <w:t>⁺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hAnsi="Arial" w:cs="Arial"/>
          <w:szCs w:val="21"/>
        </w:rPr>
        <w:t>induced cytotoxicity in SH-SY5Y cells at different concentrations. Compared with the MPTP group: *p &lt; 0.05, **p &lt; 0.01, ***p &lt; 0.001. ns, not s</w:t>
      </w:r>
      <w:r w:rsidRPr="004D5C0A">
        <w:rPr>
          <w:rFonts w:ascii="Arial" w:hAnsi="Arial" w:cs="Arial" w:hint="eastAsia"/>
          <w:szCs w:val="21"/>
        </w:rPr>
        <w:t>ignificant.</w:t>
      </w:r>
    </w:p>
    <w:bookmarkEnd w:id="1"/>
    <w:p w14:paraId="5BF7AEA3" w14:textId="77777777" w:rsidR="00B242BB" w:rsidRPr="004D5C0A" w:rsidRDefault="00B242BB" w:rsidP="00B242BB">
      <w:pPr>
        <w:rPr>
          <w:rFonts w:ascii="Arial" w:hAnsi="Arial" w:cs="Arial"/>
          <w:szCs w:val="21"/>
        </w:rPr>
      </w:pPr>
    </w:p>
    <w:p w14:paraId="47F38898" w14:textId="77777777" w:rsidR="00B242BB" w:rsidRPr="004D5C0A" w:rsidRDefault="00B242BB" w:rsidP="00B242BB">
      <w:pPr>
        <w:rPr>
          <w:rFonts w:ascii="Arial" w:hAnsi="Arial" w:cs="Arial"/>
          <w:b/>
          <w:bCs/>
          <w:szCs w:val="21"/>
        </w:rPr>
      </w:pPr>
      <w:bookmarkStart w:id="2" w:name="_Hlk213947186"/>
      <w:r w:rsidRPr="004D5C0A">
        <w:rPr>
          <w:rFonts w:ascii="Arial" w:hAnsi="Arial" w:cs="Arial"/>
          <w:b/>
          <w:bCs/>
          <w:szCs w:val="21"/>
        </w:rPr>
        <w:t>Supplementary Fig</w:t>
      </w:r>
      <w:r w:rsidRPr="004D5C0A">
        <w:rPr>
          <w:rFonts w:ascii="Arial" w:hAnsi="Arial" w:cs="Arial" w:hint="eastAsia"/>
          <w:b/>
          <w:bCs/>
          <w:szCs w:val="21"/>
        </w:rPr>
        <w:t>ure</w:t>
      </w:r>
      <w:r w:rsidRPr="004D5C0A">
        <w:rPr>
          <w:rFonts w:ascii="Arial" w:hAnsi="Arial" w:cs="Arial"/>
          <w:b/>
          <w:bCs/>
          <w:szCs w:val="21"/>
        </w:rPr>
        <w:t xml:space="preserve"> </w:t>
      </w:r>
      <w:r w:rsidRPr="004D5C0A">
        <w:rPr>
          <w:rFonts w:ascii="Arial" w:hAnsi="Arial" w:cs="Arial" w:hint="eastAsia"/>
          <w:b/>
          <w:bCs/>
          <w:szCs w:val="21"/>
        </w:rPr>
        <w:t xml:space="preserve">3. </w:t>
      </w:r>
      <w:r w:rsidRPr="004D5C0A">
        <w:rPr>
          <w:rFonts w:ascii="Arial" w:hAnsi="Arial" w:cs="Arial"/>
          <w:b/>
          <w:bCs/>
          <w:szCs w:val="21"/>
        </w:rPr>
        <w:t>Total ion chromatogram (TIC) of GsRe and DA.</w:t>
      </w:r>
      <w:r w:rsidRPr="004D5C0A">
        <w:rPr>
          <w:rFonts w:ascii="Arial" w:hAnsi="Arial" w:cs="Arial" w:hint="eastAsia"/>
          <w:b/>
          <w:bCs/>
          <w:szCs w:val="21"/>
        </w:rPr>
        <w:t xml:space="preserve"> </w:t>
      </w:r>
    </w:p>
    <w:p w14:paraId="64CBFFD7" w14:textId="77777777" w:rsidR="00B242BB" w:rsidRPr="004D5C0A" w:rsidRDefault="00B242BB" w:rsidP="00B242BB">
      <w:pPr>
        <w:rPr>
          <w:rFonts w:ascii="Arial" w:eastAsia="SimSun" w:hAnsi="Arial" w:cs="Arial"/>
          <w:szCs w:val="21"/>
          <w:lang w:val="pl-PL"/>
        </w:rPr>
      </w:pPr>
      <w:r w:rsidRPr="004D5C0A">
        <w:rPr>
          <w:rFonts w:ascii="Arial" w:eastAsia="SimSun" w:hAnsi="Arial" w:cs="Arial"/>
          <w:szCs w:val="21"/>
          <w:lang w:val="pl-PL"/>
        </w:rPr>
        <w:t>(A)DA (m/z</w:t>
      </w:r>
      <w:r w:rsidRPr="004D5C0A">
        <w:rPr>
          <w:rFonts w:ascii="Arial" w:eastAsia="SimSun" w:hAnsi="Arial" w:cs="Arial" w:hint="eastAsia"/>
          <w:szCs w:val="21"/>
          <w:lang w:val="pl-PL"/>
        </w:rPr>
        <w:t xml:space="preserve"> </w:t>
      </w:r>
      <w:r w:rsidRPr="004D5C0A">
        <w:rPr>
          <w:rFonts w:ascii="Arial" w:eastAsia="SimSun" w:hAnsi="Arial" w:cs="Arial"/>
          <w:szCs w:val="21"/>
          <w:lang w:val="pl-PL"/>
        </w:rPr>
        <w:t>154.196→91.127). (B)DHBA (m/z140.132→99.06). (C)Re (m/z</w:t>
      </w:r>
      <w:r w:rsidRPr="004D5C0A">
        <w:rPr>
          <w:rFonts w:ascii="Arial" w:eastAsia="SimSun" w:hAnsi="Arial" w:cs="Arial" w:hint="eastAsia"/>
          <w:szCs w:val="21"/>
          <w:lang w:val="pl-PL"/>
        </w:rPr>
        <w:t xml:space="preserve"> </w:t>
      </w:r>
      <w:r w:rsidRPr="004D5C0A">
        <w:rPr>
          <w:rFonts w:ascii="Arial" w:eastAsia="SimSun" w:hAnsi="Arial" w:cs="Arial"/>
          <w:szCs w:val="21"/>
          <w:lang w:val="pl-PL"/>
        </w:rPr>
        <w:t>954.813→475.639).</w:t>
      </w:r>
      <w:r w:rsidRPr="004D5C0A">
        <w:rPr>
          <w:rFonts w:ascii="Arial" w:eastAsia="SimSun" w:hAnsi="Arial" w:cs="Arial" w:hint="eastAsia"/>
          <w:szCs w:val="21"/>
          <w:lang w:val="pl-PL"/>
        </w:rPr>
        <w:t xml:space="preserve"> </w:t>
      </w:r>
      <w:r w:rsidRPr="004D5C0A">
        <w:rPr>
          <w:rFonts w:ascii="Arial" w:eastAsia="SimSun" w:hAnsi="Arial" w:cs="Arial"/>
          <w:szCs w:val="21"/>
          <w:lang w:val="pl-PL"/>
        </w:rPr>
        <w:t xml:space="preserve"> (</w:t>
      </w:r>
      <w:r w:rsidRPr="004D5C0A">
        <w:rPr>
          <w:rFonts w:ascii="Arial" w:eastAsia="SimSun" w:hAnsi="Arial" w:cs="Arial" w:hint="eastAsia"/>
          <w:szCs w:val="21"/>
          <w:lang w:val="pl-PL"/>
        </w:rPr>
        <w:t>D</w:t>
      </w:r>
      <w:r w:rsidRPr="004D5C0A">
        <w:rPr>
          <w:rFonts w:ascii="Arial" w:eastAsia="SimSun" w:hAnsi="Arial" w:cs="Arial"/>
          <w:szCs w:val="21"/>
          <w:lang w:val="pl-PL"/>
        </w:rPr>
        <w:t>)Rc (m/z</w:t>
      </w:r>
      <w:r w:rsidRPr="004D5C0A">
        <w:rPr>
          <w:rFonts w:ascii="Arial" w:eastAsia="SimSun" w:hAnsi="Arial" w:cs="Arial" w:hint="eastAsia"/>
          <w:szCs w:val="21"/>
          <w:lang w:val="pl-PL"/>
        </w:rPr>
        <w:t xml:space="preserve"> </w:t>
      </w:r>
      <w:r w:rsidRPr="004D5C0A">
        <w:rPr>
          <w:rFonts w:ascii="Arial" w:eastAsia="SimSun" w:hAnsi="Arial" w:cs="Arial"/>
          <w:szCs w:val="21"/>
          <w:lang w:val="pl-PL"/>
        </w:rPr>
        <w:t>1077.887→621.766).</w:t>
      </w:r>
    </w:p>
    <w:p w14:paraId="0122C608" w14:textId="77777777" w:rsidR="00B242BB" w:rsidRPr="004D5C0A" w:rsidRDefault="00B242BB" w:rsidP="00B242BB">
      <w:pPr>
        <w:rPr>
          <w:rFonts w:ascii="Arial" w:hAnsi="Arial" w:cs="Arial"/>
          <w:b/>
          <w:bCs/>
          <w:szCs w:val="21"/>
          <w:lang w:val="pl-PL"/>
        </w:rPr>
      </w:pPr>
      <w:bookmarkStart w:id="3" w:name="_Hlk213947167"/>
      <w:bookmarkEnd w:id="2"/>
    </w:p>
    <w:p w14:paraId="2E13DC1A" w14:textId="77777777" w:rsidR="00B242BB" w:rsidRPr="004D5C0A" w:rsidRDefault="00B242BB" w:rsidP="00B242BB">
      <w:pPr>
        <w:rPr>
          <w:rFonts w:ascii="Arial" w:hAnsi="Arial" w:cs="Arial"/>
          <w:b/>
          <w:bCs/>
          <w:szCs w:val="21"/>
        </w:rPr>
      </w:pPr>
      <w:r w:rsidRPr="004D5C0A">
        <w:rPr>
          <w:rFonts w:ascii="Arial" w:hAnsi="Arial" w:cs="Arial"/>
          <w:b/>
          <w:bCs/>
          <w:szCs w:val="21"/>
        </w:rPr>
        <w:t>Supplementary Fig</w:t>
      </w:r>
      <w:r w:rsidRPr="004D5C0A">
        <w:rPr>
          <w:rFonts w:ascii="Arial" w:hAnsi="Arial" w:cs="Arial" w:hint="eastAsia"/>
          <w:b/>
          <w:bCs/>
          <w:szCs w:val="21"/>
        </w:rPr>
        <w:t>ure</w:t>
      </w:r>
      <w:r w:rsidRPr="004D5C0A">
        <w:rPr>
          <w:rFonts w:ascii="Arial" w:hAnsi="Arial" w:cs="Arial"/>
          <w:b/>
          <w:bCs/>
          <w:szCs w:val="21"/>
        </w:rPr>
        <w:t xml:space="preserve"> </w:t>
      </w:r>
      <w:r w:rsidRPr="004D5C0A">
        <w:rPr>
          <w:rFonts w:ascii="Arial" w:hAnsi="Arial" w:cs="Arial" w:hint="eastAsia"/>
          <w:b/>
          <w:bCs/>
          <w:szCs w:val="21"/>
        </w:rPr>
        <w:t xml:space="preserve">4. Genotyping validation of the BDNF cKO mice models. </w:t>
      </w:r>
    </w:p>
    <w:p w14:paraId="4AEF97F4" w14:textId="77777777" w:rsidR="00B242BB" w:rsidRPr="004D5C0A" w:rsidRDefault="00B242BB" w:rsidP="00B242BB">
      <w:pPr>
        <w:rPr>
          <w:rFonts w:ascii="Arial" w:hAnsi="Arial" w:cs="Arial"/>
          <w:b/>
          <w:bCs/>
          <w:szCs w:val="21"/>
        </w:rPr>
      </w:pPr>
      <w:r w:rsidRPr="004D5C0A">
        <w:rPr>
          <w:rFonts w:ascii="Arial" w:hAnsi="Arial" w:cs="Arial"/>
          <w:szCs w:val="21"/>
        </w:rPr>
        <w:t>(A) Validation of knockout efficiency in BDNF cKO mice.</w:t>
      </w:r>
      <w:r w:rsidRPr="004D5C0A">
        <w:rPr>
          <w:rFonts w:ascii="Arial" w:hAnsi="Arial" w:cs="Arial" w:hint="eastAsia"/>
          <w:szCs w:val="21"/>
        </w:rPr>
        <w:t xml:space="preserve">  </w:t>
      </w:r>
      <w:r w:rsidRPr="004D5C0A">
        <w:rPr>
          <w:rFonts w:ascii="Arial" w:hAnsi="Arial" w:cs="Arial"/>
          <w:szCs w:val="21"/>
        </w:rPr>
        <w:t>(B) Genotyping identification of BDNF cKO mice.</w:t>
      </w:r>
      <w:r w:rsidRPr="004D5C0A">
        <w:rPr>
          <w:rFonts w:ascii="Arial" w:hAnsi="Arial" w:cs="Arial" w:hint="eastAsia"/>
          <w:szCs w:val="21"/>
        </w:rPr>
        <w:t xml:space="preserve">  </w:t>
      </w:r>
      <w:r w:rsidRPr="004D5C0A">
        <w:rPr>
          <w:rFonts w:ascii="Arial" w:hAnsi="Arial" w:cs="Arial"/>
          <w:szCs w:val="21"/>
        </w:rPr>
        <w:t>(C) Volcano plot analysis of BDNF expression in P</w:t>
      </w:r>
      <w:r w:rsidRPr="004D5C0A">
        <w:rPr>
          <w:rFonts w:ascii="Arial" w:hAnsi="Arial" w:cs="Arial" w:hint="eastAsia"/>
          <w:szCs w:val="21"/>
        </w:rPr>
        <w:t>D</w:t>
      </w:r>
      <w:r w:rsidRPr="004D5C0A">
        <w:rPr>
          <w:rFonts w:ascii="Arial" w:hAnsi="Arial" w:cs="Arial"/>
          <w:szCs w:val="21"/>
        </w:rPr>
        <w:t xml:space="preserve"> from the GSE49036 dataset.</w:t>
      </w:r>
    </w:p>
    <w:bookmarkEnd w:id="3"/>
    <w:p w14:paraId="64A54E0F" w14:textId="77777777" w:rsidR="00B242BB" w:rsidRPr="004D5C0A" w:rsidRDefault="00B242BB" w:rsidP="00B242BB">
      <w:pPr>
        <w:rPr>
          <w:rFonts w:ascii="Arial" w:hAnsi="Arial" w:cs="Arial"/>
          <w:szCs w:val="21"/>
        </w:rPr>
      </w:pPr>
    </w:p>
    <w:p w14:paraId="34B07283" w14:textId="77777777" w:rsidR="00B242BB" w:rsidRPr="004D5C0A" w:rsidRDefault="00B242BB" w:rsidP="00B242BB">
      <w:pPr>
        <w:rPr>
          <w:rFonts w:ascii="Arial" w:hAnsi="Arial" w:cs="Arial"/>
          <w:b/>
          <w:bCs/>
          <w:szCs w:val="21"/>
        </w:rPr>
      </w:pPr>
      <w:bookmarkStart w:id="4" w:name="_Hlk213947194"/>
      <w:r w:rsidRPr="004D5C0A">
        <w:rPr>
          <w:rFonts w:ascii="Arial" w:hAnsi="Arial" w:cs="Arial"/>
          <w:b/>
          <w:bCs/>
          <w:szCs w:val="21"/>
        </w:rPr>
        <w:t>Supplementary Fig</w:t>
      </w:r>
      <w:r w:rsidRPr="004D5C0A">
        <w:rPr>
          <w:rFonts w:ascii="Arial" w:hAnsi="Arial" w:cs="Arial" w:hint="eastAsia"/>
          <w:b/>
          <w:bCs/>
          <w:szCs w:val="21"/>
        </w:rPr>
        <w:t>ure</w:t>
      </w:r>
      <w:r w:rsidRPr="004D5C0A">
        <w:rPr>
          <w:rFonts w:ascii="Arial" w:hAnsi="Arial" w:cs="Arial"/>
          <w:b/>
          <w:bCs/>
          <w:szCs w:val="21"/>
        </w:rPr>
        <w:t xml:space="preserve"> 5</w:t>
      </w:r>
      <w:r w:rsidRPr="004D5C0A">
        <w:rPr>
          <w:rFonts w:ascii="Arial" w:hAnsi="Arial" w:cs="Arial" w:hint="eastAsia"/>
          <w:b/>
          <w:bCs/>
          <w:szCs w:val="21"/>
        </w:rPr>
        <w:t xml:space="preserve">. Proteomics </w:t>
      </w:r>
      <w:r w:rsidRPr="004D5C0A">
        <w:rPr>
          <w:rFonts w:ascii="Arial" w:hAnsi="Arial" w:cs="Arial"/>
          <w:b/>
          <w:bCs/>
          <w:szCs w:val="21"/>
        </w:rPr>
        <w:t>data quality control and differential expression analysis</w:t>
      </w:r>
      <w:r w:rsidRPr="004D5C0A">
        <w:rPr>
          <w:rFonts w:ascii="Arial" w:hAnsi="Arial" w:cs="Arial" w:hint="eastAsia"/>
          <w:b/>
          <w:bCs/>
          <w:szCs w:val="21"/>
        </w:rPr>
        <w:t xml:space="preserve">. </w:t>
      </w:r>
    </w:p>
    <w:p w14:paraId="7025D5FE" w14:textId="77777777" w:rsidR="00B242BB" w:rsidRPr="004D5C0A" w:rsidRDefault="00B242BB" w:rsidP="00B242BB">
      <w:pPr>
        <w:rPr>
          <w:rFonts w:ascii="Arial" w:hAnsi="Arial" w:cs="Arial"/>
          <w:szCs w:val="21"/>
        </w:rPr>
      </w:pPr>
      <w:r w:rsidRPr="004D5C0A">
        <w:rPr>
          <w:rFonts w:ascii="Arial" w:hAnsi="Arial" w:cs="Arial"/>
          <w:szCs w:val="21"/>
        </w:rPr>
        <w:t>(A) Peptide length distribution.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hAnsi="Arial" w:cs="Arial"/>
          <w:szCs w:val="21"/>
        </w:rPr>
        <w:t>(B) Peptide count distribution.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hAnsi="Arial" w:cs="Arial"/>
          <w:szCs w:val="21"/>
        </w:rPr>
        <w:t>(C) PCA of relative quantification values across all samples.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hAnsi="Arial" w:cs="Arial"/>
          <w:szCs w:val="21"/>
        </w:rPr>
        <w:t>(D) Statistical plot of differentially expressed proteins under varying thresholds.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hAnsi="Arial" w:cs="Arial"/>
          <w:szCs w:val="21"/>
        </w:rPr>
        <w:t>(E) Clustering heatmap of relative quantification values for all samples.</w:t>
      </w:r>
      <w:r w:rsidRPr="004D5C0A">
        <w:rPr>
          <w:rFonts w:ascii="Arial" w:eastAsia="DengXian" w:hAnsi="Arial" w:cs="Arial" w:hint="eastAsia"/>
        </w:rPr>
        <w:t xml:space="preserve"> </w:t>
      </w:r>
      <w:r w:rsidRPr="004D5C0A">
        <w:rPr>
          <w:rFonts w:ascii="Arial" w:hAnsi="Arial" w:cs="Arial"/>
          <w:szCs w:val="21"/>
        </w:rPr>
        <w:t>(</w:t>
      </w:r>
      <w:r w:rsidRPr="004D5C0A">
        <w:rPr>
          <w:rFonts w:ascii="Arial" w:hAnsi="Arial" w:cs="Arial" w:hint="eastAsia"/>
          <w:szCs w:val="21"/>
        </w:rPr>
        <w:t>F</w:t>
      </w:r>
      <w:r w:rsidRPr="004D5C0A">
        <w:rPr>
          <w:rFonts w:ascii="Arial" w:hAnsi="Arial" w:cs="Arial"/>
          <w:szCs w:val="21"/>
        </w:rPr>
        <w:t>)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eastAsia="DengXian" w:hAnsi="Arial" w:cs="Arial" w:hint="eastAsia"/>
        </w:rPr>
        <w:t>GO enrichment analysis of differentially expressed proteins in the BDNF cKO+ MPTP versus WT+ MPTP group comparison.</w:t>
      </w:r>
      <w:r w:rsidRPr="004D5C0A">
        <w:rPr>
          <w:rFonts w:ascii="Arial" w:hAnsi="Arial" w:cs="Arial"/>
          <w:szCs w:val="21"/>
        </w:rPr>
        <w:t xml:space="preserve"> (</w:t>
      </w:r>
      <w:r w:rsidRPr="004D5C0A">
        <w:rPr>
          <w:rFonts w:ascii="Arial" w:hAnsi="Arial" w:cs="Arial" w:hint="eastAsia"/>
          <w:szCs w:val="21"/>
        </w:rPr>
        <w:t>G</w:t>
      </w:r>
      <w:r w:rsidRPr="004D5C0A">
        <w:rPr>
          <w:rFonts w:ascii="Arial" w:hAnsi="Arial" w:cs="Arial"/>
          <w:szCs w:val="21"/>
        </w:rPr>
        <w:t>)</w:t>
      </w:r>
      <w:r w:rsidRPr="004D5C0A">
        <w:rPr>
          <w:rFonts w:ascii="Arial" w:hAnsi="Arial" w:cs="Arial" w:hint="eastAsia"/>
          <w:szCs w:val="21"/>
        </w:rPr>
        <w:t xml:space="preserve"> </w:t>
      </w:r>
      <w:r w:rsidRPr="004D5C0A">
        <w:rPr>
          <w:rFonts w:ascii="Arial" w:eastAsia="DengXian" w:hAnsi="Arial" w:cs="Arial" w:hint="eastAsia"/>
        </w:rPr>
        <w:t>GO enrichment analysis of differentially expressed proteins in the BDNF cKO Re versus BDNF cKO+ MPTP group comparison.</w:t>
      </w:r>
    </w:p>
    <w:bookmarkEnd w:id="4"/>
    <w:p w14:paraId="3871299F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2BB"/>
    <w:rsid w:val="00264C10"/>
    <w:rsid w:val="00470242"/>
    <w:rsid w:val="005B05E4"/>
    <w:rsid w:val="00726E03"/>
    <w:rsid w:val="009542D6"/>
    <w:rsid w:val="00B24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76CAE"/>
  <w15:chartTrackingRefBased/>
  <w15:docId w15:val="{0EF83BB7-6B6F-4B98-803A-C6EB1DBA6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2BB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42B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42B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2B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2B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2B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2B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2B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2B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2B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2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2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2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2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2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2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2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2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2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2B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2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2B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42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2BB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242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42BB"/>
    <w:pPr>
      <w:widowControl/>
      <w:spacing w:after="160" w:line="278" w:lineRule="auto"/>
      <w:ind w:left="720"/>
      <w:contextualSpacing/>
      <w:jc w:val="left"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242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2B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2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2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1600</Characters>
  <Application>Microsoft Office Word</Application>
  <DocSecurity>0</DocSecurity>
  <Lines>28</Lines>
  <Paragraphs>6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2026-03-18T17:16:00Z</dcterms:created>
  <dcterms:modified xsi:type="dcterms:W3CDTF">2026-03-18T17:17:00Z</dcterms:modified>
</cp:coreProperties>
</file>