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0A60" w14:textId="3593D876" w:rsidR="00652761" w:rsidRDefault="00B55E83" w:rsidP="00B55E83">
      <w:pPr>
        <w:pStyle w:val="Title"/>
      </w:pPr>
      <w:r>
        <w:t xml:space="preserve">Supplementary discussion on </w:t>
      </w:r>
      <w:r w:rsidR="00732936">
        <w:t>Methods:</w:t>
      </w:r>
    </w:p>
    <w:p w14:paraId="74C86702" w14:textId="77777777" w:rsidR="00B55E83" w:rsidRPr="00B55E83" w:rsidRDefault="00B55E83" w:rsidP="00467FB7">
      <w:pPr>
        <w:jc w:val="both"/>
        <w:rPr>
          <w:rStyle w:val="Heading1Char"/>
          <w:sz w:val="24"/>
          <w:szCs w:val="24"/>
        </w:rPr>
      </w:pPr>
      <w:r w:rsidRPr="00B55E83">
        <w:rPr>
          <w:rStyle w:val="Heading1Char"/>
          <w:sz w:val="24"/>
          <w:szCs w:val="24"/>
        </w:rPr>
        <w:t xml:space="preserve">Energy demand modelling: </w:t>
      </w:r>
    </w:p>
    <w:p w14:paraId="51EE5825" w14:textId="214F2843" w:rsidR="00467FB7" w:rsidRDefault="00467FB7" w:rsidP="00467FB7">
      <w:pPr>
        <w:jc w:val="both"/>
      </w:pPr>
      <w:r>
        <w:t xml:space="preserve">This study uses </w:t>
      </w:r>
      <w:proofErr w:type="spellStart"/>
      <w:r w:rsidRPr="00AD4548">
        <w:t>MESSAGEix</w:t>
      </w:r>
      <w:proofErr w:type="spellEnd"/>
      <w:r w:rsidRPr="00AD4548">
        <w:t xml:space="preserve"> model</w:t>
      </w:r>
      <w:r>
        <w:t xml:space="preserve"> to calculate the projected energy demand under ‘Reference’ and ‘LED’ scenarios for both India and UK. Based on data from these two scenarios, we calculate three co-benefits. We focus on two scenarios reflecting different implementation levels for demand-side energy efficiency strategies until 2050. In the reference scenario, continuation of current trends and policies is assumed, with moderate increase in energy efficiency levels. In the Low Energy Demand (LED) scenario, rapid acceleration of energy efficiency improvements and energy demand reductions takes place driven by technological innovation. Energy efficiency improvements in the LED scenario (Table 1) include, for the UK, nearly-zero energy standards for new buildings, deep renovation standards and doubling of current renovation rates for existing buildings, higher penetration of heat-pumps, switch to electricity, and improved efficiency of household appliances. In India, energy efficiency improvements include the implementation of passive solutions to improve thermal comfort and reduce the need for active cooling, such as cool roofs, shading, and building shell insulation, switching from air-conditioning to evaporative cooling in dry climatic zones, energy efficient heating and cooling systems, phase out of fossil fuels for cooking, and energy efficient household appliances.</w:t>
      </w:r>
    </w:p>
    <w:p w14:paraId="3FB85843" w14:textId="77777777" w:rsidR="00467FB7" w:rsidRDefault="00467FB7" w:rsidP="00467FB7">
      <w:pPr>
        <w:jc w:val="both"/>
      </w:pPr>
      <w:r>
        <w:t>The achieved service levels are comparable across the two scenarios. In India, service levels increase under growing affluence and current policies, resulting in improved access to household appliances, clean fuels, durable housing, and larger per-capita residential floor area. In the UK, per-capita residential floor area slightly increases continuing the current trends. The underlying socio-demographic drivers for both scenarios are consistent with the Shared Socio-economic Pathway SSP2 “Middle of the road”, assuming continuation of current trends. The two scenarios assume future transformation of the energy supply system consistent with current national climate policies and no ambitious climate targets, resulting in partial decarbonization of electricity and district heating.</w:t>
      </w:r>
    </w:p>
    <w:p w14:paraId="1E1ECD7F" w14:textId="57A3DB37" w:rsidR="00467FB7" w:rsidRDefault="00467FB7" w:rsidP="00467FB7">
      <w:pPr>
        <w:pStyle w:val="Caption"/>
      </w:pPr>
      <w:r>
        <w:t>Table S</w:t>
      </w:r>
      <w:r>
        <w:fldChar w:fldCharType="begin"/>
      </w:r>
      <w:r>
        <w:instrText xml:space="preserve"> SEQ Table \* ARABIC </w:instrText>
      </w:r>
      <w:r>
        <w:fldChar w:fldCharType="separate"/>
      </w:r>
      <w:r>
        <w:rPr>
          <w:noProof/>
        </w:rPr>
        <w:t>1</w:t>
      </w:r>
      <w:r>
        <w:fldChar w:fldCharType="end"/>
      </w:r>
      <w:r>
        <w:t xml:space="preserve">: </w:t>
      </w:r>
      <w:proofErr w:type="spellStart"/>
      <w:r w:rsidRPr="00AD4548">
        <w:rPr>
          <w:lang w:val="en-GB"/>
        </w:rPr>
        <w:t>MESSAGEix</w:t>
      </w:r>
      <w:proofErr w:type="spellEnd"/>
      <w:r>
        <w:rPr>
          <w:lang w:val="en-GB"/>
        </w:rPr>
        <w:t xml:space="preserve"> scenario description for both India and UK </w:t>
      </w:r>
    </w:p>
    <w:tbl>
      <w:tblPr>
        <w:tblStyle w:val="TableGrid"/>
        <w:tblW w:w="0" w:type="auto"/>
        <w:tblLook w:val="04A0" w:firstRow="1" w:lastRow="0" w:firstColumn="1" w:lastColumn="0" w:noHBand="0" w:noVBand="1"/>
      </w:tblPr>
      <w:tblGrid>
        <w:gridCol w:w="3005"/>
        <w:gridCol w:w="3005"/>
        <w:gridCol w:w="3006"/>
      </w:tblGrid>
      <w:tr w:rsidR="00467FB7" w14:paraId="7BB7ADEE" w14:textId="77777777" w:rsidTr="002A78F0">
        <w:tc>
          <w:tcPr>
            <w:tcW w:w="3005" w:type="dxa"/>
          </w:tcPr>
          <w:p w14:paraId="1EBE3BBC" w14:textId="77777777" w:rsidR="00467FB7" w:rsidRDefault="00467FB7" w:rsidP="002A78F0">
            <w:r>
              <w:t>Energy efficiency improvements in LED scenario</w:t>
            </w:r>
          </w:p>
        </w:tc>
        <w:tc>
          <w:tcPr>
            <w:tcW w:w="3005" w:type="dxa"/>
          </w:tcPr>
          <w:p w14:paraId="0306506D" w14:textId="77777777" w:rsidR="00467FB7" w:rsidRDefault="00467FB7" w:rsidP="002A78F0">
            <w:r>
              <w:t>India</w:t>
            </w:r>
          </w:p>
        </w:tc>
        <w:tc>
          <w:tcPr>
            <w:tcW w:w="3006" w:type="dxa"/>
          </w:tcPr>
          <w:p w14:paraId="244810C2" w14:textId="77777777" w:rsidR="00467FB7" w:rsidRDefault="00467FB7" w:rsidP="002A78F0">
            <w:r>
              <w:t>UK</w:t>
            </w:r>
          </w:p>
        </w:tc>
      </w:tr>
      <w:tr w:rsidR="00467FB7" w14:paraId="42E2B51F" w14:textId="77777777" w:rsidTr="002A78F0">
        <w:tc>
          <w:tcPr>
            <w:tcW w:w="3005" w:type="dxa"/>
          </w:tcPr>
          <w:p w14:paraId="509870EE" w14:textId="77777777" w:rsidR="00467FB7" w:rsidRDefault="00467FB7" w:rsidP="002A78F0">
            <w:r>
              <w:t>Building shell</w:t>
            </w:r>
          </w:p>
        </w:tc>
        <w:tc>
          <w:tcPr>
            <w:tcW w:w="3005" w:type="dxa"/>
          </w:tcPr>
          <w:p w14:paraId="033142D7" w14:textId="77777777" w:rsidR="00467FB7" w:rsidRDefault="00467FB7" w:rsidP="002A78F0">
            <w:r>
              <w:t>All new buildings are nearly-zero energy. Improved building insulation, cool roofs, and shading for existing and new buildings.</w:t>
            </w:r>
          </w:p>
        </w:tc>
        <w:tc>
          <w:tcPr>
            <w:tcW w:w="3006" w:type="dxa"/>
          </w:tcPr>
          <w:p w14:paraId="13DDE68F" w14:textId="77777777" w:rsidR="00467FB7" w:rsidRDefault="00467FB7" w:rsidP="002A78F0">
            <w:r>
              <w:t>All new buildings are nearly zero-energy. Doubling of energy renovation rate with deep renovation standards applied to existing buildings.</w:t>
            </w:r>
          </w:p>
        </w:tc>
      </w:tr>
      <w:tr w:rsidR="00467FB7" w14:paraId="385E800E" w14:textId="77777777" w:rsidTr="002A78F0">
        <w:tc>
          <w:tcPr>
            <w:tcW w:w="3005" w:type="dxa"/>
          </w:tcPr>
          <w:p w14:paraId="0E4B4772" w14:textId="77777777" w:rsidR="00467FB7" w:rsidRDefault="00467FB7" w:rsidP="002A78F0">
            <w:r>
              <w:t>Heating and cooling systems</w:t>
            </w:r>
          </w:p>
        </w:tc>
        <w:tc>
          <w:tcPr>
            <w:tcW w:w="3005" w:type="dxa"/>
          </w:tcPr>
          <w:p w14:paraId="7900AA71" w14:textId="77777777" w:rsidR="00467FB7" w:rsidRDefault="00467FB7" w:rsidP="002A78F0">
            <w:r>
              <w:t>Improved energy efficiency of heating and cooling systems. Switch from air-conditioning to evaporative cooling systems in dry climates.</w:t>
            </w:r>
          </w:p>
        </w:tc>
        <w:tc>
          <w:tcPr>
            <w:tcW w:w="3006" w:type="dxa"/>
          </w:tcPr>
          <w:p w14:paraId="29979C93" w14:textId="77777777" w:rsidR="00467FB7" w:rsidRDefault="00467FB7" w:rsidP="002A78F0">
            <w:r>
              <w:t>Broad uptake of heat-pumps and improved efficiency of space and water heating systems.</w:t>
            </w:r>
          </w:p>
        </w:tc>
      </w:tr>
      <w:tr w:rsidR="00467FB7" w14:paraId="38857F5F" w14:textId="77777777" w:rsidTr="002A78F0">
        <w:tc>
          <w:tcPr>
            <w:tcW w:w="3005" w:type="dxa"/>
          </w:tcPr>
          <w:p w14:paraId="1C636BF6" w14:textId="77777777" w:rsidR="00467FB7" w:rsidRDefault="00467FB7" w:rsidP="002A78F0">
            <w:r>
              <w:lastRenderedPageBreak/>
              <w:t xml:space="preserve">Cooking </w:t>
            </w:r>
          </w:p>
        </w:tc>
        <w:tc>
          <w:tcPr>
            <w:tcW w:w="3005" w:type="dxa"/>
          </w:tcPr>
          <w:p w14:paraId="2D316BCC" w14:textId="77777777" w:rsidR="00467FB7" w:rsidRDefault="00467FB7" w:rsidP="002A78F0">
            <w:r>
              <w:t xml:space="preserve">Switch to electricity and phase </w:t>
            </w:r>
            <w:proofErr w:type="gramStart"/>
            <w:r>
              <w:t>out of</w:t>
            </w:r>
            <w:proofErr w:type="gramEnd"/>
            <w:r>
              <w:t xml:space="preserve"> fossil fuels for cooking.</w:t>
            </w:r>
          </w:p>
        </w:tc>
        <w:tc>
          <w:tcPr>
            <w:tcW w:w="3006" w:type="dxa"/>
          </w:tcPr>
          <w:p w14:paraId="5C014A1F" w14:textId="77777777" w:rsidR="00467FB7" w:rsidRDefault="00467FB7" w:rsidP="002A78F0">
            <w:r>
              <w:t xml:space="preserve">Switch to electricity and phase </w:t>
            </w:r>
            <w:proofErr w:type="gramStart"/>
            <w:r>
              <w:t>out of</w:t>
            </w:r>
            <w:proofErr w:type="gramEnd"/>
            <w:r>
              <w:t xml:space="preserve"> fossil fuels for cooking.</w:t>
            </w:r>
          </w:p>
        </w:tc>
      </w:tr>
      <w:tr w:rsidR="00467FB7" w14:paraId="0560CBE0" w14:textId="77777777" w:rsidTr="002A78F0">
        <w:tc>
          <w:tcPr>
            <w:tcW w:w="3005" w:type="dxa"/>
          </w:tcPr>
          <w:p w14:paraId="74743FDE" w14:textId="77777777" w:rsidR="00467FB7" w:rsidRDefault="00467FB7" w:rsidP="002A78F0">
            <w:r>
              <w:t>Appliances</w:t>
            </w:r>
          </w:p>
        </w:tc>
        <w:tc>
          <w:tcPr>
            <w:tcW w:w="3005" w:type="dxa"/>
          </w:tcPr>
          <w:p w14:paraId="2AC3181E" w14:textId="77777777" w:rsidR="00467FB7" w:rsidRDefault="00467FB7" w:rsidP="002A78F0">
            <w:r>
              <w:t>Improved efficiency of household appliances.</w:t>
            </w:r>
          </w:p>
        </w:tc>
        <w:tc>
          <w:tcPr>
            <w:tcW w:w="3006" w:type="dxa"/>
          </w:tcPr>
          <w:p w14:paraId="1981031A" w14:textId="77777777" w:rsidR="00467FB7" w:rsidRDefault="00467FB7" w:rsidP="002A78F0">
            <w:r>
              <w:t>Improved efficiency of household appliances.</w:t>
            </w:r>
          </w:p>
        </w:tc>
      </w:tr>
    </w:tbl>
    <w:p w14:paraId="7054DDC2" w14:textId="77777777" w:rsidR="00467FB7" w:rsidRDefault="00467FB7"/>
    <w:p w14:paraId="13666D76" w14:textId="77777777" w:rsidR="00B55E83" w:rsidRPr="00B55E83" w:rsidRDefault="00732936" w:rsidP="00467FB7">
      <w:pPr>
        <w:jc w:val="both"/>
        <w:rPr>
          <w:rFonts w:cstheme="minorHAnsi"/>
          <w:sz w:val="16"/>
          <w:szCs w:val="16"/>
        </w:rPr>
      </w:pPr>
      <w:r w:rsidRPr="00B55E83">
        <w:rPr>
          <w:rStyle w:val="Heading1Char"/>
          <w:sz w:val="24"/>
          <w:szCs w:val="24"/>
        </w:rPr>
        <w:t>Health impacts</w:t>
      </w:r>
      <w:r w:rsidR="00B55E83" w:rsidRPr="00B55E83">
        <w:rPr>
          <w:rStyle w:val="Heading1Char"/>
          <w:sz w:val="24"/>
          <w:szCs w:val="24"/>
        </w:rPr>
        <w:t xml:space="preserve"> calculations</w:t>
      </w:r>
      <w:r w:rsidRPr="00B55E83">
        <w:rPr>
          <w:rStyle w:val="Heading1Char"/>
          <w:sz w:val="24"/>
          <w:szCs w:val="24"/>
        </w:rPr>
        <w:t>:</w:t>
      </w:r>
      <w:r w:rsidRPr="00B55E83">
        <w:rPr>
          <w:rFonts w:cstheme="minorHAnsi"/>
          <w:sz w:val="16"/>
          <w:szCs w:val="16"/>
        </w:rPr>
        <w:t xml:space="preserve"> </w:t>
      </w:r>
    </w:p>
    <w:p w14:paraId="00EAFA35" w14:textId="0F563378" w:rsidR="00467FB7" w:rsidRPr="009F7A03" w:rsidRDefault="00467FB7" w:rsidP="00467FB7">
      <w:pPr>
        <w:jc w:val="both"/>
      </w:pPr>
      <w:r>
        <w:t xml:space="preserve">Health impacts of LED measures are calculated for both indoor and outdoor exposure. The methods for calculating outdoor exposure-related health impacts are different than indoor exposure-related health impacts. For instance, </w:t>
      </w:r>
      <w:r w:rsidRPr="00AD4548">
        <w:t xml:space="preserve">the study integrates the reference/baseline scenario and Low Energy Demand (LED) scenario for India and the UK— developed using activity projections from the </w:t>
      </w:r>
      <w:proofErr w:type="spellStart"/>
      <w:r w:rsidRPr="00AD4548">
        <w:t>MESSAGEix</w:t>
      </w:r>
      <w:proofErr w:type="spellEnd"/>
      <w:r w:rsidRPr="00AD4548">
        <w:t xml:space="preserve"> model—into the Greenhouse Gas and Air Pollution Interactions and Synergies (GAINS) model</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{"citationID":"t0kLRADY","properties":{"formattedCitation":"(Amann et al., 2020)","plainCitation":"(Amann et al., 2020)","noteIndex":0},"citationItems":[{"id":12501,"uris":["http://zotero.org/groups/14748/items/THRTEHHR"],"itemData":{"id":12501,"type":"article-journal","container-title":"Philosophical Transactions of the Royal Society A","DOI":"10.1098/rsta.2019.0331","issue":"20190331","title":"Reducing global air pollution: The scope for further policy interventions","author":[{"family":"Amann","given":"M."},{"family":"Kiesewetter","given":"Gregor"},{"family":"Schoepp","given":"Wolfgang"},{"family":"Klimont","given":"Zig"},{"family":"Winiwarter","given":"W."},{"family":"Cofala","given":"J."},{"family":"Rafaj","given":"P."},{"family":"Hoglund-Isaksson","given":"L"},{"family":"Gomez Sanabria","given":"A."},{"family":"Heyes","given":"C."},{"family":"Purohit","given":"P."},{"family":"Borken-Kleefeld","given":"J."},{"family":"Wagner","given":"F."},{"family":"Sander","given":"R."},{"family":"Fagerli","given":"H."},{"family":"Nyiri","given":"A."},{"family":"Cozzi","given":"L."},{"family":"Pavarini","given":"C."}],"issued":{"date-parts":[["2020"]]}}}],"schema":"https://github.com/citation-style-language/schema/raw/master/csl-citation.json"} </w:instrText>
      </w:r>
      <w:r>
        <w:rPr>
          <w:rFonts w:ascii="Times New Roman" w:hAnsi="Times New Roman" w:cs="Times New Roman"/>
        </w:rPr>
        <w:fldChar w:fldCharType="separate"/>
      </w:r>
      <w:r w:rsidRPr="008017CF">
        <w:rPr>
          <w:rFonts w:ascii="Times New Roman" w:hAnsi="Times New Roman" w:cs="Times New Roman"/>
        </w:rPr>
        <w:t>(Amann et al., 2020)</w:t>
      </w:r>
      <w:r>
        <w:rPr>
          <w:rFonts w:ascii="Times New Roman" w:hAnsi="Times New Roman" w:cs="Times New Roman"/>
        </w:rPr>
        <w:fldChar w:fldCharType="end"/>
      </w:r>
      <w:r w:rsidRPr="00577132">
        <w:rPr>
          <w:rFonts w:ascii="Times New Roman" w:hAnsi="Times New Roman" w:cs="Times New Roman"/>
        </w:rPr>
        <w:t xml:space="preserve">. </w:t>
      </w:r>
      <w:r w:rsidRPr="00AD4548">
        <w:t xml:space="preserve">A more detailed description of the GAINS model can be found in Annexure-I. </w:t>
      </w:r>
      <w:r w:rsidRPr="009E52A4">
        <w:t xml:space="preserve">GAINS has been used to address air pollution impacts on human health from fine particulate matter and ground-level ozone, vegetation damage caused by ground-level ozone, the acidification of terrestrial and aquatic ecosystems and excess nitrogen deposition to soils, in addition to the mitigation of greenhouse gas emissions. </w:t>
      </w:r>
      <w:r>
        <w:t xml:space="preserve">To calculate health impacts from indoor exposure, we use active </w:t>
      </w:r>
      <w:r w:rsidR="00B55E83">
        <w:t xml:space="preserve">days indicator </w:t>
      </w:r>
      <w:r>
        <w:t>from Chatterjee and Urge-</w:t>
      </w:r>
      <w:proofErr w:type="spellStart"/>
      <w:r>
        <w:t>Vorsatz</w:t>
      </w:r>
      <w:proofErr w:type="spellEnd"/>
      <w:r>
        <w:t xml:space="preserve"> (2021) study, where Active days measure number of avoided disease-specific sick days, by implementing LED measures in the residential building sector in both India and UK. </w:t>
      </w:r>
      <w:r w:rsidR="00B55E83">
        <w:t xml:space="preserve">Active days indicators include respiratory, and cardiovascular disease-related absenteeism and presenteeism for both Indian and UK. </w:t>
      </w:r>
      <w:proofErr w:type="gramStart"/>
      <w:r w:rsidR="00B55E83">
        <w:t>Similar</w:t>
      </w:r>
      <w:r>
        <w:t xml:space="preserve"> to</w:t>
      </w:r>
      <w:proofErr w:type="gramEnd"/>
      <w:r>
        <w:t xml:space="preserve"> health impacts due to outdoor exposure, for indoor exposure as well, we use </w:t>
      </w:r>
      <w:proofErr w:type="spellStart"/>
      <w:r w:rsidRPr="00AD4548">
        <w:t>MESSAGEix</w:t>
      </w:r>
      <w:proofErr w:type="spellEnd"/>
      <w:r>
        <w:t xml:space="preserve"> Reference and LED scenarios to understand how many people are using the energy-efficient buildings. Based on the population figure, we then estimate the country-specific total sick days</w:t>
      </w:r>
      <w:r w:rsidR="00B55E83">
        <w:t xml:space="preserve"> by adding disease-specific absenteeism and presenteeism</w:t>
      </w:r>
      <w:r>
        <w:t>. Lastly, based on the dose-response model described in Chatterjee and Urge-</w:t>
      </w:r>
      <w:proofErr w:type="spellStart"/>
      <w:r>
        <w:t>Vorsatz</w:t>
      </w:r>
      <w:proofErr w:type="spellEnd"/>
      <w:r>
        <w:t xml:space="preserve"> (2021) study, we calculate how many sick </w:t>
      </w:r>
      <w:proofErr w:type="gramStart"/>
      <w:r>
        <w:t>days</w:t>
      </w:r>
      <w:proofErr w:type="gramEnd"/>
      <w:r>
        <w:t xml:space="preserve"> and healthy life years loss can be avoided by using demand measures for both India and UK. </w:t>
      </w:r>
    </w:p>
    <w:p w14:paraId="69A6822C" w14:textId="518D6306" w:rsidR="00732936" w:rsidRDefault="00732936" w:rsidP="00732936">
      <w:pPr>
        <w:jc w:val="both"/>
        <w:rPr>
          <w:rFonts w:cstheme="minorHAnsi"/>
        </w:rPr>
      </w:pPr>
      <w:r w:rsidRPr="004D227F">
        <w:rPr>
          <w:rFonts w:cstheme="minorHAnsi"/>
        </w:rPr>
        <w:t>To monetize mortality-related health benefits from reduced energy demand in the building sector, we apply the Value of a Statistical Life (VSL) approach</w:t>
      </w:r>
      <w:r>
        <w:rPr>
          <w:rFonts w:cstheme="minorHAnsi"/>
        </w:rPr>
        <w:t xml:space="preserve">, </w:t>
      </w:r>
      <w:r w:rsidRPr="004D227F">
        <w:rPr>
          <w:rFonts w:cstheme="minorHAnsi"/>
        </w:rPr>
        <w:t>an economic metric estimating the monetary value of reducing mortality risk (OECD, 2012; Viscusi &amp; Aldy, 2003). VSL reflects society’s willingness to pay to prevent one statistical death through interventions such as cleaner air, safer transport, or improved healthcare. We use a VSL of USD 0.64 million for India (Majumder &amp; Madheswaran, 2018) and USD 2 million for the UK (Carthy et al., 1998) to monetize reductions in premature deaths under the LED scenario. For morbidity-related benefits, we apply purchasing power parity-adjusted average annual wages for each country from the OECD dataset.</w:t>
      </w:r>
    </w:p>
    <w:p w14:paraId="287366F2" w14:textId="0F9154EE" w:rsidR="00B55E83" w:rsidRPr="00B55E83" w:rsidRDefault="00467FB7" w:rsidP="00B55E83">
      <w:pPr>
        <w:jc w:val="both"/>
        <w:rPr>
          <w:rStyle w:val="Heading1Char"/>
          <w:sz w:val="24"/>
          <w:szCs w:val="24"/>
        </w:rPr>
      </w:pPr>
      <w:r w:rsidRPr="00B55E83">
        <w:rPr>
          <w:rStyle w:val="Heading1Char"/>
          <w:sz w:val="24"/>
          <w:szCs w:val="24"/>
        </w:rPr>
        <w:t>Energy security</w:t>
      </w:r>
      <w:r w:rsidR="00B55E83">
        <w:rPr>
          <w:rStyle w:val="Heading1Char"/>
          <w:sz w:val="24"/>
          <w:szCs w:val="24"/>
        </w:rPr>
        <w:t xml:space="preserve"> calculations</w:t>
      </w:r>
      <w:r w:rsidRPr="00B55E83">
        <w:rPr>
          <w:rStyle w:val="Heading1Char"/>
          <w:sz w:val="24"/>
          <w:szCs w:val="24"/>
        </w:rPr>
        <w:t xml:space="preserve">: </w:t>
      </w:r>
    </w:p>
    <w:p w14:paraId="57385E78" w14:textId="32F2D21D" w:rsidR="00467FB7" w:rsidRDefault="00467FB7" w:rsidP="00467FB7">
      <w:r>
        <w:t xml:space="preserve">This study </w:t>
      </w:r>
      <w:r w:rsidR="00B55E83">
        <w:t>follows</w:t>
      </w:r>
      <w:r w:rsidRPr="008B3C46">
        <w:t xml:space="preserve"> the methodology </w:t>
      </w:r>
      <w:r w:rsidRPr="00D845A0">
        <w:t>developed by Bento et al. (2024) to assess synthetic policies across countries and compare the energy security-related impacts of demand-side</w:t>
      </w:r>
      <w:r>
        <w:t xml:space="preserve"> </w:t>
      </w:r>
      <w:r>
        <w:lastRenderedPageBreak/>
        <w:t>interventions</w:t>
      </w:r>
      <w:r w:rsidRPr="008B3C46">
        <w:t xml:space="preserve">. </w:t>
      </w:r>
      <w:r>
        <w:t>The</w:t>
      </w:r>
      <w:r w:rsidRPr="00D845A0">
        <w:t xml:space="preserve"> simulation tool </w:t>
      </w:r>
      <w:r>
        <w:t xml:space="preserve">developed in </w:t>
      </w:r>
      <w:r w:rsidRPr="00D845A0">
        <w:t>Bento et al. (2024)</w:t>
      </w:r>
      <w:r>
        <w:t xml:space="preserve"> study </w:t>
      </w:r>
      <w:r w:rsidRPr="00D845A0">
        <w:t xml:space="preserve">is used to evaluate scenario results on final energy, electricity demand, and activity changes from </w:t>
      </w:r>
      <w:proofErr w:type="spellStart"/>
      <w:r w:rsidRPr="00D845A0">
        <w:t>MESSAGEix</w:t>
      </w:r>
      <w:proofErr w:type="spellEnd"/>
      <w:r w:rsidRPr="00D845A0">
        <w:t xml:space="preserve">-Buildings. These results serve as inputs into the simulation tool at useful or final energy levels, where the underlying interventions create multiplier effects in primary energy reductions and fuel mix adjustments through their energy cascade interconnections. </w:t>
      </w:r>
    </w:p>
    <w:p w14:paraId="288CF4FE" w14:textId="77777777" w:rsidR="00467FB7" w:rsidRDefault="00467FB7" w:rsidP="00467FB7">
      <w:r>
        <w:t xml:space="preserve">We identify the largest fossil fuel import (usually oil). Then we reduce import flows from the two largest sources to 0. We calculate the concentration ratio (CR2) using the shares of the 3rd and 4th original largest import sources. This ratio is then used to calculate the compound Shannon indexes. The imports from the original two largest sources are allocated to the category “other import sources”. </w:t>
      </w:r>
      <w:r w:rsidRPr="00444C39">
        <w:t xml:space="preserve">We decrease the </w:t>
      </w:r>
      <w:r>
        <w:t>useful energy (</w:t>
      </w:r>
      <w:r w:rsidRPr="00444C39">
        <w:t>UE</w:t>
      </w:r>
      <w:r>
        <w:t>)</w:t>
      </w:r>
      <w:r w:rsidRPr="00444C39">
        <w:t xml:space="preserve"> demand for low-temperature heating from fossil fuels</w:t>
      </w:r>
      <w:r>
        <w:t>-</w:t>
      </w:r>
      <w:r w:rsidRPr="00444C39">
        <w:t xml:space="preserve">including oil, gas, and biomass, and coal where appropriate. The amount of reduction corresponds to 10% of </w:t>
      </w:r>
      <w:r>
        <w:t>primary energy (</w:t>
      </w:r>
      <w:r w:rsidRPr="00444C39">
        <w:t>PE</w:t>
      </w:r>
      <w:r>
        <w:t>)</w:t>
      </w:r>
      <w:r w:rsidRPr="00444C39">
        <w:t xml:space="preserve"> equivalent, that is multiplied by the ratio UE/PE of low-temperature heat efficiency. The reduction is allocated among the different fuel sources (usually oil and natural gas) to minimize fossil fuel imports.</w:t>
      </w:r>
      <w:r>
        <w:t xml:space="preserve"> </w:t>
      </w:r>
    </w:p>
    <w:p w14:paraId="429F6E1E" w14:textId="77777777" w:rsidR="00467FB7" w:rsidRDefault="00467FB7" w:rsidP="00467FB7">
      <w:r w:rsidRPr="00CC52CC">
        <w:rPr>
          <w:lang w:val="en-US"/>
        </w:rPr>
        <w:t xml:space="preserve">We link the </w:t>
      </w:r>
      <w:proofErr w:type="spellStart"/>
      <w:r w:rsidRPr="00CC52CC">
        <w:rPr>
          <w:lang w:val="en-US"/>
        </w:rPr>
        <w:t>MESSAGEix</w:t>
      </w:r>
      <w:proofErr w:type="spellEnd"/>
      <w:r w:rsidRPr="00CC52CC">
        <w:rPr>
          <w:lang w:val="en-US"/>
        </w:rPr>
        <w:t xml:space="preserve">-Buildings model outcomes with the energy-security simulation tool of Bento et al. (2024), taking the final energy savings and changes in the final energy mix between 2020 to 2050 from the demand model to calculate implied primary energy mixes. The primary energy efficiencies are assumed to be unchanged, </w:t>
      </w:r>
      <w:proofErr w:type="gramStart"/>
      <w:r w:rsidRPr="00CC52CC">
        <w:rPr>
          <w:lang w:val="en-US"/>
        </w:rPr>
        <w:t>in order to</w:t>
      </w:r>
      <w:proofErr w:type="gramEnd"/>
      <w:r w:rsidRPr="00CC52CC">
        <w:rPr>
          <w:lang w:val="en-US"/>
        </w:rPr>
        <w:t xml:space="preserve"> separate the demand-side impacts from other factors. SSP2 scenarios rely more heavily on supply-solutions, and lead to smaller energy savings (or even a 26% increase in India), while achieving more decarbonization rather through fuel shifts. On the other hand, LED scenarios assume drastic final energy demand drops (-39% in India and -68% in the UK) and a drastic reduction on fuel shift pressures (see Table</w:t>
      </w:r>
      <w:r>
        <w:rPr>
          <w:lang w:val="en-US"/>
        </w:rPr>
        <w:t xml:space="preserve"> 2</w:t>
      </w:r>
      <w:r w:rsidRPr="00CC52CC">
        <w:rPr>
          <w:lang w:val="en-US"/>
        </w:rPr>
        <w:t>).</w:t>
      </w:r>
      <w:r w:rsidRPr="00CC52CC">
        <w:t> </w:t>
      </w:r>
    </w:p>
    <w:p w14:paraId="7950576D" w14:textId="441DA2B3" w:rsidR="00467FB7" w:rsidRPr="00CC52CC" w:rsidRDefault="00467FB7" w:rsidP="00467FB7">
      <w:pPr>
        <w:pStyle w:val="Caption"/>
        <w:rPr>
          <w:lang w:val="en-GB"/>
        </w:rPr>
      </w:pPr>
      <w:r>
        <w:t>Table S</w:t>
      </w:r>
      <w:r>
        <w:fldChar w:fldCharType="begin"/>
      </w:r>
      <w:r>
        <w:instrText xml:space="preserve"> SEQ Table \* ARABIC </w:instrText>
      </w:r>
      <w:r>
        <w:fldChar w:fldCharType="separate"/>
      </w:r>
      <w:r>
        <w:rPr>
          <w:noProof/>
        </w:rPr>
        <w:t>2</w:t>
      </w:r>
      <w:r>
        <w:fldChar w:fldCharType="end"/>
      </w:r>
      <w:r>
        <w:t xml:space="preserve">: Energy demand reduction calculated from </w:t>
      </w:r>
      <w:proofErr w:type="spellStart"/>
      <w:r w:rsidRPr="00CC52CC">
        <w:rPr>
          <w:lang w:val="en-US"/>
        </w:rPr>
        <w:t>MESSAGEix</w:t>
      </w:r>
      <w:proofErr w:type="spellEnd"/>
      <w:r w:rsidRPr="00CC52CC">
        <w:rPr>
          <w:lang w:val="en-US"/>
        </w:rPr>
        <w:t>-Buildings</w:t>
      </w:r>
      <w:r>
        <w:rPr>
          <w:lang w:val="en-US"/>
        </w:rPr>
        <w:t xml:space="preserve"> model for India and UK in 2050</w:t>
      </w:r>
    </w:p>
    <w:tbl>
      <w:tblPr>
        <w:tblStyle w:val="TableGrid"/>
        <w:tblW w:w="0" w:type="auto"/>
        <w:tblLook w:val="04A0" w:firstRow="1" w:lastRow="0" w:firstColumn="1" w:lastColumn="0" w:noHBand="0" w:noVBand="1"/>
      </w:tblPr>
      <w:tblGrid>
        <w:gridCol w:w="1803"/>
        <w:gridCol w:w="1803"/>
        <w:gridCol w:w="1803"/>
        <w:gridCol w:w="1803"/>
        <w:gridCol w:w="1804"/>
      </w:tblGrid>
      <w:tr w:rsidR="00467FB7" w14:paraId="46210C95" w14:textId="77777777" w:rsidTr="002A78F0">
        <w:tc>
          <w:tcPr>
            <w:tcW w:w="1803" w:type="dxa"/>
          </w:tcPr>
          <w:p w14:paraId="1A36EB55" w14:textId="77777777" w:rsidR="00467FB7" w:rsidRDefault="00467FB7" w:rsidP="002A78F0">
            <w:pPr>
              <w:rPr>
                <w:lang w:val="en-GB"/>
              </w:rPr>
            </w:pPr>
          </w:p>
        </w:tc>
        <w:tc>
          <w:tcPr>
            <w:tcW w:w="3606" w:type="dxa"/>
            <w:gridSpan w:val="2"/>
          </w:tcPr>
          <w:p w14:paraId="47EEE3BC" w14:textId="77777777" w:rsidR="00467FB7" w:rsidRDefault="00467FB7" w:rsidP="002A78F0">
            <w:pPr>
              <w:jc w:val="center"/>
              <w:rPr>
                <w:lang w:val="en-GB"/>
              </w:rPr>
            </w:pPr>
            <w:r>
              <w:rPr>
                <w:lang w:val="en-GB"/>
              </w:rPr>
              <w:t>T</w:t>
            </w:r>
            <w:r w:rsidRPr="00CC52CC">
              <w:rPr>
                <w:lang w:val="en-GB"/>
              </w:rPr>
              <w:t>otal final energy</w:t>
            </w:r>
          </w:p>
        </w:tc>
        <w:tc>
          <w:tcPr>
            <w:tcW w:w="3607" w:type="dxa"/>
            <w:gridSpan w:val="2"/>
          </w:tcPr>
          <w:p w14:paraId="32A3848E" w14:textId="77777777" w:rsidR="00467FB7" w:rsidRDefault="00467FB7" w:rsidP="002A78F0">
            <w:pPr>
              <w:jc w:val="center"/>
              <w:rPr>
                <w:lang w:val="en-GB"/>
              </w:rPr>
            </w:pPr>
            <w:r>
              <w:rPr>
                <w:lang w:val="en-GB"/>
              </w:rPr>
              <w:t>E</w:t>
            </w:r>
            <w:r w:rsidRPr="00CC52CC">
              <w:rPr>
                <w:lang w:val="en-GB"/>
              </w:rPr>
              <w:t>lectricity</w:t>
            </w:r>
          </w:p>
        </w:tc>
      </w:tr>
      <w:tr w:rsidR="00467FB7" w14:paraId="2BD36DDE" w14:textId="77777777" w:rsidTr="002A78F0">
        <w:tc>
          <w:tcPr>
            <w:tcW w:w="1803" w:type="dxa"/>
          </w:tcPr>
          <w:p w14:paraId="7CEC9787" w14:textId="77777777" w:rsidR="00467FB7" w:rsidRDefault="00467FB7" w:rsidP="002A78F0">
            <w:pPr>
              <w:rPr>
                <w:lang w:val="en-GB"/>
              </w:rPr>
            </w:pPr>
          </w:p>
        </w:tc>
        <w:tc>
          <w:tcPr>
            <w:tcW w:w="1803" w:type="dxa"/>
          </w:tcPr>
          <w:p w14:paraId="1B7E095C" w14:textId="77777777" w:rsidR="00467FB7" w:rsidRDefault="00467FB7" w:rsidP="002A78F0">
            <w:pPr>
              <w:rPr>
                <w:lang w:val="en-GB"/>
              </w:rPr>
            </w:pPr>
            <w:r w:rsidRPr="00CC52CC">
              <w:rPr>
                <w:lang w:val="en-GB"/>
              </w:rPr>
              <w:t xml:space="preserve">SSP2 </w:t>
            </w:r>
          </w:p>
        </w:tc>
        <w:tc>
          <w:tcPr>
            <w:tcW w:w="1803" w:type="dxa"/>
          </w:tcPr>
          <w:p w14:paraId="4D39D6E1" w14:textId="77777777" w:rsidR="00467FB7" w:rsidRDefault="00467FB7" w:rsidP="002A78F0">
            <w:pPr>
              <w:rPr>
                <w:lang w:val="en-GB"/>
              </w:rPr>
            </w:pPr>
            <w:r w:rsidRPr="00CC52CC">
              <w:rPr>
                <w:lang w:val="en-GB"/>
              </w:rPr>
              <w:t xml:space="preserve">LED </w:t>
            </w:r>
          </w:p>
        </w:tc>
        <w:tc>
          <w:tcPr>
            <w:tcW w:w="1803" w:type="dxa"/>
          </w:tcPr>
          <w:p w14:paraId="3EF54204" w14:textId="77777777" w:rsidR="00467FB7" w:rsidRDefault="00467FB7" w:rsidP="002A78F0">
            <w:pPr>
              <w:rPr>
                <w:lang w:val="en-GB"/>
              </w:rPr>
            </w:pPr>
            <w:r w:rsidRPr="00CC52CC">
              <w:rPr>
                <w:lang w:val="en-GB"/>
              </w:rPr>
              <w:t xml:space="preserve">SSP2 </w:t>
            </w:r>
          </w:p>
        </w:tc>
        <w:tc>
          <w:tcPr>
            <w:tcW w:w="1804" w:type="dxa"/>
          </w:tcPr>
          <w:p w14:paraId="61F269D8" w14:textId="77777777" w:rsidR="00467FB7" w:rsidRDefault="00467FB7" w:rsidP="002A78F0">
            <w:pPr>
              <w:rPr>
                <w:lang w:val="en-GB"/>
              </w:rPr>
            </w:pPr>
            <w:r w:rsidRPr="00CC52CC">
              <w:rPr>
                <w:lang w:val="en-GB"/>
              </w:rPr>
              <w:t xml:space="preserve">LED </w:t>
            </w:r>
          </w:p>
        </w:tc>
      </w:tr>
      <w:tr w:rsidR="00467FB7" w14:paraId="5E3C3718" w14:textId="77777777" w:rsidTr="002A78F0">
        <w:tc>
          <w:tcPr>
            <w:tcW w:w="1803" w:type="dxa"/>
          </w:tcPr>
          <w:p w14:paraId="692AB4CA" w14:textId="77777777" w:rsidR="00467FB7" w:rsidRDefault="00467FB7" w:rsidP="002A78F0">
            <w:pPr>
              <w:rPr>
                <w:lang w:val="en-GB"/>
              </w:rPr>
            </w:pPr>
            <w:r w:rsidRPr="00CC52CC">
              <w:rPr>
                <w:lang w:val="en-GB"/>
              </w:rPr>
              <w:t>India</w:t>
            </w:r>
          </w:p>
        </w:tc>
        <w:tc>
          <w:tcPr>
            <w:tcW w:w="1803" w:type="dxa"/>
          </w:tcPr>
          <w:p w14:paraId="26668CBD" w14:textId="77777777" w:rsidR="00467FB7" w:rsidRDefault="00467FB7" w:rsidP="002A78F0">
            <w:pPr>
              <w:rPr>
                <w:lang w:val="en-GB"/>
              </w:rPr>
            </w:pPr>
            <w:r w:rsidRPr="00CC52CC">
              <w:rPr>
                <w:lang w:val="en-IN"/>
              </w:rPr>
              <w:t>26% </w:t>
            </w:r>
          </w:p>
        </w:tc>
        <w:tc>
          <w:tcPr>
            <w:tcW w:w="1803" w:type="dxa"/>
          </w:tcPr>
          <w:p w14:paraId="473202F4" w14:textId="77777777" w:rsidR="00467FB7" w:rsidRDefault="00467FB7" w:rsidP="002A78F0">
            <w:pPr>
              <w:rPr>
                <w:lang w:val="en-GB"/>
              </w:rPr>
            </w:pPr>
            <w:r w:rsidRPr="00CC52CC">
              <w:rPr>
                <w:lang w:val="en-IN"/>
              </w:rPr>
              <w:t>-39% </w:t>
            </w:r>
          </w:p>
        </w:tc>
        <w:tc>
          <w:tcPr>
            <w:tcW w:w="1803" w:type="dxa"/>
          </w:tcPr>
          <w:p w14:paraId="64A831BD" w14:textId="77777777" w:rsidR="00467FB7" w:rsidRDefault="00467FB7" w:rsidP="002A78F0">
            <w:pPr>
              <w:rPr>
                <w:lang w:val="en-GB"/>
              </w:rPr>
            </w:pPr>
            <w:r w:rsidRPr="00CC52CC">
              <w:rPr>
                <w:lang w:val="en-IN"/>
              </w:rPr>
              <w:t>333% </w:t>
            </w:r>
          </w:p>
        </w:tc>
        <w:tc>
          <w:tcPr>
            <w:tcW w:w="1804" w:type="dxa"/>
          </w:tcPr>
          <w:p w14:paraId="23891D78" w14:textId="77777777" w:rsidR="00467FB7" w:rsidRDefault="00467FB7" w:rsidP="002A78F0">
            <w:pPr>
              <w:rPr>
                <w:lang w:val="en-GB"/>
              </w:rPr>
            </w:pPr>
            <w:r w:rsidRPr="00CC52CC">
              <w:rPr>
                <w:lang w:val="en-IN"/>
              </w:rPr>
              <w:t>316% </w:t>
            </w:r>
          </w:p>
        </w:tc>
      </w:tr>
      <w:tr w:rsidR="00467FB7" w14:paraId="068F6000" w14:textId="77777777" w:rsidTr="002A78F0">
        <w:tc>
          <w:tcPr>
            <w:tcW w:w="1803" w:type="dxa"/>
          </w:tcPr>
          <w:p w14:paraId="471A7DE4" w14:textId="77777777" w:rsidR="00467FB7" w:rsidRDefault="00467FB7" w:rsidP="002A78F0">
            <w:pPr>
              <w:rPr>
                <w:lang w:val="en-GB"/>
              </w:rPr>
            </w:pPr>
            <w:r w:rsidRPr="00CC52CC">
              <w:rPr>
                <w:lang w:val="en-GB"/>
              </w:rPr>
              <w:t>UK</w:t>
            </w:r>
          </w:p>
        </w:tc>
        <w:tc>
          <w:tcPr>
            <w:tcW w:w="1803" w:type="dxa"/>
          </w:tcPr>
          <w:p w14:paraId="5E5C7C6D" w14:textId="77777777" w:rsidR="00467FB7" w:rsidRDefault="00467FB7" w:rsidP="002A78F0">
            <w:pPr>
              <w:rPr>
                <w:lang w:val="en-GB"/>
              </w:rPr>
            </w:pPr>
            <w:r w:rsidRPr="00CC52CC">
              <w:rPr>
                <w:lang w:val="en-IN"/>
              </w:rPr>
              <w:t>-31% </w:t>
            </w:r>
          </w:p>
        </w:tc>
        <w:tc>
          <w:tcPr>
            <w:tcW w:w="1803" w:type="dxa"/>
          </w:tcPr>
          <w:p w14:paraId="1D1E5151" w14:textId="77777777" w:rsidR="00467FB7" w:rsidRDefault="00467FB7" w:rsidP="002A78F0">
            <w:pPr>
              <w:rPr>
                <w:lang w:val="en-GB"/>
              </w:rPr>
            </w:pPr>
            <w:r w:rsidRPr="00CC52CC">
              <w:rPr>
                <w:lang w:val="en-IN"/>
              </w:rPr>
              <w:t>-68% </w:t>
            </w:r>
          </w:p>
        </w:tc>
        <w:tc>
          <w:tcPr>
            <w:tcW w:w="1803" w:type="dxa"/>
          </w:tcPr>
          <w:p w14:paraId="2F226399" w14:textId="77777777" w:rsidR="00467FB7" w:rsidRDefault="00467FB7" w:rsidP="002A78F0">
            <w:pPr>
              <w:rPr>
                <w:lang w:val="en-GB"/>
              </w:rPr>
            </w:pPr>
            <w:r w:rsidRPr="00CC52CC">
              <w:rPr>
                <w:lang w:val="en-IN"/>
              </w:rPr>
              <w:t>27% </w:t>
            </w:r>
          </w:p>
        </w:tc>
        <w:tc>
          <w:tcPr>
            <w:tcW w:w="1804" w:type="dxa"/>
          </w:tcPr>
          <w:p w14:paraId="5553AFE2" w14:textId="77777777" w:rsidR="00467FB7" w:rsidRDefault="00467FB7" w:rsidP="002A78F0">
            <w:pPr>
              <w:rPr>
                <w:lang w:val="en-GB"/>
              </w:rPr>
            </w:pPr>
            <w:r w:rsidRPr="00CC52CC">
              <w:rPr>
                <w:lang w:val="en-IN"/>
              </w:rPr>
              <w:t>-5% </w:t>
            </w:r>
          </w:p>
        </w:tc>
      </w:tr>
    </w:tbl>
    <w:p w14:paraId="0D4BF0C9" w14:textId="45628CE2" w:rsidR="00467FB7" w:rsidRDefault="00467FB7" w:rsidP="00732936">
      <w:pPr>
        <w:jc w:val="both"/>
        <w:rPr>
          <w:rFonts w:cstheme="minorHAnsi"/>
        </w:rPr>
      </w:pPr>
    </w:p>
    <w:p w14:paraId="11D9D29A" w14:textId="32FB5BA5" w:rsidR="00B55E83" w:rsidRDefault="00B55E83" w:rsidP="00732936">
      <w:pPr>
        <w:jc w:val="both"/>
        <w:rPr>
          <w:rFonts w:cstheme="minorHAnsi"/>
        </w:rPr>
      </w:pPr>
      <w:r>
        <w:rPr>
          <w:rStyle w:val="Heading1Char"/>
          <w:sz w:val="24"/>
          <w:szCs w:val="24"/>
        </w:rPr>
        <w:t xml:space="preserve">Estimating </w:t>
      </w:r>
      <w:r w:rsidR="00732936" w:rsidRPr="00B55E83">
        <w:rPr>
          <w:rStyle w:val="Heading1Char"/>
          <w:sz w:val="24"/>
          <w:szCs w:val="24"/>
        </w:rPr>
        <w:t>Employment</w:t>
      </w:r>
      <w:r>
        <w:rPr>
          <w:rStyle w:val="Heading1Char"/>
          <w:sz w:val="24"/>
          <w:szCs w:val="24"/>
        </w:rPr>
        <w:t xml:space="preserve"> impacts</w:t>
      </w:r>
      <w:r w:rsidR="00732936" w:rsidRPr="00B55E83">
        <w:rPr>
          <w:rStyle w:val="Heading1Char"/>
          <w:sz w:val="24"/>
          <w:szCs w:val="24"/>
        </w:rPr>
        <w:t>:</w:t>
      </w:r>
      <w:r w:rsidR="00732936">
        <w:rPr>
          <w:rFonts w:cstheme="minorHAnsi"/>
        </w:rPr>
        <w:t xml:space="preserve"> </w:t>
      </w:r>
    </w:p>
    <w:p w14:paraId="33DCCE97" w14:textId="6B4003AC" w:rsidR="00732936" w:rsidRDefault="00732936" w:rsidP="00732936">
      <w:pPr>
        <w:jc w:val="both"/>
      </w:pPr>
      <w:r w:rsidRPr="00EE4D07">
        <w:t>To ensure methodological rigor and avoid double-counting, our employment impact estimates exclude induced jobs, particularly in India where rising living standards may amplify rebound effects. We distinguish between temporary and long-term employment, recognizing that energy efficiency investments often generate short-term construction jobs alongside sustained operational roles. Additionally, the analysis accounts for formal employment only, due to the lack of sector-specific data on informal labour</w:t>
      </w:r>
      <w:r>
        <w:t xml:space="preserve">, </w:t>
      </w:r>
      <w:r w:rsidRPr="00EE4D07">
        <w:t xml:space="preserve">especially in the UK, where Hazans (2011) estimates that 22% of the extended labour force is informally employed. FTE job multipliers used in our UK estimates are based on the most recent publicly available data and </w:t>
      </w:r>
      <w:r w:rsidRPr="00EE4D07">
        <w:lastRenderedPageBreak/>
        <w:t xml:space="preserve">show a slight decline over time, reflecting increasing labour productivity. For India, we anticipate a similar downward trend in FTE multipliers as manufacturing efficiency improves. Our job creation estimates are informed by the ACEEE methodology, which suggests that a $1 million USD investment in energy efficiency generates approximately 20 direct jobs in the U.S. economy. Applying this framework, we estimate that in the UK, a $1 million USD investment yields around 11 direct and 47 indirect full-time jobs. These figures underscore the substantial employment potential of low-emission development (LED) strategies, while highlighting the importance of contextual </w:t>
      </w:r>
      <w:proofErr w:type="spellStart"/>
      <w:r w:rsidRPr="00EE4D07">
        <w:t>labor</w:t>
      </w:r>
      <w:proofErr w:type="spellEnd"/>
      <w:r w:rsidRPr="00EE4D07">
        <w:t xml:space="preserve"> dynamics in interpreting job creation outcomes.</w:t>
      </w:r>
    </w:p>
    <w:p w14:paraId="56C4EFCB" w14:textId="1EC79574" w:rsidR="00732936" w:rsidRPr="00B55E83" w:rsidRDefault="00B55E83" w:rsidP="00732936">
      <w:pPr>
        <w:jc w:val="both"/>
        <w:rPr>
          <w:rStyle w:val="Heading1Char"/>
          <w:sz w:val="24"/>
          <w:szCs w:val="24"/>
        </w:rPr>
      </w:pPr>
      <w:r w:rsidRPr="00B55E83">
        <w:rPr>
          <w:rStyle w:val="Heading1Char"/>
          <w:sz w:val="24"/>
          <w:szCs w:val="24"/>
        </w:rPr>
        <w:t xml:space="preserve">Data </w:t>
      </w:r>
      <w:r w:rsidR="00FF677B">
        <w:rPr>
          <w:rStyle w:val="Heading1Char"/>
          <w:sz w:val="24"/>
          <w:szCs w:val="24"/>
        </w:rPr>
        <w:t>of</w:t>
      </w:r>
      <w:r w:rsidRPr="00B55E83">
        <w:rPr>
          <w:rStyle w:val="Heading1Char"/>
          <w:sz w:val="24"/>
          <w:szCs w:val="24"/>
        </w:rPr>
        <w:t xml:space="preserve"> Health</w:t>
      </w:r>
      <w:r w:rsidR="00FF677B">
        <w:rPr>
          <w:rStyle w:val="Heading1Char"/>
          <w:sz w:val="24"/>
          <w:szCs w:val="24"/>
        </w:rPr>
        <w:t xml:space="preserve"> Impacts</w:t>
      </w:r>
      <w:r w:rsidRPr="00B55E83">
        <w:rPr>
          <w:rStyle w:val="Heading1Char"/>
          <w:sz w:val="24"/>
          <w:szCs w:val="24"/>
        </w:rPr>
        <w:t>:</w:t>
      </w:r>
    </w:p>
    <w:tbl>
      <w:tblPr>
        <w:tblW w:w="6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764"/>
        <w:gridCol w:w="1126"/>
        <w:gridCol w:w="1221"/>
        <w:gridCol w:w="992"/>
        <w:gridCol w:w="265"/>
      </w:tblGrid>
      <w:tr w:rsidR="00FF677B" w:rsidRPr="00B55E83" w14:paraId="74D7B01C" w14:textId="77777777" w:rsidTr="00FF677B">
        <w:trPr>
          <w:trHeight w:val="300"/>
        </w:trPr>
        <w:tc>
          <w:tcPr>
            <w:tcW w:w="6502" w:type="dxa"/>
            <w:gridSpan w:val="6"/>
            <w:tcBorders>
              <w:top w:val="nil"/>
              <w:left w:val="nil"/>
              <w:bottom w:val="nil"/>
              <w:right w:val="nil"/>
            </w:tcBorders>
            <w:shd w:val="clear" w:color="auto" w:fill="auto"/>
            <w:noWrap/>
            <w:vAlign w:val="bottom"/>
            <w:hideMark/>
          </w:tcPr>
          <w:p w14:paraId="4255E8FB" w14:textId="2471B2DE" w:rsidR="00FF677B" w:rsidRPr="00B55E83" w:rsidRDefault="00FF677B" w:rsidP="00FF677B">
            <w:pPr>
              <w:pStyle w:val="Caption"/>
              <w:rPr>
                <w:rFonts w:ascii="Times New Roman" w:eastAsia="Times New Roman" w:hAnsi="Times New Roman" w:cs="Times New Roman"/>
                <w:kern w:val="0"/>
                <w:sz w:val="20"/>
                <w:szCs w:val="20"/>
                <w:lang w:eastAsia="en-GB"/>
                <w14:ligatures w14:val="none"/>
              </w:rPr>
            </w:pPr>
            <w:r w:rsidRPr="00FF677B">
              <w:t>Table S</w:t>
            </w:r>
            <w:r>
              <w:t>3</w:t>
            </w:r>
            <w:r w:rsidRPr="00FF677B">
              <w:t xml:space="preserve">: Mortality and Morbidity-specific health </w:t>
            </w:r>
            <w:r w:rsidR="00DF7B62">
              <w:t>projections</w:t>
            </w:r>
            <w:r w:rsidRPr="00FF677B">
              <w:t xml:space="preserve"> for India and UK</w:t>
            </w:r>
          </w:p>
        </w:tc>
      </w:tr>
      <w:tr w:rsidR="00FF677B" w:rsidRPr="00B55E83" w14:paraId="3FB70877" w14:textId="77777777" w:rsidTr="00FF677B">
        <w:trPr>
          <w:trHeight w:val="300"/>
        </w:trPr>
        <w:tc>
          <w:tcPr>
            <w:tcW w:w="2898" w:type="dxa"/>
            <w:gridSpan w:val="2"/>
            <w:shd w:val="clear" w:color="auto" w:fill="auto"/>
            <w:noWrap/>
            <w:vAlign w:val="bottom"/>
            <w:hideMark/>
          </w:tcPr>
          <w:p w14:paraId="118C1497"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Premature deaths (thousands)</w:t>
            </w:r>
          </w:p>
        </w:tc>
        <w:tc>
          <w:tcPr>
            <w:tcW w:w="1126" w:type="dxa"/>
            <w:shd w:val="clear" w:color="auto" w:fill="auto"/>
            <w:noWrap/>
            <w:vAlign w:val="bottom"/>
            <w:hideMark/>
          </w:tcPr>
          <w:p w14:paraId="45FEA66B"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Reference</w:t>
            </w:r>
          </w:p>
        </w:tc>
        <w:tc>
          <w:tcPr>
            <w:tcW w:w="1221" w:type="dxa"/>
            <w:shd w:val="clear" w:color="auto" w:fill="auto"/>
            <w:noWrap/>
            <w:vAlign w:val="bottom"/>
            <w:hideMark/>
          </w:tcPr>
          <w:p w14:paraId="0D51AC0F"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Difference</w:t>
            </w:r>
          </w:p>
        </w:tc>
        <w:tc>
          <w:tcPr>
            <w:tcW w:w="1257" w:type="dxa"/>
            <w:gridSpan w:val="2"/>
            <w:shd w:val="clear" w:color="auto" w:fill="auto"/>
            <w:noWrap/>
            <w:vAlign w:val="bottom"/>
            <w:hideMark/>
          </w:tcPr>
          <w:p w14:paraId="11428362"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LED</w:t>
            </w:r>
          </w:p>
        </w:tc>
      </w:tr>
      <w:tr w:rsidR="00FF677B" w:rsidRPr="00B55E83" w14:paraId="1B8165A8" w14:textId="77777777" w:rsidTr="00FF677B">
        <w:trPr>
          <w:trHeight w:val="300"/>
        </w:trPr>
        <w:tc>
          <w:tcPr>
            <w:tcW w:w="2134" w:type="dxa"/>
            <w:shd w:val="clear" w:color="auto" w:fill="auto"/>
            <w:noWrap/>
            <w:vAlign w:val="bottom"/>
            <w:hideMark/>
          </w:tcPr>
          <w:p w14:paraId="6BCC8A1B"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20DB1596"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2020</w:t>
            </w:r>
          </w:p>
        </w:tc>
        <w:tc>
          <w:tcPr>
            <w:tcW w:w="1126" w:type="dxa"/>
            <w:shd w:val="clear" w:color="auto" w:fill="auto"/>
            <w:noWrap/>
            <w:vAlign w:val="bottom"/>
            <w:hideMark/>
          </w:tcPr>
          <w:p w14:paraId="0FD7E500"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1013</w:t>
            </w:r>
          </w:p>
        </w:tc>
        <w:tc>
          <w:tcPr>
            <w:tcW w:w="1221" w:type="dxa"/>
            <w:shd w:val="clear" w:color="auto" w:fill="auto"/>
            <w:noWrap/>
            <w:vAlign w:val="bottom"/>
            <w:hideMark/>
          </w:tcPr>
          <w:p w14:paraId="01F8C174"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257" w:type="dxa"/>
            <w:gridSpan w:val="2"/>
            <w:shd w:val="clear" w:color="auto" w:fill="auto"/>
            <w:noWrap/>
            <w:vAlign w:val="bottom"/>
            <w:hideMark/>
          </w:tcPr>
          <w:p w14:paraId="3F22220F"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49DFF7E4" w14:textId="77777777" w:rsidTr="00FF677B">
        <w:trPr>
          <w:trHeight w:val="300"/>
        </w:trPr>
        <w:tc>
          <w:tcPr>
            <w:tcW w:w="2134" w:type="dxa"/>
            <w:shd w:val="clear" w:color="auto" w:fill="auto"/>
            <w:noWrap/>
            <w:vAlign w:val="bottom"/>
            <w:hideMark/>
          </w:tcPr>
          <w:p w14:paraId="4E259E18"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142EE42D"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2030</w:t>
            </w:r>
          </w:p>
        </w:tc>
        <w:tc>
          <w:tcPr>
            <w:tcW w:w="1126" w:type="dxa"/>
            <w:shd w:val="clear" w:color="auto" w:fill="auto"/>
            <w:noWrap/>
            <w:vAlign w:val="bottom"/>
            <w:hideMark/>
          </w:tcPr>
          <w:p w14:paraId="65F44393"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1272</w:t>
            </w:r>
          </w:p>
        </w:tc>
        <w:tc>
          <w:tcPr>
            <w:tcW w:w="1221" w:type="dxa"/>
            <w:shd w:val="clear" w:color="auto" w:fill="auto"/>
            <w:noWrap/>
            <w:vAlign w:val="bottom"/>
            <w:hideMark/>
          </w:tcPr>
          <w:p w14:paraId="0558BDD3"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14</w:t>
            </w:r>
          </w:p>
        </w:tc>
        <w:tc>
          <w:tcPr>
            <w:tcW w:w="1257" w:type="dxa"/>
            <w:gridSpan w:val="2"/>
            <w:shd w:val="clear" w:color="auto" w:fill="auto"/>
            <w:noWrap/>
            <w:vAlign w:val="bottom"/>
            <w:hideMark/>
          </w:tcPr>
          <w:p w14:paraId="38770AA4"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1258</w:t>
            </w:r>
          </w:p>
        </w:tc>
      </w:tr>
      <w:tr w:rsidR="00FF677B" w:rsidRPr="00B55E83" w14:paraId="5712987A" w14:textId="77777777" w:rsidTr="00FF677B">
        <w:trPr>
          <w:trHeight w:val="300"/>
        </w:trPr>
        <w:tc>
          <w:tcPr>
            <w:tcW w:w="2134" w:type="dxa"/>
            <w:shd w:val="clear" w:color="auto" w:fill="auto"/>
            <w:noWrap/>
            <w:vAlign w:val="bottom"/>
            <w:hideMark/>
          </w:tcPr>
          <w:p w14:paraId="3035B627"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1799C53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2040</w:t>
            </w:r>
          </w:p>
        </w:tc>
        <w:tc>
          <w:tcPr>
            <w:tcW w:w="1126" w:type="dxa"/>
            <w:shd w:val="clear" w:color="auto" w:fill="auto"/>
            <w:noWrap/>
            <w:vAlign w:val="bottom"/>
            <w:hideMark/>
          </w:tcPr>
          <w:p w14:paraId="012FC107"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1596</w:t>
            </w:r>
          </w:p>
        </w:tc>
        <w:tc>
          <w:tcPr>
            <w:tcW w:w="1221" w:type="dxa"/>
            <w:shd w:val="clear" w:color="auto" w:fill="auto"/>
            <w:noWrap/>
            <w:vAlign w:val="bottom"/>
            <w:hideMark/>
          </w:tcPr>
          <w:p w14:paraId="2568BE72"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34</w:t>
            </w:r>
          </w:p>
        </w:tc>
        <w:tc>
          <w:tcPr>
            <w:tcW w:w="1257" w:type="dxa"/>
            <w:gridSpan w:val="2"/>
            <w:shd w:val="clear" w:color="auto" w:fill="auto"/>
            <w:noWrap/>
            <w:vAlign w:val="bottom"/>
            <w:hideMark/>
          </w:tcPr>
          <w:p w14:paraId="3E5ED4B2"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1562</w:t>
            </w:r>
          </w:p>
        </w:tc>
      </w:tr>
      <w:tr w:rsidR="00FF677B" w:rsidRPr="00B55E83" w14:paraId="58B54A70" w14:textId="77777777" w:rsidTr="00FF677B">
        <w:trPr>
          <w:trHeight w:val="300"/>
        </w:trPr>
        <w:tc>
          <w:tcPr>
            <w:tcW w:w="2134" w:type="dxa"/>
            <w:shd w:val="clear" w:color="auto" w:fill="auto"/>
            <w:noWrap/>
            <w:vAlign w:val="bottom"/>
            <w:hideMark/>
          </w:tcPr>
          <w:p w14:paraId="7F706060"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152E3DD6"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2050</w:t>
            </w:r>
          </w:p>
        </w:tc>
        <w:tc>
          <w:tcPr>
            <w:tcW w:w="1126" w:type="dxa"/>
            <w:shd w:val="clear" w:color="auto" w:fill="auto"/>
            <w:noWrap/>
            <w:vAlign w:val="bottom"/>
            <w:hideMark/>
          </w:tcPr>
          <w:p w14:paraId="2A06F11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1936</w:t>
            </w:r>
          </w:p>
        </w:tc>
        <w:tc>
          <w:tcPr>
            <w:tcW w:w="1221" w:type="dxa"/>
            <w:shd w:val="clear" w:color="auto" w:fill="auto"/>
            <w:noWrap/>
            <w:vAlign w:val="bottom"/>
            <w:hideMark/>
          </w:tcPr>
          <w:p w14:paraId="2560A6B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62</w:t>
            </w:r>
          </w:p>
        </w:tc>
        <w:tc>
          <w:tcPr>
            <w:tcW w:w="1257" w:type="dxa"/>
            <w:gridSpan w:val="2"/>
            <w:shd w:val="clear" w:color="auto" w:fill="auto"/>
            <w:noWrap/>
            <w:vAlign w:val="bottom"/>
            <w:hideMark/>
          </w:tcPr>
          <w:p w14:paraId="07E78A67"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1874</w:t>
            </w:r>
          </w:p>
        </w:tc>
      </w:tr>
      <w:tr w:rsidR="00FF677B" w:rsidRPr="00B55E83" w14:paraId="63197B80" w14:textId="77777777" w:rsidTr="00FF677B">
        <w:trPr>
          <w:trHeight w:val="300"/>
        </w:trPr>
        <w:tc>
          <w:tcPr>
            <w:tcW w:w="2134" w:type="dxa"/>
            <w:shd w:val="clear" w:color="auto" w:fill="auto"/>
            <w:noWrap/>
            <w:vAlign w:val="bottom"/>
            <w:hideMark/>
          </w:tcPr>
          <w:p w14:paraId="3DF58D4B"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103A5196"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126" w:type="dxa"/>
            <w:shd w:val="clear" w:color="auto" w:fill="auto"/>
            <w:noWrap/>
            <w:vAlign w:val="bottom"/>
            <w:hideMark/>
          </w:tcPr>
          <w:p w14:paraId="2858AB14"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Reference</w:t>
            </w:r>
          </w:p>
        </w:tc>
        <w:tc>
          <w:tcPr>
            <w:tcW w:w="1221" w:type="dxa"/>
            <w:shd w:val="clear" w:color="auto" w:fill="auto"/>
            <w:noWrap/>
            <w:vAlign w:val="bottom"/>
            <w:hideMark/>
          </w:tcPr>
          <w:p w14:paraId="01FA4017"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Difference</w:t>
            </w:r>
          </w:p>
        </w:tc>
        <w:tc>
          <w:tcPr>
            <w:tcW w:w="1257" w:type="dxa"/>
            <w:gridSpan w:val="2"/>
            <w:shd w:val="clear" w:color="auto" w:fill="auto"/>
            <w:noWrap/>
            <w:vAlign w:val="bottom"/>
            <w:hideMark/>
          </w:tcPr>
          <w:p w14:paraId="78795E09"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LED</w:t>
            </w:r>
          </w:p>
        </w:tc>
      </w:tr>
      <w:tr w:rsidR="00FF677B" w:rsidRPr="00B55E83" w14:paraId="5E232FC2" w14:textId="77777777" w:rsidTr="00FF677B">
        <w:trPr>
          <w:trHeight w:val="300"/>
        </w:trPr>
        <w:tc>
          <w:tcPr>
            <w:tcW w:w="2134" w:type="dxa"/>
            <w:shd w:val="clear" w:color="auto" w:fill="auto"/>
            <w:noWrap/>
            <w:vAlign w:val="bottom"/>
            <w:hideMark/>
          </w:tcPr>
          <w:p w14:paraId="63A3D48F"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VSL (billion $)</w:t>
            </w:r>
          </w:p>
        </w:tc>
        <w:tc>
          <w:tcPr>
            <w:tcW w:w="764" w:type="dxa"/>
            <w:shd w:val="clear" w:color="auto" w:fill="auto"/>
            <w:noWrap/>
            <w:vAlign w:val="bottom"/>
            <w:hideMark/>
          </w:tcPr>
          <w:p w14:paraId="1F1E63D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2020</w:t>
            </w:r>
          </w:p>
        </w:tc>
        <w:tc>
          <w:tcPr>
            <w:tcW w:w="1126" w:type="dxa"/>
            <w:shd w:val="clear" w:color="auto" w:fill="auto"/>
            <w:noWrap/>
            <w:vAlign w:val="bottom"/>
            <w:hideMark/>
          </w:tcPr>
          <w:p w14:paraId="6BE90C8A"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648</w:t>
            </w:r>
          </w:p>
        </w:tc>
        <w:tc>
          <w:tcPr>
            <w:tcW w:w="1221" w:type="dxa"/>
            <w:shd w:val="clear" w:color="auto" w:fill="auto"/>
            <w:noWrap/>
            <w:vAlign w:val="bottom"/>
            <w:hideMark/>
          </w:tcPr>
          <w:p w14:paraId="2F2917C9"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257" w:type="dxa"/>
            <w:gridSpan w:val="2"/>
            <w:shd w:val="clear" w:color="auto" w:fill="auto"/>
            <w:noWrap/>
            <w:vAlign w:val="bottom"/>
            <w:hideMark/>
          </w:tcPr>
          <w:p w14:paraId="568241CD"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17113667" w14:textId="77777777" w:rsidTr="00FF677B">
        <w:trPr>
          <w:trHeight w:val="300"/>
        </w:trPr>
        <w:tc>
          <w:tcPr>
            <w:tcW w:w="2134" w:type="dxa"/>
            <w:shd w:val="clear" w:color="auto" w:fill="auto"/>
            <w:noWrap/>
            <w:vAlign w:val="bottom"/>
            <w:hideMark/>
          </w:tcPr>
          <w:p w14:paraId="06EC20F6"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2BB93E0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2030</w:t>
            </w:r>
          </w:p>
        </w:tc>
        <w:tc>
          <w:tcPr>
            <w:tcW w:w="1126" w:type="dxa"/>
            <w:shd w:val="clear" w:color="auto" w:fill="auto"/>
            <w:noWrap/>
            <w:vAlign w:val="bottom"/>
            <w:hideMark/>
          </w:tcPr>
          <w:p w14:paraId="7C8D8960"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814</w:t>
            </w:r>
          </w:p>
        </w:tc>
        <w:tc>
          <w:tcPr>
            <w:tcW w:w="1221" w:type="dxa"/>
            <w:shd w:val="clear" w:color="auto" w:fill="auto"/>
            <w:noWrap/>
            <w:vAlign w:val="bottom"/>
            <w:hideMark/>
          </w:tcPr>
          <w:p w14:paraId="05731396"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9</w:t>
            </w:r>
          </w:p>
        </w:tc>
        <w:tc>
          <w:tcPr>
            <w:tcW w:w="1257" w:type="dxa"/>
            <w:gridSpan w:val="2"/>
            <w:shd w:val="clear" w:color="auto" w:fill="auto"/>
            <w:noWrap/>
            <w:vAlign w:val="bottom"/>
            <w:hideMark/>
          </w:tcPr>
          <w:p w14:paraId="2AC307DB"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805</w:t>
            </w:r>
          </w:p>
        </w:tc>
      </w:tr>
      <w:tr w:rsidR="00FF677B" w:rsidRPr="00B55E83" w14:paraId="1728DD84" w14:textId="77777777" w:rsidTr="00FF677B">
        <w:trPr>
          <w:trHeight w:val="300"/>
        </w:trPr>
        <w:tc>
          <w:tcPr>
            <w:tcW w:w="2134" w:type="dxa"/>
            <w:shd w:val="clear" w:color="auto" w:fill="auto"/>
            <w:noWrap/>
            <w:vAlign w:val="bottom"/>
            <w:hideMark/>
          </w:tcPr>
          <w:p w14:paraId="0A60B8BB"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3B9B90F6"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2040</w:t>
            </w:r>
          </w:p>
        </w:tc>
        <w:tc>
          <w:tcPr>
            <w:tcW w:w="1126" w:type="dxa"/>
            <w:shd w:val="clear" w:color="auto" w:fill="auto"/>
            <w:noWrap/>
            <w:vAlign w:val="bottom"/>
            <w:hideMark/>
          </w:tcPr>
          <w:p w14:paraId="5A14FB97"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1021</w:t>
            </w:r>
          </w:p>
        </w:tc>
        <w:tc>
          <w:tcPr>
            <w:tcW w:w="1221" w:type="dxa"/>
            <w:shd w:val="clear" w:color="auto" w:fill="auto"/>
            <w:noWrap/>
            <w:vAlign w:val="bottom"/>
            <w:hideMark/>
          </w:tcPr>
          <w:p w14:paraId="3B92396F"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22</w:t>
            </w:r>
          </w:p>
        </w:tc>
        <w:tc>
          <w:tcPr>
            <w:tcW w:w="1257" w:type="dxa"/>
            <w:gridSpan w:val="2"/>
            <w:shd w:val="clear" w:color="auto" w:fill="auto"/>
            <w:noWrap/>
            <w:vAlign w:val="bottom"/>
            <w:hideMark/>
          </w:tcPr>
          <w:p w14:paraId="73B2385B"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999</w:t>
            </w:r>
          </w:p>
        </w:tc>
      </w:tr>
      <w:tr w:rsidR="00FF677B" w:rsidRPr="00B55E83" w14:paraId="5130CCE3" w14:textId="77777777" w:rsidTr="00FF677B">
        <w:trPr>
          <w:trHeight w:val="300"/>
        </w:trPr>
        <w:tc>
          <w:tcPr>
            <w:tcW w:w="2134" w:type="dxa"/>
            <w:shd w:val="clear" w:color="auto" w:fill="auto"/>
            <w:noWrap/>
            <w:vAlign w:val="bottom"/>
            <w:hideMark/>
          </w:tcPr>
          <w:p w14:paraId="15C6DE82"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0952D4A2"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2050</w:t>
            </w:r>
          </w:p>
        </w:tc>
        <w:tc>
          <w:tcPr>
            <w:tcW w:w="1126" w:type="dxa"/>
            <w:shd w:val="clear" w:color="auto" w:fill="auto"/>
            <w:noWrap/>
            <w:vAlign w:val="bottom"/>
            <w:hideMark/>
          </w:tcPr>
          <w:p w14:paraId="49B3EF3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1239</w:t>
            </w:r>
          </w:p>
        </w:tc>
        <w:tc>
          <w:tcPr>
            <w:tcW w:w="1221" w:type="dxa"/>
            <w:shd w:val="clear" w:color="auto" w:fill="auto"/>
            <w:noWrap/>
            <w:vAlign w:val="bottom"/>
            <w:hideMark/>
          </w:tcPr>
          <w:p w14:paraId="7807B2E9"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39</w:t>
            </w:r>
          </w:p>
        </w:tc>
        <w:tc>
          <w:tcPr>
            <w:tcW w:w="1257" w:type="dxa"/>
            <w:gridSpan w:val="2"/>
            <w:shd w:val="clear" w:color="auto" w:fill="auto"/>
            <w:noWrap/>
            <w:vAlign w:val="bottom"/>
            <w:hideMark/>
          </w:tcPr>
          <w:p w14:paraId="5A678A4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1200</w:t>
            </w:r>
          </w:p>
        </w:tc>
      </w:tr>
      <w:tr w:rsidR="00FF677B" w:rsidRPr="00B55E83" w14:paraId="11FCF2D5" w14:textId="77777777" w:rsidTr="00FF677B">
        <w:trPr>
          <w:trHeight w:val="300"/>
        </w:trPr>
        <w:tc>
          <w:tcPr>
            <w:tcW w:w="6237" w:type="dxa"/>
            <w:gridSpan w:val="5"/>
            <w:shd w:val="clear" w:color="auto" w:fill="auto"/>
            <w:noWrap/>
            <w:vAlign w:val="bottom"/>
            <w:hideMark/>
          </w:tcPr>
          <w:p w14:paraId="6CDC5307" w14:textId="77777777" w:rsidR="00FF677B" w:rsidRPr="00B55E83" w:rsidRDefault="00FF677B" w:rsidP="00B55E83">
            <w:pPr>
              <w:spacing w:after="0" w:line="240" w:lineRule="auto"/>
              <w:rPr>
                <w:rFonts w:ascii="Calibri" w:eastAsia="Times New Roman" w:hAnsi="Calibri" w:cs="Calibri"/>
                <w:b/>
                <w:bCs/>
                <w:color w:val="000000"/>
                <w:kern w:val="0"/>
                <w:sz w:val="22"/>
                <w:szCs w:val="22"/>
                <w:lang w:eastAsia="en-GB"/>
                <w14:ligatures w14:val="none"/>
              </w:rPr>
            </w:pPr>
          </w:p>
        </w:tc>
        <w:tc>
          <w:tcPr>
            <w:tcW w:w="265" w:type="dxa"/>
            <w:shd w:val="clear" w:color="auto" w:fill="auto"/>
            <w:noWrap/>
            <w:vAlign w:val="bottom"/>
            <w:hideMark/>
          </w:tcPr>
          <w:p w14:paraId="5B6A243C"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647189FD" w14:textId="77777777" w:rsidTr="00FF677B">
        <w:trPr>
          <w:trHeight w:val="300"/>
        </w:trPr>
        <w:tc>
          <w:tcPr>
            <w:tcW w:w="2898" w:type="dxa"/>
            <w:gridSpan w:val="2"/>
            <w:shd w:val="clear" w:color="auto" w:fill="auto"/>
            <w:noWrap/>
            <w:vAlign w:val="bottom"/>
            <w:hideMark/>
          </w:tcPr>
          <w:p w14:paraId="2FFC9179"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Premature deaths (thousands)</w:t>
            </w:r>
          </w:p>
        </w:tc>
        <w:tc>
          <w:tcPr>
            <w:tcW w:w="1126" w:type="dxa"/>
            <w:shd w:val="clear" w:color="auto" w:fill="auto"/>
            <w:noWrap/>
            <w:vAlign w:val="bottom"/>
            <w:hideMark/>
          </w:tcPr>
          <w:p w14:paraId="07659C5D"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Reference</w:t>
            </w:r>
          </w:p>
        </w:tc>
        <w:tc>
          <w:tcPr>
            <w:tcW w:w="1221" w:type="dxa"/>
            <w:shd w:val="clear" w:color="auto" w:fill="auto"/>
            <w:noWrap/>
            <w:vAlign w:val="bottom"/>
            <w:hideMark/>
          </w:tcPr>
          <w:p w14:paraId="1CD00733"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Difference</w:t>
            </w:r>
          </w:p>
        </w:tc>
        <w:tc>
          <w:tcPr>
            <w:tcW w:w="1257" w:type="dxa"/>
            <w:gridSpan w:val="2"/>
            <w:shd w:val="clear" w:color="auto" w:fill="auto"/>
            <w:noWrap/>
            <w:vAlign w:val="bottom"/>
            <w:hideMark/>
          </w:tcPr>
          <w:p w14:paraId="73B0E5EC"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LED</w:t>
            </w:r>
          </w:p>
        </w:tc>
      </w:tr>
      <w:tr w:rsidR="00FF677B" w:rsidRPr="00B55E83" w14:paraId="2EB93245" w14:textId="77777777" w:rsidTr="00FF677B">
        <w:trPr>
          <w:trHeight w:val="300"/>
        </w:trPr>
        <w:tc>
          <w:tcPr>
            <w:tcW w:w="2134" w:type="dxa"/>
            <w:shd w:val="clear" w:color="auto" w:fill="auto"/>
            <w:noWrap/>
            <w:vAlign w:val="bottom"/>
            <w:hideMark/>
          </w:tcPr>
          <w:p w14:paraId="72C7A778"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70708A65"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2020</w:t>
            </w:r>
          </w:p>
        </w:tc>
        <w:tc>
          <w:tcPr>
            <w:tcW w:w="1126" w:type="dxa"/>
            <w:shd w:val="clear" w:color="auto" w:fill="auto"/>
            <w:noWrap/>
            <w:vAlign w:val="bottom"/>
            <w:hideMark/>
          </w:tcPr>
          <w:p w14:paraId="287A42C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33</w:t>
            </w:r>
          </w:p>
        </w:tc>
        <w:tc>
          <w:tcPr>
            <w:tcW w:w="1221" w:type="dxa"/>
            <w:shd w:val="clear" w:color="auto" w:fill="auto"/>
            <w:noWrap/>
            <w:vAlign w:val="bottom"/>
            <w:hideMark/>
          </w:tcPr>
          <w:p w14:paraId="32DC009C"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257" w:type="dxa"/>
            <w:gridSpan w:val="2"/>
            <w:shd w:val="clear" w:color="auto" w:fill="auto"/>
            <w:noWrap/>
            <w:vAlign w:val="bottom"/>
            <w:hideMark/>
          </w:tcPr>
          <w:p w14:paraId="3D102070"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1CE3970A" w14:textId="77777777" w:rsidTr="00FF677B">
        <w:trPr>
          <w:trHeight w:val="300"/>
        </w:trPr>
        <w:tc>
          <w:tcPr>
            <w:tcW w:w="2134" w:type="dxa"/>
            <w:shd w:val="clear" w:color="auto" w:fill="auto"/>
            <w:noWrap/>
            <w:vAlign w:val="bottom"/>
            <w:hideMark/>
          </w:tcPr>
          <w:p w14:paraId="11CA42C8"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1770B199"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2030</w:t>
            </w:r>
          </w:p>
        </w:tc>
        <w:tc>
          <w:tcPr>
            <w:tcW w:w="1126" w:type="dxa"/>
            <w:shd w:val="clear" w:color="auto" w:fill="auto"/>
            <w:noWrap/>
            <w:vAlign w:val="bottom"/>
            <w:hideMark/>
          </w:tcPr>
          <w:p w14:paraId="595A043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25</w:t>
            </w:r>
          </w:p>
        </w:tc>
        <w:tc>
          <w:tcPr>
            <w:tcW w:w="1221" w:type="dxa"/>
            <w:shd w:val="clear" w:color="auto" w:fill="auto"/>
            <w:noWrap/>
            <w:vAlign w:val="bottom"/>
            <w:hideMark/>
          </w:tcPr>
          <w:p w14:paraId="4BCCF949"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w:t>
            </w:r>
          </w:p>
        </w:tc>
        <w:tc>
          <w:tcPr>
            <w:tcW w:w="1257" w:type="dxa"/>
            <w:gridSpan w:val="2"/>
            <w:shd w:val="clear" w:color="auto" w:fill="auto"/>
            <w:noWrap/>
            <w:vAlign w:val="bottom"/>
            <w:hideMark/>
          </w:tcPr>
          <w:p w14:paraId="118455FD"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24</w:t>
            </w:r>
          </w:p>
        </w:tc>
      </w:tr>
      <w:tr w:rsidR="00FF677B" w:rsidRPr="00B55E83" w14:paraId="738BA46E" w14:textId="77777777" w:rsidTr="00FF677B">
        <w:trPr>
          <w:trHeight w:val="300"/>
        </w:trPr>
        <w:tc>
          <w:tcPr>
            <w:tcW w:w="2134" w:type="dxa"/>
            <w:shd w:val="clear" w:color="auto" w:fill="auto"/>
            <w:noWrap/>
            <w:vAlign w:val="bottom"/>
            <w:hideMark/>
          </w:tcPr>
          <w:p w14:paraId="62262316"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6C1CF5A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2040</w:t>
            </w:r>
          </w:p>
        </w:tc>
        <w:tc>
          <w:tcPr>
            <w:tcW w:w="1126" w:type="dxa"/>
            <w:shd w:val="clear" w:color="auto" w:fill="auto"/>
            <w:noWrap/>
            <w:vAlign w:val="bottom"/>
            <w:hideMark/>
          </w:tcPr>
          <w:p w14:paraId="2E081E3F"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24</w:t>
            </w:r>
          </w:p>
        </w:tc>
        <w:tc>
          <w:tcPr>
            <w:tcW w:w="1221" w:type="dxa"/>
            <w:shd w:val="clear" w:color="auto" w:fill="auto"/>
            <w:noWrap/>
            <w:vAlign w:val="bottom"/>
            <w:hideMark/>
          </w:tcPr>
          <w:p w14:paraId="428186BF"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3</w:t>
            </w:r>
          </w:p>
        </w:tc>
        <w:tc>
          <w:tcPr>
            <w:tcW w:w="1257" w:type="dxa"/>
            <w:gridSpan w:val="2"/>
            <w:shd w:val="clear" w:color="auto" w:fill="auto"/>
            <w:noWrap/>
            <w:vAlign w:val="bottom"/>
            <w:hideMark/>
          </w:tcPr>
          <w:p w14:paraId="7E1B2C9E"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21</w:t>
            </w:r>
          </w:p>
        </w:tc>
      </w:tr>
      <w:tr w:rsidR="00FF677B" w:rsidRPr="00B55E83" w14:paraId="6EAA64F6" w14:textId="77777777" w:rsidTr="00FF677B">
        <w:trPr>
          <w:trHeight w:val="300"/>
        </w:trPr>
        <w:tc>
          <w:tcPr>
            <w:tcW w:w="2134" w:type="dxa"/>
            <w:shd w:val="clear" w:color="auto" w:fill="auto"/>
            <w:noWrap/>
            <w:vAlign w:val="bottom"/>
            <w:hideMark/>
          </w:tcPr>
          <w:p w14:paraId="4F2FF3B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7DA49E25"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2050</w:t>
            </w:r>
          </w:p>
        </w:tc>
        <w:tc>
          <w:tcPr>
            <w:tcW w:w="1126" w:type="dxa"/>
            <w:shd w:val="clear" w:color="auto" w:fill="auto"/>
            <w:noWrap/>
            <w:vAlign w:val="bottom"/>
            <w:hideMark/>
          </w:tcPr>
          <w:p w14:paraId="2F53F145"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24</w:t>
            </w:r>
          </w:p>
        </w:tc>
        <w:tc>
          <w:tcPr>
            <w:tcW w:w="1221" w:type="dxa"/>
            <w:shd w:val="clear" w:color="auto" w:fill="auto"/>
            <w:noWrap/>
            <w:vAlign w:val="bottom"/>
            <w:hideMark/>
          </w:tcPr>
          <w:p w14:paraId="53E4C6B6"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3</w:t>
            </w:r>
          </w:p>
        </w:tc>
        <w:tc>
          <w:tcPr>
            <w:tcW w:w="1257" w:type="dxa"/>
            <w:gridSpan w:val="2"/>
            <w:shd w:val="clear" w:color="auto" w:fill="auto"/>
            <w:noWrap/>
            <w:vAlign w:val="bottom"/>
            <w:hideMark/>
          </w:tcPr>
          <w:p w14:paraId="0AA81E9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21</w:t>
            </w:r>
          </w:p>
        </w:tc>
      </w:tr>
      <w:tr w:rsidR="00FF677B" w:rsidRPr="00B55E83" w14:paraId="5BA4CD9B" w14:textId="77777777" w:rsidTr="00FF677B">
        <w:trPr>
          <w:trHeight w:val="300"/>
        </w:trPr>
        <w:tc>
          <w:tcPr>
            <w:tcW w:w="2134" w:type="dxa"/>
            <w:shd w:val="clear" w:color="auto" w:fill="auto"/>
            <w:noWrap/>
            <w:vAlign w:val="bottom"/>
            <w:hideMark/>
          </w:tcPr>
          <w:p w14:paraId="19F036F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2F79767A"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126" w:type="dxa"/>
            <w:shd w:val="clear" w:color="auto" w:fill="auto"/>
            <w:noWrap/>
            <w:vAlign w:val="bottom"/>
            <w:hideMark/>
          </w:tcPr>
          <w:p w14:paraId="61C2EA81"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Reference</w:t>
            </w:r>
          </w:p>
        </w:tc>
        <w:tc>
          <w:tcPr>
            <w:tcW w:w="1221" w:type="dxa"/>
            <w:shd w:val="clear" w:color="auto" w:fill="auto"/>
            <w:noWrap/>
            <w:vAlign w:val="bottom"/>
            <w:hideMark/>
          </w:tcPr>
          <w:p w14:paraId="7D2767A9"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Difference</w:t>
            </w:r>
          </w:p>
        </w:tc>
        <w:tc>
          <w:tcPr>
            <w:tcW w:w="1257" w:type="dxa"/>
            <w:gridSpan w:val="2"/>
            <w:shd w:val="clear" w:color="auto" w:fill="auto"/>
            <w:noWrap/>
            <w:vAlign w:val="bottom"/>
            <w:hideMark/>
          </w:tcPr>
          <w:p w14:paraId="6BC0B9CD"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LED</w:t>
            </w:r>
          </w:p>
        </w:tc>
      </w:tr>
      <w:tr w:rsidR="00FF677B" w:rsidRPr="00B55E83" w14:paraId="4C2FC30D" w14:textId="77777777" w:rsidTr="00FF677B">
        <w:trPr>
          <w:trHeight w:val="300"/>
        </w:trPr>
        <w:tc>
          <w:tcPr>
            <w:tcW w:w="2134" w:type="dxa"/>
            <w:shd w:val="clear" w:color="auto" w:fill="auto"/>
            <w:noWrap/>
            <w:vAlign w:val="bottom"/>
            <w:hideMark/>
          </w:tcPr>
          <w:p w14:paraId="5C708EF2"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VSL (billion $)</w:t>
            </w:r>
          </w:p>
        </w:tc>
        <w:tc>
          <w:tcPr>
            <w:tcW w:w="764" w:type="dxa"/>
            <w:shd w:val="clear" w:color="auto" w:fill="auto"/>
            <w:noWrap/>
            <w:vAlign w:val="bottom"/>
            <w:hideMark/>
          </w:tcPr>
          <w:p w14:paraId="6528B95F"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2020</w:t>
            </w:r>
          </w:p>
        </w:tc>
        <w:tc>
          <w:tcPr>
            <w:tcW w:w="1126" w:type="dxa"/>
            <w:shd w:val="clear" w:color="auto" w:fill="auto"/>
            <w:noWrap/>
            <w:vAlign w:val="bottom"/>
            <w:hideMark/>
          </w:tcPr>
          <w:p w14:paraId="665C5B15"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66</w:t>
            </w:r>
          </w:p>
        </w:tc>
        <w:tc>
          <w:tcPr>
            <w:tcW w:w="1221" w:type="dxa"/>
            <w:shd w:val="clear" w:color="auto" w:fill="auto"/>
            <w:noWrap/>
            <w:vAlign w:val="bottom"/>
            <w:hideMark/>
          </w:tcPr>
          <w:p w14:paraId="47D60594"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257" w:type="dxa"/>
            <w:gridSpan w:val="2"/>
            <w:shd w:val="clear" w:color="auto" w:fill="auto"/>
            <w:noWrap/>
            <w:vAlign w:val="bottom"/>
            <w:hideMark/>
          </w:tcPr>
          <w:p w14:paraId="78A0CEF0"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14DF6B61" w14:textId="77777777" w:rsidTr="00FF677B">
        <w:trPr>
          <w:trHeight w:val="300"/>
        </w:trPr>
        <w:tc>
          <w:tcPr>
            <w:tcW w:w="2134" w:type="dxa"/>
            <w:shd w:val="clear" w:color="auto" w:fill="auto"/>
            <w:noWrap/>
            <w:vAlign w:val="bottom"/>
            <w:hideMark/>
          </w:tcPr>
          <w:p w14:paraId="5F5A98EC"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31A96F5A"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2030</w:t>
            </w:r>
          </w:p>
        </w:tc>
        <w:tc>
          <w:tcPr>
            <w:tcW w:w="1126" w:type="dxa"/>
            <w:shd w:val="clear" w:color="auto" w:fill="auto"/>
            <w:noWrap/>
            <w:vAlign w:val="bottom"/>
            <w:hideMark/>
          </w:tcPr>
          <w:p w14:paraId="4C218C76"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51</w:t>
            </w:r>
          </w:p>
        </w:tc>
        <w:tc>
          <w:tcPr>
            <w:tcW w:w="1221" w:type="dxa"/>
            <w:shd w:val="clear" w:color="auto" w:fill="auto"/>
            <w:noWrap/>
            <w:vAlign w:val="bottom"/>
            <w:hideMark/>
          </w:tcPr>
          <w:p w14:paraId="7DEB50D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3</w:t>
            </w:r>
          </w:p>
        </w:tc>
        <w:tc>
          <w:tcPr>
            <w:tcW w:w="1257" w:type="dxa"/>
            <w:gridSpan w:val="2"/>
            <w:shd w:val="clear" w:color="auto" w:fill="auto"/>
            <w:noWrap/>
            <w:vAlign w:val="bottom"/>
            <w:hideMark/>
          </w:tcPr>
          <w:p w14:paraId="478A049A"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48</w:t>
            </w:r>
          </w:p>
        </w:tc>
      </w:tr>
      <w:tr w:rsidR="00FF677B" w:rsidRPr="00B55E83" w14:paraId="0B0D1A18" w14:textId="77777777" w:rsidTr="00FF677B">
        <w:trPr>
          <w:trHeight w:val="300"/>
        </w:trPr>
        <w:tc>
          <w:tcPr>
            <w:tcW w:w="2134" w:type="dxa"/>
            <w:shd w:val="clear" w:color="auto" w:fill="auto"/>
            <w:noWrap/>
            <w:vAlign w:val="bottom"/>
            <w:hideMark/>
          </w:tcPr>
          <w:p w14:paraId="5A271D23"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2995AAB2"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2040</w:t>
            </w:r>
          </w:p>
        </w:tc>
        <w:tc>
          <w:tcPr>
            <w:tcW w:w="1126" w:type="dxa"/>
            <w:shd w:val="clear" w:color="auto" w:fill="auto"/>
            <w:noWrap/>
            <w:vAlign w:val="bottom"/>
            <w:hideMark/>
          </w:tcPr>
          <w:p w14:paraId="6DC2467A"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48</w:t>
            </w:r>
          </w:p>
        </w:tc>
        <w:tc>
          <w:tcPr>
            <w:tcW w:w="1221" w:type="dxa"/>
            <w:shd w:val="clear" w:color="auto" w:fill="auto"/>
            <w:noWrap/>
            <w:vAlign w:val="bottom"/>
            <w:hideMark/>
          </w:tcPr>
          <w:p w14:paraId="6EB88C2F"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5</w:t>
            </w:r>
          </w:p>
        </w:tc>
        <w:tc>
          <w:tcPr>
            <w:tcW w:w="1257" w:type="dxa"/>
            <w:gridSpan w:val="2"/>
            <w:shd w:val="clear" w:color="auto" w:fill="auto"/>
            <w:noWrap/>
            <w:vAlign w:val="bottom"/>
            <w:hideMark/>
          </w:tcPr>
          <w:p w14:paraId="38E6D884"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43</w:t>
            </w:r>
          </w:p>
        </w:tc>
      </w:tr>
      <w:tr w:rsidR="00FF677B" w:rsidRPr="00B55E83" w14:paraId="61B7A3D3" w14:textId="77777777" w:rsidTr="00FF677B">
        <w:trPr>
          <w:trHeight w:val="300"/>
        </w:trPr>
        <w:tc>
          <w:tcPr>
            <w:tcW w:w="2134" w:type="dxa"/>
            <w:shd w:val="clear" w:color="auto" w:fill="auto"/>
            <w:noWrap/>
            <w:vAlign w:val="bottom"/>
            <w:hideMark/>
          </w:tcPr>
          <w:p w14:paraId="10AED1E7"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1DB753D3"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2050</w:t>
            </w:r>
          </w:p>
        </w:tc>
        <w:tc>
          <w:tcPr>
            <w:tcW w:w="1126" w:type="dxa"/>
            <w:shd w:val="clear" w:color="auto" w:fill="auto"/>
            <w:noWrap/>
            <w:vAlign w:val="bottom"/>
            <w:hideMark/>
          </w:tcPr>
          <w:p w14:paraId="1D17956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47</w:t>
            </w:r>
          </w:p>
        </w:tc>
        <w:tc>
          <w:tcPr>
            <w:tcW w:w="1221" w:type="dxa"/>
            <w:shd w:val="clear" w:color="auto" w:fill="auto"/>
            <w:noWrap/>
            <w:vAlign w:val="bottom"/>
            <w:hideMark/>
          </w:tcPr>
          <w:p w14:paraId="6C00F590"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w:t>
            </w:r>
          </w:p>
        </w:tc>
        <w:tc>
          <w:tcPr>
            <w:tcW w:w="1257" w:type="dxa"/>
            <w:gridSpan w:val="2"/>
            <w:shd w:val="clear" w:color="auto" w:fill="auto"/>
            <w:noWrap/>
            <w:vAlign w:val="bottom"/>
            <w:hideMark/>
          </w:tcPr>
          <w:p w14:paraId="7BD97DAF"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42</w:t>
            </w:r>
          </w:p>
        </w:tc>
      </w:tr>
      <w:tr w:rsidR="00FF677B" w:rsidRPr="00B55E83" w14:paraId="56652B2A" w14:textId="77777777" w:rsidTr="00FF677B">
        <w:trPr>
          <w:trHeight w:val="300"/>
        </w:trPr>
        <w:tc>
          <w:tcPr>
            <w:tcW w:w="4024" w:type="dxa"/>
            <w:gridSpan w:val="3"/>
            <w:shd w:val="clear" w:color="auto" w:fill="auto"/>
            <w:noWrap/>
            <w:vAlign w:val="bottom"/>
            <w:hideMark/>
          </w:tcPr>
          <w:p w14:paraId="5D14BC3A" w14:textId="3E65D0DC" w:rsidR="00FF677B" w:rsidRPr="00B55E83" w:rsidRDefault="00FF677B" w:rsidP="00B55E83">
            <w:pPr>
              <w:spacing w:after="0" w:line="240" w:lineRule="auto"/>
              <w:rPr>
                <w:rFonts w:ascii="Calibri" w:eastAsia="Times New Roman" w:hAnsi="Calibri" w:cs="Calibri"/>
                <w:color w:val="FF0000"/>
                <w:kern w:val="0"/>
                <w:sz w:val="22"/>
                <w:szCs w:val="22"/>
                <w:lang w:eastAsia="en-GB"/>
                <w14:ligatures w14:val="none"/>
              </w:rPr>
            </w:pPr>
            <w:r w:rsidRPr="00B55E83">
              <w:rPr>
                <w:rFonts w:ascii="Calibri" w:eastAsia="Times New Roman" w:hAnsi="Calibri" w:cs="Calibri"/>
                <w:kern w:val="0"/>
                <w:sz w:val="22"/>
                <w:szCs w:val="22"/>
                <w:lang w:eastAsia="en-GB"/>
                <w14:ligatures w14:val="none"/>
              </w:rPr>
              <w:t xml:space="preserve">Active days gain </w:t>
            </w:r>
            <w:r>
              <w:rPr>
                <w:rFonts w:ascii="Calibri" w:eastAsia="Times New Roman" w:hAnsi="Calibri" w:cs="Calibri"/>
                <w:kern w:val="0"/>
                <w:sz w:val="22"/>
                <w:szCs w:val="22"/>
                <w:lang w:eastAsia="en-GB"/>
                <w14:ligatures w14:val="none"/>
              </w:rPr>
              <w:t>–</w:t>
            </w:r>
            <w:r w:rsidRPr="00B55E83">
              <w:rPr>
                <w:rFonts w:ascii="Calibri" w:eastAsia="Times New Roman" w:hAnsi="Calibri" w:cs="Calibri"/>
                <w:kern w:val="0"/>
                <w:sz w:val="22"/>
                <w:szCs w:val="22"/>
                <w:lang w:eastAsia="en-GB"/>
                <w14:ligatures w14:val="none"/>
              </w:rPr>
              <w:t xml:space="preserve"> India</w:t>
            </w:r>
            <w:r>
              <w:rPr>
                <w:rFonts w:ascii="Calibri" w:eastAsia="Times New Roman" w:hAnsi="Calibri" w:cs="Calibri"/>
                <w:kern w:val="0"/>
                <w:sz w:val="22"/>
                <w:szCs w:val="22"/>
                <w:lang w:eastAsia="en-GB"/>
                <w14:ligatures w14:val="none"/>
              </w:rPr>
              <w:t xml:space="preserve"> (in millions)</w:t>
            </w:r>
          </w:p>
        </w:tc>
        <w:tc>
          <w:tcPr>
            <w:tcW w:w="1221" w:type="dxa"/>
            <w:shd w:val="clear" w:color="auto" w:fill="auto"/>
            <w:noWrap/>
            <w:vAlign w:val="bottom"/>
            <w:hideMark/>
          </w:tcPr>
          <w:p w14:paraId="5066AE37"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257" w:type="dxa"/>
            <w:gridSpan w:val="2"/>
            <w:shd w:val="clear" w:color="auto" w:fill="auto"/>
            <w:noWrap/>
            <w:vAlign w:val="bottom"/>
            <w:hideMark/>
          </w:tcPr>
          <w:p w14:paraId="0E365B9C"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23263E9F" w14:textId="77777777" w:rsidTr="00FF677B">
        <w:trPr>
          <w:trHeight w:val="300"/>
        </w:trPr>
        <w:tc>
          <w:tcPr>
            <w:tcW w:w="2134" w:type="dxa"/>
            <w:shd w:val="clear" w:color="auto" w:fill="auto"/>
            <w:noWrap/>
            <w:vAlign w:val="bottom"/>
            <w:hideMark/>
          </w:tcPr>
          <w:p w14:paraId="0235CCA5"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64F87602"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126" w:type="dxa"/>
            <w:shd w:val="clear" w:color="auto" w:fill="auto"/>
            <w:noWrap/>
            <w:vAlign w:val="bottom"/>
            <w:hideMark/>
          </w:tcPr>
          <w:p w14:paraId="2AD4210B"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Reference</w:t>
            </w:r>
          </w:p>
        </w:tc>
        <w:tc>
          <w:tcPr>
            <w:tcW w:w="1221" w:type="dxa"/>
            <w:shd w:val="clear" w:color="auto" w:fill="auto"/>
            <w:noWrap/>
            <w:vAlign w:val="bottom"/>
            <w:hideMark/>
          </w:tcPr>
          <w:p w14:paraId="6ED1D678"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Difference</w:t>
            </w:r>
          </w:p>
        </w:tc>
        <w:tc>
          <w:tcPr>
            <w:tcW w:w="1257" w:type="dxa"/>
            <w:gridSpan w:val="2"/>
            <w:shd w:val="clear" w:color="auto" w:fill="auto"/>
            <w:noWrap/>
            <w:vAlign w:val="bottom"/>
            <w:hideMark/>
          </w:tcPr>
          <w:p w14:paraId="031DA3EC"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LED</w:t>
            </w:r>
          </w:p>
        </w:tc>
      </w:tr>
      <w:tr w:rsidR="00FF677B" w:rsidRPr="00B55E83" w14:paraId="1B74DA29" w14:textId="77777777" w:rsidTr="00FF677B">
        <w:trPr>
          <w:trHeight w:val="300"/>
        </w:trPr>
        <w:tc>
          <w:tcPr>
            <w:tcW w:w="2134" w:type="dxa"/>
            <w:shd w:val="clear" w:color="auto" w:fill="auto"/>
            <w:noWrap/>
            <w:vAlign w:val="bottom"/>
            <w:hideMark/>
          </w:tcPr>
          <w:p w14:paraId="0D3D21D9"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7D484244"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2020</w:t>
            </w:r>
          </w:p>
        </w:tc>
        <w:tc>
          <w:tcPr>
            <w:tcW w:w="1126" w:type="dxa"/>
            <w:shd w:val="clear" w:color="auto" w:fill="auto"/>
            <w:noWrap/>
            <w:vAlign w:val="bottom"/>
            <w:hideMark/>
          </w:tcPr>
          <w:p w14:paraId="582332FF"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6552</w:t>
            </w:r>
          </w:p>
        </w:tc>
        <w:tc>
          <w:tcPr>
            <w:tcW w:w="1221" w:type="dxa"/>
            <w:shd w:val="clear" w:color="auto" w:fill="auto"/>
            <w:noWrap/>
            <w:vAlign w:val="bottom"/>
            <w:hideMark/>
          </w:tcPr>
          <w:p w14:paraId="10EE1118"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257" w:type="dxa"/>
            <w:gridSpan w:val="2"/>
            <w:shd w:val="clear" w:color="auto" w:fill="auto"/>
            <w:noWrap/>
            <w:vAlign w:val="bottom"/>
            <w:hideMark/>
          </w:tcPr>
          <w:p w14:paraId="181291EC"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4D4F14E4" w14:textId="77777777" w:rsidTr="00FF677B">
        <w:trPr>
          <w:trHeight w:val="300"/>
        </w:trPr>
        <w:tc>
          <w:tcPr>
            <w:tcW w:w="2134" w:type="dxa"/>
            <w:shd w:val="clear" w:color="auto" w:fill="auto"/>
            <w:noWrap/>
            <w:vAlign w:val="bottom"/>
            <w:hideMark/>
          </w:tcPr>
          <w:p w14:paraId="6CE21F0C"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39CE0C7E"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2030</w:t>
            </w:r>
          </w:p>
        </w:tc>
        <w:tc>
          <w:tcPr>
            <w:tcW w:w="1126" w:type="dxa"/>
            <w:shd w:val="clear" w:color="auto" w:fill="auto"/>
            <w:noWrap/>
            <w:vAlign w:val="bottom"/>
            <w:hideMark/>
          </w:tcPr>
          <w:p w14:paraId="30C1FE70"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7079</w:t>
            </w:r>
          </w:p>
        </w:tc>
        <w:tc>
          <w:tcPr>
            <w:tcW w:w="1221" w:type="dxa"/>
            <w:shd w:val="clear" w:color="auto" w:fill="auto"/>
            <w:noWrap/>
            <w:vAlign w:val="bottom"/>
            <w:hideMark/>
          </w:tcPr>
          <w:p w14:paraId="5C6004E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361</w:t>
            </w:r>
          </w:p>
        </w:tc>
        <w:tc>
          <w:tcPr>
            <w:tcW w:w="1257" w:type="dxa"/>
            <w:gridSpan w:val="2"/>
            <w:shd w:val="clear" w:color="auto" w:fill="auto"/>
            <w:noWrap/>
            <w:vAlign w:val="bottom"/>
            <w:hideMark/>
          </w:tcPr>
          <w:p w14:paraId="6AA81589"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6718</w:t>
            </w:r>
          </w:p>
        </w:tc>
      </w:tr>
      <w:tr w:rsidR="00FF677B" w:rsidRPr="00B55E83" w14:paraId="72178102" w14:textId="77777777" w:rsidTr="00FF677B">
        <w:trPr>
          <w:trHeight w:val="300"/>
        </w:trPr>
        <w:tc>
          <w:tcPr>
            <w:tcW w:w="2134" w:type="dxa"/>
            <w:shd w:val="clear" w:color="auto" w:fill="auto"/>
            <w:noWrap/>
            <w:vAlign w:val="bottom"/>
            <w:hideMark/>
          </w:tcPr>
          <w:p w14:paraId="6DE14CC9"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774BB2AD"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2040</w:t>
            </w:r>
          </w:p>
        </w:tc>
        <w:tc>
          <w:tcPr>
            <w:tcW w:w="1126" w:type="dxa"/>
            <w:shd w:val="clear" w:color="auto" w:fill="auto"/>
            <w:noWrap/>
            <w:vAlign w:val="bottom"/>
            <w:hideMark/>
          </w:tcPr>
          <w:p w14:paraId="2E129A33"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7466</w:t>
            </w:r>
          </w:p>
        </w:tc>
        <w:tc>
          <w:tcPr>
            <w:tcW w:w="1221" w:type="dxa"/>
            <w:shd w:val="clear" w:color="auto" w:fill="auto"/>
            <w:noWrap/>
            <w:vAlign w:val="bottom"/>
            <w:hideMark/>
          </w:tcPr>
          <w:p w14:paraId="4734FE5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733</w:t>
            </w:r>
          </w:p>
        </w:tc>
        <w:tc>
          <w:tcPr>
            <w:tcW w:w="1257" w:type="dxa"/>
            <w:gridSpan w:val="2"/>
            <w:shd w:val="clear" w:color="auto" w:fill="auto"/>
            <w:noWrap/>
            <w:vAlign w:val="bottom"/>
            <w:hideMark/>
          </w:tcPr>
          <w:p w14:paraId="570EE943"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6733</w:t>
            </w:r>
          </w:p>
        </w:tc>
      </w:tr>
      <w:tr w:rsidR="00FF677B" w:rsidRPr="00B55E83" w14:paraId="40ED4278" w14:textId="77777777" w:rsidTr="00FF677B">
        <w:trPr>
          <w:trHeight w:val="300"/>
        </w:trPr>
        <w:tc>
          <w:tcPr>
            <w:tcW w:w="2134" w:type="dxa"/>
            <w:shd w:val="clear" w:color="auto" w:fill="auto"/>
            <w:noWrap/>
            <w:vAlign w:val="bottom"/>
            <w:hideMark/>
          </w:tcPr>
          <w:p w14:paraId="0ABD297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15ED21FD"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2050</w:t>
            </w:r>
          </w:p>
        </w:tc>
        <w:tc>
          <w:tcPr>
            <w:tcW w:w="1126" w:type="dxa"/>
            <w:shd w:val="clear" w:color="auto" w:fill="auto"/>
            <w:noWrap/>
            <w:vAlign w:val="bottom"/>
            <w:hideMark/>
          </w:tcPr>
          <w:p w14:paraId="453D9345"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7639</w:t>
            </w:r>
          </w:p>
        </w:tc>
        <w:tc>
          <w:tcPr>
            <w:tcW w:w="1221" w:type="dxa"/>
            <w:shd w:val="clear" w:color="auto" w:fill="auto"/>
            <w:noWrap/>
            <w:vAlign w:val="bottom"/>
            <w:hideMark/>
          </w:tcPr>
          <w:p w14:paraId="60E98FFD"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1060</w:t>
            </w:r>
          </w:p>
        </w:tc>
        <w:tc>
          <w:tcPr>
            <w:tcW w:w="1257" w:type="dxa"/>
            <w:gridSpan w:val="2"/>
            <w:shd w:val="clear" w:color="auto" w:fill="auto"/>
            <w:noWrap/>
            <w:vAlign w:val="bottom"/>
            <w:hideMark/>
          </w:tcPr>
          <w:p w14:paraId="7B45D445"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6579</w:t>
            </w:r>
          </w:p>
        </w:tc>
      </w:tr>
      <w:tr w:rsidR="00FF677B" w:rsidRPr="00B55E83" w14:paraId="3C5138D5" w14:textId="77777777" w:rsidTr="00FF677B">
        <w:trPr>
          <w:trHeight w:val="300"/>
        </w:trPr>
        <w:tc>
          <w:tcPr>
            <w:tcW w:w="6502" w:type="dxa"/>
            <w:gridSpan w:val="6"/>
            <w:shd w:val="clear" w:color="auto" w:fill="auto"/>
            <w:noWrap/>
            <w:vAlign w:val="bottom"/>
            <w:hideMark/>
          </w:tcPr>
          <w:p w14:paraId="69033D3D" w14:textId="248DA546" w:rsidR="00FF677B" w:rsidRPr="00B55E83" w:rsidRDefault="00FF677B" w:rsidP="00B55E83">
            <w:pPr>
              <w:spacing w:after="0" w:line="240" w:lineRule="auto"/>
              <w:rPr>
                <w:rFonts w:ascii="Calibri" w:eastAsia="Times New Roman" w:hAnsi="Calibri" w:cs="Calibri"/>
                <w:color w:val="FF0000"/>
                <w:kern w:val="0"/>
                <w:sz w:val="22"/>
                <w:szCs w:val="22"/>
                <w:lang w:eastAsia="en-GB"/>
                <w14:ligatures w14:val="none"/>
              </w:rPr>
            </w:pPr>
            <w:r w:rsidRPr="00FF677B">
              <w:rPr>
                <w:rFonts w:ascii="Calibri" w:eastAsia="Times New Roman" w:hAnsi="Calibri" w:cs="Calibri"/>
                <w:kern w:val="0"/>
                <w:sz w:val="22"/>
                <w:szCs w:val="22"/>
                <w:lang w:eastAsia="en-GB"/>
                <w14:ligatures w14:val="none"/>
              </w:rPr>
              <w:t>Morbidity related cost (million$) in India</w:t>
            </w:r>
            <w:r w:rsidRPr="00FF677B">
              <w:rPr>
                <w:rFonts w:ascii="Calibri" w:eastAsia="Times New Roman" w:hAnsi="Calibri" w:cs="Calibri"/>
                <w:color w:val="FF0000"/>
                <w:kern w:val="0"/>
                <w:sz w:val="22"/>
                <w:szCs w:val="22"/>
                <w:lang w:eastAsia="en-GB"/>
                <w14:ligatures w14:val="none"/>
              </w:rPr>
              <w:t xml:space="preserve"> </w:t>
            </w:r>
            <w:r w:rsidRPr="00FF677B">
              <w:rPr>
                <w:rFonts w:ascii="Calibri" w:eastAsia="Times New Roman" w:hAnsi="Calibri" w:cs="Calibri"/>
                <w:color w:val="FF0000"/>
                <w:kern w:val="0"/>
                <w:sz w:val="22"/>
                <w:szCs w:val="22"/>
                <w:lang w:eastAsia="en-GB"/>
                <w14:ligatures w14:val="none"/>
              </w:rPr>
              <w:tab/>
            </w:r>
            <w:r w:rsidRPr="00FF677B">
              <w:rPr>
                <w:rFonts w:ascii="Calibri" w:eastAsia="Times New Roman" w:hAnsi="Calibri" w:cs="Calibri"/>
                <w:color w:val="FF0000"/>
                <w:kern w:val="0"/>
                <w:sz w:val="22"/>
                <w:szCs w:val="22"/>
                <w:lang w:eastAsia="en-GB"/>
                <w14:ligatures w14:val="none"/>
              </w:rPr>
              <w:tab/>
            </w:r>
            <w:r w:rsidRPr="00FF677B">
              <w:rPr>
                <w:rFonts w:ascii="Calibri" w:eastAsia="Times New Roman" w:hAnsi="Calibri" w:cs="Calibri"/>
                <w:color w:val="FF0000"/>
                <w:kern w:val="0"/>
                <w:sz w:val="22"/>
                <w:szCs w:val="22"/>
                <w:lang w:eastAsia="en-GB"/>
                <w14:ligatures w14:val="none"/>
              </w:rPr>
              <w:tab/>
            </w:r>
          </w:p>
        </w:tc>
      </w:tr>
      <w:tr w:rsidR="00FF677B" w:rsidRPr="00B55E83" w14:paraId="2034241B" w14:textId="77777777" w:rsidTr="00FF677B">
        <w:trPr>
          <w:trHeight w:val="300"/>
        </w:trPr>
        <w:tc>
          <w:tcPr>
            <w:tcW w:w="2134" w:type="dxa"/>
            <w:shd w:val="clear" w:color="auto" w:fill="auto"/>
            <w:noWrap/>
            <w:vAlign w:val="bottom"/>
            <w:hideMark/>
          </w:tcPr>
          <w:p w14:paraId="12FE1DE5"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39CD9DDA"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126" w:type="dxa"/>
            <w:shd w:val="clear" w:color="auto" w:fill="auto"/>
            <w:noWrap/>
            <w:vAlign w:val="bottom"/>
            <w:hideMark/>
          </w:tcPr>
          <w:p w14:paraId="202D8EDC"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Reference</w:t>
            </w:r>
          </w:p>
        </w:tc>
        <w:tc>
          <w:tcPr>
            <w:tcW w:w="1221" w:type="dxa"/>
            <w:shd w:val="clear" w:color="auto" w:fill="auto"/>
            <w:noWrap/>
            <w:vAlign w:val="bottom"/>
            <w:hideMark/>
          </w:tcPr>
          <w:p w14:paraId="1E3343BD"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Difference</w:t>
            </w:r>
          </w:p>
        </w:tc>
        <w:tc>
          <w:tcPr>
            <w:tcW w:w="1257" w:type="dxa"/>
            <w:gridSpan w:val="2"/>
            <w:shd w:val="clear" w:color="auto" w:fill="auto"/>
            <w:noWrap/>
            <w:vAlign w:val="bottom"/>
            <w:hideMark/>
          </w:tcPr>
          <w:p w14:paraId="2FBA7C02"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LED</w:t>
            </w:r>
          </w:p>
        </w:tc>
      </w:tr>
      <w:tr w:rsidR="00FF677B" w:rsidRPr="00B55E83" w14:paraId="0481B425" w14:textId="77777777" w:rsidTr="00FF677B">
        <w:trPr>
          <w:trHeight w:val="300"/>
        </w:trPr>
        <w:tc>
          <w:tcPr>
            <w:tcW w:w="2134" w:type="dxa"/>
            <w:shd w:val="clear" w:color="auto" w:fill="auto"/>
            <w:noWrap/>
            <w:vAlign w:val="bottom"/>
            <w:hideMark/>
          </w:tcPr>
          <w:p w14:paraId="0B59EF50"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143E78D4"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2020</w:t>
            </w:r>
          </w:p>
        </w:tc>
        <w:tc>
          <w:tcPr>
            <w:tcW w:w="1126" w:type="dxa"/>
            <w:shd w:val="clear" w:color="auto" w:fill="auto"/>
            <w:noWrap/>
            <w:vAlign w:val="bottom"/>
            <w:hideMark/>
          </w:tcPr>
          <w:p w14:paraId="3BAE094D"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46</w:t>
            </w:r>
          </w:p>
        </w:tc>
        <w:tc>
          <w:tcPr>
            <w:tcW w:w="1221" w:type="dxa"/>
            <w:shd w:val="clear" w:color="auto" w:fill="auto"/>
            <w:noWrap/>
            <w:vAlign w:val="bottom"/>
            <w:hideMark/>
          </w:tcPr>
          <w:p w14:paraId="1D46D04D"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257" w:type="dxa"/>
            <w:gridSpan w:val="2"/>
            <w:shd w:val="clear" w:color="auto" w:fill="auto"/>
            <w:noWrap/>
            <w:vAlign w:val="bottom"/>
            <w:hideMark/>
          </w:tcPr>
          <w:p w14:paraId="40B1EA99"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08FB087A" w14:textId="77777777" w:rsidTr="00FF677B">
        <w:trPr>
          <w:trHeight w:val="300"/>
        </w:trPr>
        <w:tc>
          <w:tcPr>
            <w:tcW w:w="2134" w:type="dxa"/>
            <w:shd w:val="clear" w:color="auto" w:fill="auto"/>
            <w:noWrap/>
            <w:vAlign w:val="bottom"/>
            <w:hideMark/>
          </w:tcPr>
          <w:p w14:paraId="7EE8AAA2"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3EE6F5B9"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2030</w:t>
            </w:r>
          </w:p>
        </w:tc>
        <w:tc>
          <w:tcPr>
            <w:tcW w:w="1126" w:type="dxa"/>
            <w:shd w:val="clear" w:color="auto" w:fill="auto"/>
            <w:noWrap/>
            <w:vAlign w:val="bottom"/>
            <w:hideMark/>
          </w:tcPr>
          <w:p w14:paraId="3D6D9133"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52</w:t>
            </w:r>
          </w:p>
        </w:tc>
        <w:tc>
          <w:tcPr>
            <w:tcW w:w="1221" w:type="dxa"/>
            <w:shd w:val="clear" w:color="auto" w:fill="auto"/>
            <w:noWrap/>
            <w:vAlign w:val="bottom"/>
            <w:hideMark/>
          </w:tcPr>
          <w:p w14:paraId="49AAEE73"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3</w:t>
            </w:r>
          </w:p>
        </w:tc>
        <w:tc>
          <w:tcPr>
            <w:tcW w:w="1257" w:type="dxa"/>
            <w:gridSpan w:val="2"/>
            <w:shd w:val="clear" w:color="auto" w:fill="auto"/>
            <w:noWrap/>
            <w:vAlign w:val="bottom"/>
            <w:hideMark/>
          </w:tcPr>
          <w:p w14:paraId="3D8A982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50</w:t>
            </w:r>
          </w:p>
        </w:tc>
      </w:tr>
      <w:tr w:rsidR="00FF677B" w:rsidRPr="00B55E83" w14:paraId="1BF4437A" w14:textId="77777777" w:rsidTr="00FF677B">
        <w:trPr>
          <w:trHeight w:val="300"/>
        </w:trPr>
        <w:tc>
          <w:tcPr>
            <w:tcW w:w="2134" w:type="dxa"/>
            <w:shd w:val="clear" w:color="auto" w:fill="auto"/>
            <w:noWrap/>
            <w:vAlign w:val="bottom"/>
            <w:hideMark/>
          </w:tcPr>
          <w:p w14:paraId="2180E5A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68F7B78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2040</w:t>
            </w:r>
          </w:p>
        </w:tc>
        <w:tc>
          <w:tcPr>
            <w:tcW w:w="1126" w:type="dxa"/>
            <w:shd w:val="clear" w:color="auto" w:fill="auto"/>
            <w:noWrap/>
            <w:vAlign w:val="bottom"/>
            <w:hideMark/>
          </w:tcPr>
          <w:p w14:paraId="02495B5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58</w:t>
            </w:r>
          </w:p>
        </w:tc>
        <w:tc>
          <w:tcPr>
            <w:tcW w:w="1221" w:type="dxa"/>
            <w:shd w:val="clear" w:color="auto" w:fill="auto"/>
            <w:noWrap/>
            <w:vAlign w:val="bottom"/>
            <w:hideMark/>
          </w:tcPr>
          <w:p w14:paraId="7B6A647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w:t>
            </w:r>
          </w:p>
        </w:tc>
        <w:tc>
          <w:tcPr>
            <w:tcW w:w="1257" w:type="dxa"/>
            <w:gridSpan w:val="2"/>
            <w:shd w:val="clear" w:color="auto" w:fill="auto"/>
            <w:noWrap/>
            <w:vAlign w:val="bottom"/>
            <w:hideMark/>
          </w:tcPr>
          <w:p w14:paraId="3B9D4887"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52</w:t>
            </w:r>
          </w:p>
        </w:tc>
      </w:tr>
      <w:tr w:rsidR="00FF677B" w:rsidRPr="00B55E83" w14:paraId="74265B2D" w14:textId="77777777" w:rsidTr="00FF677B">
        <w:trPr>
          <w:trHeight w:val="300"/>
        </w:trPr>
        <w:tc>
          <w:tcPr>
            <w:tcW w:w="2134" w:type="dxa"/>
            <w:shd w:val="clear" w:color="auto" w:fill="auto"/>
            <w:noWrap/>
            <w:vAlign w:val="bottom"/>
            <w:hideMark/>
          </w:tcPr>
          <w:p w14:paraId="04CD7066"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585D9AB2"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2050</w:t>
            </w:r>
          </w:p>
        </w:tc>
        <w:tc>
          <w:tcPr>
            <w:tcW w:w="1126" w:type="dxa"/>
            <w:shd w:val="clear" w:color="auto" w:fill="auto"/>
            <w:noWrap/>
            <w:vAlign w:val="bottom"/>
            <w:hideMark/>
          </w:tcPr>
          <w:p w14:paraId="1A048DD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62</w:t>
            </w:r>
          </w:p>
        </w:tc>
        <w:tc>
          <w:tcPr>
            <w:tcW w:w="1221" w:type="dxa"/>
            <w:shd w:val="clear" w:color="auto" w:fill="auto"/>
            <w:noWrap/>
            <w:vAlign w:val="bottom"/>
            <w:hideMark/>
          </w:tcPr>
          <w:p w14:paraId="41F14A00"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9</w:t>
            </w:r>
          </w:p>
        </w:tc>
        <w:tc>
          <w:tcPr>
            <w:tcW w:w="1257" w:type="dxa"/>
            <w:gridSpan w:val="2"/>
            <w:shd w:val="clear" w:color="auto" w:fill="auto"/>
            <w:noWrap/>
            <w:vAlign w:val="bottom"/>
            <w:hideMark/>
          </w:tcPr>
          <w:p w14:paraId="60B0A7E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54</w:t>
            </w:r>
          </w:p>
        </w:tc>
      </w:tr>
      <w:tr w:rsidR="00FF677B" w:rsidRPr="00B55E83" w14:paraId="2E6A2140" w14:textId="77777777" w:rsidTr="00FF677B">
        <w:trPr>
          <w:trHeight w:val="300"/>
        </w:trPr>
        <w:tc>
          <w:tcPr>
            <w:tcW w:w="4024" w:type="dxa"/>
            <w:gridSpan w:val="3"/>
            <w:shd w:val="clear" w:color="auto" w:fill="auto"/>
            <w:noWrap/>
            <w:vAlign w:val="bottom"/>
            <w:hideMark/>
          </w:tcPr>
          <w:p w14:paraId="7E84BCC3" w14:textId="60BDB84A" w:rsidR="00FF677B" w:rsidRPr="00B55E83" w:rsidRDefault="00FF677B" w:rsidP="00B55E83">
            <w:pPr>
              <w:spacing w:after="0" w:line="240" w:lineRule="auto"/>
              <w:rPr>
                <w:rFonts w:ascii="Calibri" w:eastAsia="Times New Roman" w:hAnsi="Calibri" w:cs="Calibri"/>
                <w:color w:val="FF0000"/>
                <w:kern w:val="0"/>
                <w:sz w:val="22"/>
                <w:szCs w:val="22"/>
                <w:lang w:eastAsia="en-GB"/>
                <w14:ligatures w14:val="none"/>
              </w:rPr>
            </w:pPr>
            <w:r w:rsidRPr="00B55E83">
              <w:rPr>
                <w:rFonts w:ascii="Calibri" w:eastAsia="Times New Roman" w:hAnsi="Calibri" w:cs="Calibri"/>
                <w:kern w:val="0"/>
                <w:sz w:val="22"/>
                <w:szCs w:val="22"/>
                <w:lang w:eastAsia="en-GB"/>
                <w14:ligatures w14:val="none"/>
              </w:rPr>
              <w:t xml:space="preserve">Active days gain </w:t>
            </w:r>
            <w:r>
              <w:rPr>
                <w:rFonts w:ascii="Calibri" w:eastAsia="Times New Roman" w:hAnsi="Calibri" w:cs="Calibri"/>
                <w:kern w:val="0"/>
                <w:sz w:val="22"/>
                <w:szCs w:val="22"/>
                <w:lang w:eastAsia="en-GB"/>
                <w14:ligatures w14:val="none"/>
              </w:rPr>
              <w:t>–</w:t>
            </w:r>
            <w:r w:rsidRPr="00B55E83">
              <w:rPr>
                <w:rFonts w:ascii="Calibri" w:eastAsia="Times New Roman" w:hAnsi="Calibri" w:cs="Calibri"/>
                <w:kern w:val="0"/>
                <w:sz w:val="22"/>
                <w:szCs w:val="22"/>
                <w:lang w:eastAsia="en-GB"/>
                <w14:ligatures w14:val="none"/>
              </w:rPr>
              <w:t xml:space="preserve"> UK</w:t>
            </w:r>
            <w:r>
              <w:rPr>
                <w:rFonts w:ascii="Calibri" w:eastAsia="Times New Roman" w:hAnsi="Calibri" w:cs="Calibri"/>
                <w:kern w:val="0"/>
                <w:sz w:val="22"/>
                <w:szCs w:val="22"/>
                <w:lang w:eastAsia="en-GB"/>
                <w14:ligatures w14:val="none"/>
              </w:rPr>
              <w:t xml:space="preserve"> </w:t>
            </w:r>
            <w:r>
              <w:rPr>
                <w:rFonts w:ascii="Calibri" w:eastAsia="Times New Roman" w:hAnsi="Calibri" w:cs="Calibri"/>
                <w:kern w:val="0"/>
                <w:sz w:val="22"/>
                <w:szCs w:val="22"/>
                <w:lang w:eastAsia="en-GB"/>
                <w14:ligatures w14:val="none"/>
              </w:rPr>
              <w:t>(in millions)</w:t>
            </w:r>
          </w:p>
        </w:tc>
        <w:tc>
          <w:tcPr>
            <w:tcW w:w="1221" w:type="dxa"/>
            <w:shd w:val="clear" w:color="auto" w:fill="auto"/>
            <w:noWrap/>
            <w:vAlign w:val="bottom"/>
            <w:hideMark/>
          </w:tcPr>
          <w:p w14:paraId="57744204"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257" w:type="dxa"/>
            <w:gridSpan w:val="2"/>
            <w:shd w:val="clear" w:color="auto" w:fill="auto"/>
            <w:noWrap/>
            <w:vAlign w:val="bottom"/>
            <w:hideMark/>
          </w:tcPr>
          <w:p w14:paraId="221583B3"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7A4F2E24" w14:textId="77777777" w:rsidTr="00FF677B">
        <w:trPr>
          <w:trHeight w:val="300"/>
        </w:trPr>
        <w:tc>
          <w:tcPr>
            <w:tcW w:w="2134" w:type="dxa"/>
            <w:shd w:val="clear" w:color="auto" w:fill="auto"/>
            <w:noWrap/>
            <w:vAlign w:val="bottom"/>
            <w:hideMark/>
          </w:tcPr>
          <w:p w14:paraId="388A6912"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30EDA2B2"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126" w:type="dxa"/>
            <w:shd w:val="clear" w:color="auto" w:fill="auto"/>
            <w:noWrap/>
            <w:vAlign w:val="bottom"/>
            <w:hideMark/>
          </w:tcPr>
          <w:p w14:paraId="27874143"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Reference</w:t>
            </w:r>
          </w:p>
        </w:tc>
        <w:tc>
          <w:tcPr>
            <w:tcW w:w="1221" w:type="dxa"/>
            <w:shd w:val="clear" w:color="auto" w:fill="auto"/>
            <w:noWrap/>
            <w:vAlign w:val="bottom"/>
            <w:hideMark/>
          </w:tcPr>
          <w:p w14:paraId="35EB12C1"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Difference</w:t>
            </w:r>
          </w:p>
        </w:tc>
        <w:tc>
          <w:tcPr>
            <w:tcW w:w="1257" w:type="dxa"/>
            <w:gridSpan w:val="2"/>
            <w:shd w:val="clear" w:color="auto" w:fill="auto"/>
            <w:noWrap/>
            <w:vAlign w:val="bottom"/>
            <w:hideMark/>
          </w:tcPr>
          <w:p w14:paraId="163B4192"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LED</w:t>
            </w:r>
          </w:p>
        </w:tc>
      </w:tr>
      <w:tr w:rsidR="00FF677B" w:rsidRPr="00B55E83" w14:paraId="4F619657" w14:textId="77777777" w:rsidTr="00FF677B">
        <w:trPr>
          <w:trHeight w:val="300"/>
        </w:trPr>
        <w:tc>
          <w:tcPr>
            <w:tcW w:w="2134" w:type="dxa"/>
            <w:shd w:val="clear" w:color="auto" w:fill="auto"/>
            <w:noWrap/>
            <w:vAlign w:val="bottom"/>
            <w:hideMark/>
          </w:tcPr>
          <w:p w14:paraId="4AAA0C72"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78AC4482"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2020</w:t>
            </w:r>
          </w:p>
        </w:tc>
        <w:tc>
          <w:tcPr>
            <w:tcW w:w="1126" w:type="dxa"/>
            <w:shd w:val="clear" w:color="auto" w:fill="auto"/>
            <w:noWrap/>
            <w:vAlign w:val="bottom"/>
            <w:hideMark/>
          </w:tcPr>
          <w:p w14:paraId="03CD19EE"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272</w:t>
            </w:r>
          </w:p>
        </w:tc>
        <w:tc>
          <w:tcPr>
            <w:tcW w:w="1221" w:type="dxa"/>
            <w:shd w:val="clear" w:color="auto" w:fill="auto"/>
            <w:noWrap/>
            <w:vAlign w:val="bottom"/>
            <w:hideMark/>
          </w:tcPr>
          <w:p w14:paraId="3614499F"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257" w:type="dxa"/>
            <w:gridSpan w:val="2"/>
            <w:shd w:val="clear" w:color="auto" w:fill="auto"/>
            <w:noWrap/>
            <w:vAlign w:val="bottom"/>
            <w:hideMark/>
          </w:tcPr>
          <w:p w14:paraId="43592EB4"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5680F0CA" w14:textId="77777777" w:rsidTr="00FF677B">
        <w:trPr>
          <w:trHeight w:val="300"/>
        </w:trPr>
        <w:tc>
          <w:tcPr>
            <w:tcW w:w="2134" w:type="dxa"/>
            <w:shd w:val="clear" w:color="auto" w:fill="auto"/>
            <w:noWrap/>
            <w:vAlign w:val="bottom"/>
            <w:hideMark/>
          </w:tcPr>
          <w:p w14:paraId="6DD17779"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17E13E1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2030</w:t>
            </w:r>
          </w:p>
        </w:tc>
        <w:tc>
          <w:tcPr>
            <w:tcW w:w="1126" w:type="dxa"/>
            <w:shd w:val="clear" w:color="auto" w:fill="auto"/>
            <w:noWrap/>
            <w:vAlign w:val="bottom"/>
            <w:hideMark/>
          </w:tcPr>
          <w:p w14:paraId="3716D53D"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279</w:t>
            </w:r>
          </w:p>
        </w:tc>
        <w:tc>
          <w:tcPr>
            <w:tcW w:w="1221" w:type="dxa"/>
            <w:shd w:val="clear" w:color="auto" w:fill="auto"/>
            <w:noWrap/>
            <w:vAlign w:val="bottom"/>
            <w:hideMark/>
          </w:tcPr>
          <w:p w14:paraId="3A71114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40</w:t>
            </w:r>
          </w:p>
        </w:tc>
        <w:tc>
          <w:tcPr>
            <w:tcW w:w="1257" w:type="dxa"/>
            <w:gridSpan w:val="2"/>
            <w:shd w:val="clear" w:color="auto" w:fill="auto"/>
            <w:noWrap/>
            <w:vAlign w:val="bottom"/>
            <w:hideMark/>
          </w:tcPr>
          <w:p w14:paraId="1EAFBA0B"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239</w:t>
            </w:r>
          </w:p>
        </w:tc>
      </w:tr>
      <w:tr w:rsidR="00FF677B" w:rsidRPr="00B55E83" w14:paraId="2A09AAD2" w14:textId="77777777" w:rsidTr="00FF677B">
        <w:trPr>
          <w:trHeight w:val="300"/>
        </w:trPr>
        <w:tc>
          <w:tcPr>
            <w:tcW w:w="2134" w:type="dxa"/>
            <w:shd w:val="clear" w:color="auto" w:fill="auto"/>
            <w:noWrap/>
            <w:vAlign w:val="bottom"/>
            <w:hideMark/>
          </w:tcPr>
          <w:p w14:paraId="2BA26973"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10B4221E"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2040</w:t>
            </w:r>
          </w:p>
        </w:tc>
        <w:tc>
          <w:tcPr>
            <w:tcW w:w="1126" w:type="dxa"/>
            <w:shd w:val="clear" w:color="auto" w:fill="auto"/>
            <w:noWrap/>
            <w:vAlign w:val="bottom"/>
            <w:hideMark/>
          </w:tcPr>
          <w:p w14:paraId="698D9B5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287</w:t>
            </w:r>
          </w:p>
        </w:tc>
        <w:tc>
          <w:tcPr>
            <w:tcW w:w="1221" w:type="dxa"/>
            <w:shd w:val="clear" w:color="auto" w:fill="auto"/>
            <w:noWrap/>
            <w:vAlign w:val="bottom"/>
            <w:hideMark/>
          </w:tcPr>
          <w:p w14:paraId="793D5E61"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57</w:t>
            </w:r>
          </w:p>
        </w:tc>
        <w:tc>
          <w:tcPr>
            <w:tcW w:w="1257" w:type="dxa"/>
            <w:gridSpan w:val="2"/>
            <w:shd w:val="clear" w:color="auto" w:fill="auto"/>
            <w:noWrap/>
            <w:vAlign w:val="bottom"/>
            <w:hideMark/>
          </w:tcPr>
          <w:p w14:paraId="425AA21B"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230</w:t>
            </w:r>
          </w:p>
        </w:tc>
      </w:tr>
      <w:tr w:rsidR="00FF677B" w:rsidRPr="00B55E83" w14:paraId="2321C14B" w14:textId="77777777" w:rsidTr="00FF677B">
        <w:trPr>
          <w:trHeight w:val="300"/>
        </w:trPr>
        <w:tc>
          <w:tcPr>
            <w:tcW w:w="2134" w:type="dxa"/>
            <w:shd w:val="clear" w:color="auto" w:fill="auto"/>
            <w:noWrap/>
            <w:vAlign w:val="bottom"/>
            <w:hideMark/>
          </w:tcPr>
          <w:p w14:paraId="4FEAF8EE"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045C969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2050</w:t>
            </w:r>
          </w:p>
        </w:tc>
        <w:tc>
          <w:tcPr>
            <w:tcW w:w="1126" w:type="dxa"/>
            <w:shd w:val="clear" w:color="auto" w:fill="auto"/>
            <w:noWrap/>
            <w:vAlign w:val="bottom"/>
            <w:hideMark/>
          </w:tcPr>
          <w:p w14:paraId="6F0A9179"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296</w:t>
            </w:r>
          </w:p>
        </w:tc>
        <w:tc>
          <w:tcPr>
            <w:tcW w:w="1221" w:type="dxa"/>
            <w:shd w:val="clear" w:color="auto" w:fill="auto"/>
            <w:noWrap/>
            <w:vAlign w:val="bottom"/>
            <w:hideMark/>
          </w:tcPr>
          <w:p w14:paraId="3AE7A1C5"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67</w:t>
            </w:r>
          </w:p>
        </w:tc>
        <w:tc>
          <w:tcPr>
            <w:tcW w:w="1257" w:type="dxa"/>
            <w:gridSpan w:val="2"/>
            <w:shd w:val="clear" w:color="auto" w:fill="auto"/>
            <w:noWrap/>
            <w:vAlign w:val="bottom"/>
            <w:hideMark/>
          </w:tcPr>
          <w:p w14:paraId="6335D463"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229</w:t>
            </w:r>
          </w:p>
        </w:tc>
      </w:tr>
      <w:tr w:rsidR="00FF677B" w:rsidRPr="00B55E83" w14:paraId="38076A4D" w14:textId="77777777" w:rsidTr="00FF677B">
        <w:trPr>
          <w:trHeight w:val="300"/>
        </w:trPr>
        <w:tc>
          <w:tcPr>
            <w:tcW w:w="6237" w:type="dxa"/>
            <w:gridSpan w:val="5"/>
            <w:shd w:val="clear" w:color="auto" w:fill="auto"/>
            <w:noWrap/>
            <w:vAlign w:val="bottom"/>
            <w:hideMark/>
          </w:tcPr>
          <w:p w14:paraId="033E43F0" w14:textId="4495ACFC" w:rsidR="00FF677B" w:rsidRPr="00B55E83" w:rsidRDefault="00FF677B" w:rsidP="00B55E83">
            <w:pPr>
              <w:spacing w:after="0" w:line="240" w:lineRule="auto"/>
              <w:rPr>
                <w:rFonts w:ascii="Calibri" w:eastAsia="Times New Roman" w:hAnsi="Calibri" w:cs="Calibri"/>
                <w:kern w:val="0"/>
                <w:sz w:val="22"/>
                <w:szCs w:val="22"/>
                <w:lang w:eastAsia="en-GB"/>
                <w14:ligatures w14:val="none"/>
              </w:rPr>
            </w:pPr>
            <w:r w:rsidRPr="00FF677B">
              <w:rPr>
                <w:rFonts w:ascii="Calibri" w:eastAsia="Times New Roman" w:hAnsi="Calibri" w:cs="Calibri"/>
                <w:kern w:val="0"/>
                <w:sz w:val="22"/>
                <w:szCs w:val="22"/>
                <w:lang w:eastAsia="en-GB"/>
                <w14:ligatures w14:val="none"/>
              </w:rPr>
              <w:t>Morbidity related cost (million$) in India</w:t>
            </w:r>
          </w:p>
        </w:tc>
        <w:tc>
          <w:tcPr>
            <w:tcW w:w="265" w:type="dxa"/>
            <w:shd w:val="clear" w:color="auto" w:fill="auto"/>
            <w:noWrap/>
            <w:vAlign w:val="bottom"/>
            <w:hideMark/>
          </w:tcPr>
          <w:p w14:paraId="06C11320"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0961B954" w14:textId="77777777" w:rsidTr="00FF677B">
        <w:trPr>
          <w:trHeight w:val="300"/>
        </w:trPr>
        <w:tc>
          <w:tcPr>
            <w:tcW w:w="2134" w:type="dxa"/>
            <w:shd w:val="clear" w:color="auto" w:fill="auto"/>
            <w:noWrap/>
            <w:vAlign w:val="bottom"/>
            <w:hideMark/>
          </w:tcPr>
          <w:p w14:paraId="0F85D4DF" w14:textId="77777777" w:rsidR="00FF677B" w:rsidRPr="00B55E83" w:rsidRDefault="00FF677B" w:rsidP="00B55E83">
            <w:pPr>
              <w:spacing w:after="0" w:line="240" w:lineRule="auto"/>
              <w:rPr>
                <w:rFonts w:ascii="Calibri" w:eastAsia="Times New Roman" w:hAnsi="Calibri" w:cs="Calibri"/>
                <w:kern w:val="0"/>
                <w:sz w:val="22"/>
                <w:szCs w:val="22"/>
                <w:lang w:eastAsia="en-GB"/>
                <w14:ligatures w14:val="none"/>
              </w:rPr>
            </w:pPr>
          </w:p>
        </w:tc>
        <w:tc>
          <w:tcPr>
            <w:tcW w:w="764" w:type="dxa"/>
            <w:shd w:val="clear" w:color="auto" w:fill="auto"/>
            <w:noWrap/>
            <w:vAlign w:val="bottom"/>
            <w:hideMark/>
          </w:tcPr>
          <w:p w14:paraId="1C442F74"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126" w:type="dxa"/>
            <w:shd w:val="clear" w:color="auto" w:fill="auto"/>
            <w:noWrap/>
            <w:vAlign w:val="bottom"/>
            <w:hideMark/>
          </w:tcPr>
          <w:p w14:paraId="7EDD30B5"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Reference</w:t>
            </w:r>
          </w:p>
        </w:tc>
        <w:tc>
          <w:tcPr>
            <w:tcW w:w="1221" w:type="dxa"/>
            <w:shd w:val="clear" w:color="auto" w:fill="auto"/>
            <w:noWrap/>
            <w:vAlign w:val="bottom"/>
            <w:hideMark/>
          </w:tcPr>
          <w:p w14:paraId="220CC346"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Difference</w:t>
            </w:r>
          </w:p>
        </w:tc>
        <w:tc>
          <w:tcPr>
            <w:tcW w:w="1257" w:type="dxa"/>
            <w:gridSpan w:val="2"/>
            <w:shd w:val="clear" w:color="auto" w:fill="auto"/>
            <w:noWrap/>
            <w:vAlign w:val="bottom"/>
            <w:hideMark/>
          </w:tcPr>
          <w:p w14:paraId="5EAC0C53"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LED</w:t>
            </w:r>
          </w:p>
        </w:tc>
      </w:tr>
      <w:tr w:rsidR="00FF677B" w:rsidRPr="00B55E83" w14:paraId="13F87368" w14:textId="77777777" w:rsidTr="00FF677B">
        <w:trPr>
          <w:trHeight w:val="300"/>
        </w:trPr>
        <w:tc>
          <w:tcPr>
            <w:tcW w:w="2134" w:type="dxa"/>
            <w:shd w:val="clear" w:color="auto" w:fill="auto"/>
            <w:noWrap/>
            <w:vAlign w:val="bottom"/>
            <w:hideMark/>
          </w:tcPr>
          <w:p w14:paraId="050F7195" w14:textId="77777777" w:rsidR="00FF677B" w:rsidRPr="00B55E83" w:rsidRDefault="00FF677B" w:rsidP="00B55E83">
            <w:pPr>
              <w:spacing w:after="0" w:line="240" w:lineRule="auto"/>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3C851F1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2020</w:t>
            </w:r>
          </w:p>
        </w:tc>
        <w:tc>
          <w:tcPr>
            <w:tcW w:w="1126" w:type="dxa"/>
            <w:shd w:val="clear" w:color="auto" w:fill="auto"/>
            <w:noWrap/>
            <w:vAlign w:val="bottom"/>
            <w:hideMark/>
          </w:tcPr>
          <w:p w14:paraId="5A06BDE0"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16</w:t>
            </w:r>
          </w:p>
        </w:tc>
        <w:tc>
          <w:tcPr>
            <w:tcW w:w="1221" w:type="dxa"/>
            <w:shd w:val="clear" w:color="auto" w:fill="auto"/>
            <w:noWrap/>
            <w:vAlign w:val="bottom"/>
            <w:hideMark/>
          </w:tcPr>
          <w:p w14:paraId="0A5C9705"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1257" w:type="dxa"/>
            <w:gridSpan w:val="2"/>
            <w:shd w:val="clear" w:color="auto" w:fill="auto"/>
            <w:noWrap/>
            <w:vAlign w:val="bottom"/>
            <w:hideMark/>
          </w:tcPr>
          <w:p w14:paraId="1D1A45E7"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r>
      <w:tr w:rsidR="00FF677B" w:rsidRPr="00B55E83" w14:paraId="1213C03D" w14:textId="77777777" w:rsidTr="00FF677B">
        <w:trPr>
          <w:trHeight w:val="300"/>
        </w:trPr>
        <w:tc>
          <w:tcPr>
            <w:tcW w:w="2134" w:type="dxa"/>
            <w:shd w:val="clear" w:color="auto" w:fill="auto"/>
            <w:noWrap/>
            <w:vAlign w:val="bottom"/>
            <w:hideMark/>
          </w:tcPr>
          <w:p w14:paraId="3D701102" w14:textId="77777777" w:rsidR="00FF677B" w:rsidRPr="00B55E83" w:rsidRDefault="00FF677B" w:rsidP="00B55E83">
            <w:pPr>
              <w:spacing w:after="0" w:line="240" w:lineRule="auto"/>
              <w:rPr>
                <w:rFonts w:ascii="Times New Roman" w:eastAsia="Times New Roman" w:hAnsi="Times New Roman" w:cs="Times New Roman"/>
                <w:kern w:val="0"/>
                <w:sz w:val="20"/>
                <w:szCs w:val="20"/>
                <w:lang w:eastAsia="en-GB"/>
                <w14:ligatures w14:val="none"/>
              </w:rPr>
            </w:pPr>
          </w:p>
        </w:tc>
        <w:tc>
          <w:tcPr>
            <w:tcW w:w="764" w:type="dxa"/>
            <w:shd w:val="clear" w:color="auto" w:fill="auto"/>
            <w:noWrap/>
            <w:vAlign w:val="bottom"/>
            <w:hideMark/>
          </w:tcPr>
          <w:p w14:paraId="0F49445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2030</w:t>
            </w:r>
          </w:p>
        </w:tc>
        <w:tc>
          <w:tcPr>
            <w:tcW w:w="1126" w:type="dxa"/>
            <w:shd w:val="clear" w:color="auto" w:fill="auto"/>
            <w:noWrap/>
            <w:vAlign w:val="bottom"/>
            <w:hideMark/>
          </w:tcPr>
          <w:p w14:paraId="08D02D9B"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17</w:t>
            </w:r>
          </w:p>
        </w:tc>
        <w:tc>
          <w:tcPr>
            <w:tcW w:w="1221" w:type="dxa"/>
            <w:shd w:val="clear" w:color="auto" w:fill="auto"/>
            <w:noWrap/>
            <w:vAlign w:val="bottom"/>
            <w:hideMark/>
          </w:tcPr>
          <w:p w14:paraId="7AE48C44"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w:t>
            </w:r>
          </w:p>
        </w:tc>
        <w:tc>
          <w:tcPr>
            <w:tcW w:w="1257" w:type="dxa"/>
            <w:gridSpan w:val="2"/>
            <w:shd w:val="clear" w:color="auto" w:fill="auto"/>
            <w:noWrap/>
            <w:vAlign w:val="bottom"/>
            <w:hideMark/>
          </w:tcPr>
          <w:p w14:paraId="2CE6172C"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14</w:t>
            </w:r>
          </w:p>
        </w:tc>
      </w:tr>
      <w:tr w:rsidR="00FF677B" w:rsidRPr="00B55E83" w14:paraId="63FB9CB5" w14:textId="77777777" w:rsidTr="00FF677B">
        <w:trPr>
          <w:trHeight w:val="300"/>
        </w:trPr>
        <w:tc>
          <w:tcPr>
            <w:tcW w:w="2134" w:type="dxa"/>
            <w:shd w:val="clear" w:color="auto" w:fill="auto"/>
            <w:noWrap/>
            <w:vAlign w:val="bottom"/>
            <w:hideMark/>
          </w:tcPr>
          <w:p w14:paraId="1AC2A20E"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37CFA7E9"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2040</w:t>
            </w:r>
          </w:p>
        </w:tc>
        <w:tc>
          <w:tcPr>
            <w:tcW w:w="1126" w:type="dxa"/>
            <w:shd w:val="clear" w:color="auto" w:fill="auto"/>
            <w:noWrap/>
            <w:vAlign w:val="bottom"/>
            <w:hideMark/>
          </w:tcPr>
          <w:p w14:paraId="346971A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18</w:t>
            </w:r>
          </w:p>
        </w:tc>
        <w:tc>
          <w:tcPr>
            <w:tcW w:w="1221" w:type="dxa"/>
            <w:shd w:val="clear" w:color="auto" w:fill="auto"/>
            <w:noWrap/>
            <w:vAlign w:val="bottom"/>
            <w:hideMark/>
          </w:tcPr>
          <w:p w14:paraId="6B69A00F"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3</w:t>
            </w:r>
          </w:p>
        </w:tc>
        <w:tc>
          <w:tcPr>
            <w:tcW w:w="1257" w:type="dxa"/>
            <w:gridSpan w:val="2"/>
            <w:shd w:val="clear" w:color="auto" w:fill="auto"/>
            <w:noWrap/>
            <w:vAlign w:val="bottom"/>
            <w:hideMark/>
          </w:tcPr>
          <w:p w14:paraId="4E2E5EE7"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14</w:t>
            </w:r>
          </w:p>
        </w:tc>
      </w:tr>
      <w:tr w:rsidR="00FF677B" w:rsidRPr="00B55E83" w14:paraId="0B678766" w14:textId="77777777" w:rsidTr="00FF677B">
        <w:trPr>
          <w:trHeight w:val="300"/>
        </w:trPr>
        <w:tc>
          <w:tcPr>
            <w:tcW w:w="2134" w:type="dxa"/>
            <w:shd w:val="clear" w:color="auto" w:fill="auto"/>
            <w:noWrap/>
            <w:vAlign w:val="bottom"/>
            <w:hideMark/>
          </w:tcPr>
          <w:p w14:paraId="46B7AEF5"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p>
        </w:tc>
        <w:tc>
          <w:tcPr>
            <w:tcW w:w="764" w:type="dxa"/>
            <w:shd w:val="clear" w:color="auto" w:fill="auto"/>
            <w:noWrap/>
            <w:vAlign w:val="bottom"/>
            <w:hideMark/>
          </w:tcPr>
          <w:p w14:paraId="0FBFD9BA"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2050</w:t>
            </w:r>
          </w:p>
        </w:tc>
        <w:tc>
          <w:tcPr>
            <w:tcW w:w="1126" w:type="dxa"/>
            <w:shd w:val="clear" w:color="auto" w:fill="auto"/>
            <w:noWrap/>
            <w:vAlign w:val="bottom"/>
            <w:hideMark/>
          </w:tcPr>
          <w:p w14:paraId="4E107D8D"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19</w:t>
            </w:r>
          </w:p>
        </w:tc>
        <w:tc>
          <w:tcPr>
            <w:tcW w:w="1221" w:type="dxa"/>
            <w:shd w:val="clear" w:color="auto" w:fill="auto"/>
            <w:noWrap/>
            <w:vAlign w:val="bottom"/>
            <w:hideMark/>
          </w:tcPr>
          <w:p w14:paraId="3B6BD0EB"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4</w:t>
            </w:r>
          </w:p>
        </w:tc>
        <w:tc>
          <w:tcPr>
            <w:tcW w:w="1257" w:type="dxa"/>
            <w:gridSpan w:val="2"/>
            <w:shd w:val="clear" w:color="auto" w:fill="auto"/>
            <w:noWrap/>
            <w:vAlign w:val="bottom"/>
            <w:hideMark/>
          </w:tcPr>
          <w:p w14:paraId="323A8E08" w14:textId="77777777" w:rsidR="00FF677B" w:rsidRPr="00B55E83" w:rsidRDefault="00FF677B" w:rsidP="00B55E83">
            <w:pPr>
              <w:spacing w:after="0" w:line="240" w:lineRule="auto"/>
              <w:jc w:val="right"/>
              <w:rPr>
                <w:rFonts w:ascii="Calibri" w:eastAsia="Times New Roman" w:hAnsi="Calibri" w:cs="Calibri"/>
                <w:color w:val="000000"/>
                <w:kern w:val="0"/>
                <w:sz w:val="22"/>
                <w:szCs w:val="22"/>
                <w:lang w:eastAsia="en-GB"/>
                <w14:ligatures w14:val="none"/>
              </w:rPr>
            </w:pPr>
            <w:r w:rsidRPr="00B55E83">
              <w:rPr>
                <w:rFonts w:ascii="Calibri" w:eastAsia="Times New Roman" w:hAnsi="Calibri" w:cs="Calibri"/>
                <w:color w:val="000000"/>
                <w:kern w:val="0"/>
                <w:sz w:val="22"/>
                <w:szCs w:val="22"/>
                <w:lang w:eastAsia="en-GB"/>
                <w14:ligatures w14:val="none"/>
              </w:rPr>
              <w:t>14</w:t>
            </w:r>
          </w:p>
        </w:tc>
      </w:tr>
    </w:tbl>
    <w:p w14:paraId="32BBEAEF" w14:textId="77777777" w:rsidR="00B55E83" w:rsidRDefault="00B55E83" w:rsidP="00732936">
      <w:pPr>
        <w:jc w:val="both"/>
      </w:pPr>
    </w:p>
    <w:p w14:paraId="05AEE9D5" w14:textId="5DED2F7A" w:rsidR="00FF677B" w:rsidRDefault="00FF677B" w:rsidP="00FF677B">
      <w:pPr>
        <w:jc w:val="both"/>
        <w:rPr>
          <w:rStyle w:val="Heading1Char"/>
          <w:sz w:val="24"/>
          <w:szCs w:val="24"/>
        </w:rPr>
      </w:pPr>
      <w:r w:rsidRPr="00B55E83">
        <w:rPr>
          <w:rStyle w:val="Heading1Char"/>
          <w:sz w:val="24"/>
          <w:szCs w:val="24"/>
        </w:rPr>
        <w:t xml:space="preserve">Data </w:t>
      </w:r>
      <w:r>
        <w:rPr>
          <w:rStyle w:val="Heading1Char"/>
          <w:sz w:val="24"/>
          <w:szCs w:val="24"/>
        </w:rPr>
        <w:t>of</w:t>
      </w:r>
      <w:r w:rsidRPr="00B55E83">
        <w:rPr>
          <w:rStyle w:val="Heading1Char"/>
          <w:sz w:val="24"/>
          <w:szCs w:val="24"/>
        </w:rPr>
        <w:t xml:space="preserve"> </w:t>
      </w:r>
      <w:r>
        <w:rPr>
          <w:rStyle w:val="Heading1Char"/>
          <w:sz w:val="24"/>
          <w:szCs w:val="24"/>
        </w:rPr>
        <w:t>Employment</w:t>
      </w:r>
      <w:r>
        <w:rPr>
          <w:rStyle w:val="Heading1Char"/>
          <w:sz w:val="24"/>
          <w:szCs w:val="24"/>
        </w:rPr>
        <w:t xml:space="preserve"> Impacts</w:t>
      </w:r>
      <w:r w:rsidRPr="00B55E83">
        <w:rPr>
          <w:rStyle w:val="Heading1Char"/>
          <w:sz w:val="24"/>
          <w:szCs w:val="24"/>
        </w:rPr>
        <w:t>:</w:t>
      </w:r>
    </w:p>
    <w:p w14:paraId="3E347834" w14:textId="454D4FC1" w:rsidR="00DF7B62" w:rsidRPr="00DF7B62" w:rsidRDefault="00DF7B62" w:rsidP="00DF7B62">
      <w:pPr>
        <w:pStyle w:val="Caption"/>
      </w:pPr>
      <w:r w:rsidRPr="00FF677B">
        <w:t>Table S</w:t>
      </w:r>
      <w:r>
        <w:t>4</w:t>
      </w:r>
      <w:r w:rsidRPr="00FF677B">
        <w:t xml:space="preserve">: </w:t>
      </w:r>
      <w:r>
        <w:t>Direct and indirect employment</w:t>
      </w:r>
      <w:r w:rsidRPr="00FF677B">
        <w:t xml:space="preserve"> </w:t>
      </w:r>
      <w:r>
        <w:t>projections</w:t>
      </w:r>
      <w:r w:rsidRPr="00FF677B">
        <w:t xml:space="preserve"> for India and UK</w:t>
      </w:r>
    </w:p>
    <w:tbl>
      <w:tblPr>
        <w:tblW w:w="7650" w:type="dxa"/>
        <w:tblLayout w:type="fixed"/>
        <w:tblLook w:val="04A0" w:firstRow="1" w:lastRow="0" w:firstColumn="1" w:lastColumn="0" w:noHBand="0" w:noVBand="1"/>
      </w:tblPr>
      <w:tblGrid>
        <w:gridCol w:w="1555"/>
        <w:gridCol w:w="1559"/>
        <w:gridCol w:w="983"/>
        <w:gridCol w:w="1852"/>
        <w:gridCol w:w="1701"/>
      </w:tblGrid>
      <w:tr w:rsidR="00DF7B62" w:rsidRPr="00DF7B62" w14:paraId="0AF9A683" w14:textId="2A01D0D6" w:rsidTr="00DF7B62">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49AF6"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Year</w:t>
            </w:r>
          </w:p>
        </w:tc>
        <w:tc>
          <w:tcPr>
            <w:tcW w:w="1559" w:type="dxa"/>
            <w:tcBorders>
              <w:top w:val="single" w:sz="4" w:space="0" w:color="auto"/>
              <w:bottom w:val="single" w:sz="4" w:space="0" w:color="auto"/>
              <w:right w:val="single" w:sz="4" w:space="0" w:color="auto"/>
            </w:tcBorders>
            <w:vAlign w:val="bottom"/>
          </w:tcPr>
          <w:p w14:paraId="067B5B68" w14:textId="32F527E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2025</w:t>
            </w:r>
          </w:p>
        </w:tc>
        <w:tc>
          <w:tcPr>
            <w:tcW w:w="983" w:type="dxa"/>
            <w:tcBorders>
              <w:top w:val="single" w:sz="4" w:space="0" w:color="auto"/>
              <w:left w:val="single" w:sz="4" w:space="0" w:color="auto"/>
              <w:bottom w:val="single" w:sz="4" w:space="0" w:color="auto"/>
              <w:right w:val="single" w:sz="4" w:space="0" w:color="auto"/>
            </w:tcBorders>
            <w:vAlign w:val="bottom"/>
          </w:tcPr>
          <w:p w14:paraId="456E490C" w14:textId="02089AE5"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2030</w:t>
            </w:r>
          </w:p>
        </w:tc>
        <w:tc>
          <w:tcPr>
            <w:tcW w:w="1852" w:type="dxa"/>
            <w:tcBorders>
              <w:top w:val="single" w:sz="4" w:space="0" w:color="auto"/>
              <w:left w:val="single" w:sz="4" w:space="0" w:color="auto"/>
              <w:bottom w:val="single" w:sz="4" w:space="0" w:color="auto"/>
              <w:right w:val="single" w:sz="4" w:space="0" w:color="auto"/>
            </w:tcBorders>
            <w:vAlign w:val="bottom"/>
          </w:tcPr>
          <w:p w14:paraId="18A98282" w14:textId="3A006AF3"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2040</w:t>
            </w:r>
          </w:p>
        </w:tc>
        <w:tc>
          <w:tcPr>
            <w:tcW w:w="1701" w:type="dxa"/>
            <w:tcBorders>
              <w:top w:val="single" w:sz="4" w:space="0" w:color="auto"/>
              <w:left w:val="single" w:sz="4" w:space="0" w:color="auto"/>
              <w:bottom w:val="single" w:sz="4" w:space="0" w:color="auto"/>
              <w:right w:val="single" w:sz="4" w:space="0" w:color="auto"/>
            </w:tcBorders>
            <w:vAlign w:val="bottom"/>
          </w:tcPr>
          <w:p w14:paraId="22B56627" w14:textId="241CB9CA"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2050</w:t>
            </w:r>
          </w:p>
        </w:tc>
      </w:tr>
      <w:tr w:rsidR="00DF7B62" w:rsidRPr="00DF7B62" w14:paraId="0B6AA46D" w14:textId="7D104921"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vAlign w:val="bottom"/>
            <w:hideMark/>
          </w:tcPr>
          <w:p w14:paraId="2675AC95"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annual incremental investment (bn $)</w:t>
            </w:r>
          </w:p>
        </w:tc>
        <w:tc>
          <w:tcPr>
            <w:tcW w:w="1559" w:type="dxa"/>
            <w:tcBorders>
              <w:top w:val="single" w:sz="4" w:space="0" w:color="auto"/>
              <w:bottom w:val="single" w:sz="4" w:space="0" w:color="auto"/>
              <w:right w:val="single" w:sz="4" w:space="0" w:color="auto"/>
            </w:tcBorders>
            <w:vAlign w:val="bottom"/>
          </w:tcPr>
          <w:p w14:paraId="4CA222AD" w14:textId="77975FA1"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130.18</w:t>
            </w:r>
          </w:p>
        </w:tc>
        <w:tc>
          <w:tcPr>
            <w:tcW w:w="983" w:type="dxa"/>
            <w:tcBorders>
              <w:top w:val="single" w:sz="4" w:space="0" w:color="auto"/>
              <w:left w:val="single" w:sz="4" w:space="0" w:color="auto"/>
              <w:bottom w:val="single" w:sz="4" w:space="0" w:color="auto"/>
              <w:right w:val="single" w:sz="4" w:space="0" w:color="auto"/>
            </w:tcBorders>
            <w:vAlign w:val="bottom"/>
          </w:tcPr>
          <w:p w14:paraId="03192B1B" w14:textId="053CA5DF"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431.4461</w:t>
            </w:r>
          </w:p>
        </w:tc>
        <w:tc>
          <w:tcPr>
            <w:tcW w:w="1852" w:type="dxa"/>
            <w:tcBorders>
              <w:top w:val="single" w:sz="4" w:space="0" w:color="auto"/>
              <w:left w:val="single" w:sz="4" w:space="0" w:color="auto"/>
              <w:bottom w:val="single" w:sz="4" w:space="0" w:color="auto"/>
              <w:right w:val="single" w:sz="4" w:space="0" w:color="auto"/>
            </w:tcBorders>
            <w:vAlign w:val="bottom"/>
          </w:tcPr>
          <w:p w14:paraId="3C000EEC" w14:textId="69494D32"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863.8562</w:t>
            </w:r>
          </w:p>
        </w:tc>
        <w:tc>
          <w:tcPr>
            <w:tcW w:w="1701" w:type="dxa"/>
            <w:tcBorders>
              <w:top w:val="single" w:sz="4" w:space="0" w:color="auto"/>
              <w:left w:val="single" w:sz="4" w:space="0" w:color="auto"/>
              <w:bottom w:val="single" w:sz="4" w:space="0" w:color="auto"/>
              <w:right w:val="single" w:sz="4" w:space="0" w:color="auto"/>
            </w:tcBorders>
            <w:vAlign w:val="bottom"/>
          </w:tcPr>
          <w:p w14:paraId="74D27384" w14:textId="48A68AF6"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1115.346</w:t>
            </w:r>
          </w:p>
        </w:tc>
      </w:tr>
      <w:tr w:rsidR="00DF7B62" w:rsidRPr="00DF7B62" w14:paraId="53BD7CAF" w14:textId="382DCA85"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532AA57" w14:textId="77777777" w:rsidR="00DF7B62" w:rsidRPr="00DF7B62" w:rsidRDefault="00DF7B62" w:rsidP="00DF7B62">
            <w:pPr>
              <w:spacing w:after="0" w:line="240" w:lineRule="auto"/>
              <w:rPr>
                <w:rFonts w:ascii="Arial" w:eastAsia="Times New Roman" w:hAnsi="Arial" w:cs="Arial"/>
                <w:b/>
                <w:bCs/>
                <w:color w:val="000000"/>
                <w:kern w:val="0"/>
                <w:sz w:val="20"/>
                <w:szCs w:val="20"/>
                <w:lang w:eastAsia="en-GB"/>
                <w14:ligatures w14:val="none"/>
              </w:rPr>
            </w:pPr>
            <w:r w:rsidRPr="00DF7B62">
              <w:rPr>
                <w:rFonts w:ascii="Arial" w:eastAsia="Times New Roman" w:hAnsi="Arial" w:cs="Arial"/>
                <w:b/>
                <w:bCs/>
                <w:color w:val="000000"/>
                <w:kern w:val="0"/>
                <w:sz w:val="20"/>
                <w:szCs w:val="20"/>
                <w:lang w:eastAsia="en-GB"/>
                <w14:ligatures w14:val="none"/>
              </w:rPr>
              <w:t>UK net employment impacts - total</w:t>
            </w:r>
          </w:p>
        </w:tc>
        <w:tc>
          <w:tcPr>
            <w:tcW w:w="1559" w:type="dxa"/>
            <w:tcBorders>
              <w:top w:val="single" w:sz="4" w:space="0" w:color="auto"/>
              <w:bottom w:val="single" w:sz="4" w:space="0" w:color="auto"/>
              <w:right w:val="single" w:sz="4" w:space="0" w:color="auto"/>
            </w:tcBorders>
            <w:vAlign w:val="bottom"/>
          </w:tcPr>
          <w:p w14:paraId="4EC916D8" w14:textId="6B5B245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b/>
                <w:bCs/>
                <w:color w:val="000000"/>
                <w:sz w:val="20"/>
                <w:szCs w:val="20"/>
              </w:rPr>
              <w:t>517,158</w:t>
            </w:r>
          </w:p>
        </w:tc>
        <w:tc>
          <w:tcPr>
            <w:tcW w:w="983" w:type="dxa"/>
            <w:tcBorders>
              <w:top w:val="single" w:sz="4" w:space="0" w:color="auto"/>
              <w:left w:val="single" w:sz="4" w:space="0" w:color="auto"/>
              <w:bottom w:val="single" w:sz="4" w:space="0" w:color="auto"/>
              <w:right w:val="single" w:sz="4" w:space="0" w:color="auto"/>
            </w:tcBorders>
            <w:vAlign w:val="bottom"/>
          </w:tcPr>
          <w:p w14:paraId="137E3244" w14:textId="228EA61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b/>
                <w:bCs/>
                <w:color w:val="000000"/>
                <w:sz w:val="20"/>
                <w:szCs w:val="20"/>
              </w:rPr>
              <w:t>1,713,983</w:t>
            </w:r>
          </w:p>
        </w:tc>
        <w:tc>
          <w:tcPr>
            <w:tcW w:w="1852" w:type="dxa"/>
            <w:tcBorders>
              <w:top w:val="single" w:sz="4" w:space="0" w:color="auto"/>
              <w:left w:val="single" w:sz="4" w:space="0" w:color="auto"/>
              <w:bottom w:val="single" w:sz="4" w:space="0" w:color="auto"/>
              <w:right w:val="single" w:sz="4" w:space="0" w:color="auto"/>
            </w:tcBorders>
            <w:vAlign w:val="bottom"/>
          </w:tcPr>
          <w:p w14:paraId="36F4EAD7" w14:textId="6CE20674"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b/>
                <w:bCs/>
                <w:color w:val="000000"/>
                <w:sz w:val="20"/>
                <w:szCs w:val="20"/>
              </w:rPr>
              <w:t>3,431,796</w:t>
            </w:r>
          </w:p>
        </w:tc>
        <w:tc>
          <w:tcPr>
            <w:tcW w:w="1701" w:type="dxa"/>
            <w:tcBorders>
              <w:top w:val="single" w:sz="4" w:space="0" w:color="auto"/>
              <w:left w:val="single" w:sz="4" w:space="0" w:color="auto"/>
              <w:bottom w:val="single" w:sz="4" w:space="0" w:color="auto"/>
              <w:right w:val="single" w:sz="4" w:space="0" w:color="auto"/>
            </w:tcBorders>
            <w:vAlign w:val="bottom"/>
          </w:tcPr>
          <w:p w14:paraId="4FBF3146" w14:textId="74D225EA"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b/>
                <w:bCs/>
                <w:color w:val="000000"/>
                <w:sz w:val="20"/>
                <w:szCs w:val="20"/>
              </w:rPr>
              <w:t>4,430,876</w:t>
            </w:r>
          </w:p>
        </w:tc>
      </w:tr>
      <w:tr w:rsidR="00DF7B62" w:rsidRPr="00DF7B62" w14:paraId="6D4D98DC" w14:textId="3D0579E5"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651E71"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net employment - direct</w:t>
            </w:r>
          </w:p>
        </w:tc>
        <w:tc>
          <w:tcPr>
            <w:tcW w:w="1559" w:type="dxa"/>
            <w:tcBorders>
              <w:top w:val="single" w:sz="4" w:space="0" w:color="auto"/>
              <w:bottom w:val="single" w:sz="4" w:space="0" w:color="auto"/>
              <w:right w:val="single" w:sz="4" w:space="0" w:color="auto"/>
            </w:tcBorders>
            <w:vAlign w:val="bottom"/>
          </w:tcPr>
          <w:p w14:paraId="3A34EE42" w14:textId="2D2BDA4E"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152,048</w:t>
            </w:r>
          </w:p>
        </w:tc>
        <w:tc>
          <w:tcPr>
            <w:tcW w:w="983" w:type="dxa"/>
            <w:tcBorders>
              <w:top w:val="single" w:sz="4" w:space="0" w:color="auto"/>
              <w:left w:val="single" w:sz="4" w:space="0" w:color="auto"/>
              <w:bottom w:val="single" w:sz="4" w:space="0" w:color="auto"/>
              <w:right w:val="single" w:sz="4" w:space="0" w:color="auto"/>
            </w:tcBorders>
            <w:vAlign w:val="bottom"/>
          </w:tcPr>
          <w:p w14:paraId="1BA53D42" w14:textId="0662A733"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503,924</w:t>
            </w:r>
          </w:p>
        </w:tc>
        <w:tc>
          <w:tcPr>
            <w:tcW w:w="1852" w:type="dxa"/>
            <w:tcBorders>
              <w:top w:val="single" w:sz="4" w:space="0" w:color="auto"/>
              <w:left w:val="single" w:sz="4" w:space="0" w:color="auto"/>
              <w:bottom w:val="single" w:sz="4" w:space="0" w:color="auto"/>
              <w:right w:val="single" w:sz="4" w:space="0" w:color="auto"/>
            </w:tcBorders>
            <w:vAlign w:val="bottom"/>
          </w:tcPr>
          <w:p w14:paraId="4E1B6BB6" w14:textId="0D000A93"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1,008,973</w:t>
            </w:r>
          </w:p>
        </w:tc>
        <w:tc>
          <w:tcPr>
            <w:tcW w:w="1701" w:type="dxa"/>
            <w:tcBorders>
              <w:top w:val="single" w:sz="4" w:space="0" w:color="auto"/>
              <w:left w:val="single" w:sz="4" w:space="0" w:color="auto"/>
              <w:bottom w:val="single" w:sz="4" w:space="0" w:color="auto"/>
              <w:right w:val="single" w:sz="4" w:space="0" w:color="auto"/>
            </w:tcBorders>
            <w:vAlign w:val="bottom"/>
          </w:tcPr>
          <w:p w14:paraId="162211A6" w14:textId="340BBD69"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1,302,710</w:t>
            </w:r>
          </w:p>
        </w:tc>
      </w:tr>
      <w:tr w:rsidR="00DF7B62" w:rsidRPr="00DF7B62" w14:paraId="4D2F9609" w14:textId="416E3026"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4EE1885"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net employment - indirect</w:t>
            </w:r>
          </w:p>
        </w:tc>
        <w:tc>
          <w:tcPr>
            <w:tcW w:w="1559" w:type="dxa"/>
            <w:tcBorders>
              <w:top w:val="single" w:sz="4" w:space="0" w:color="auto"/>
              <w:bottom w:val="single" w:sz="4" w:space="0" w:color="auto"/>
              <w:right w:val="single" w:sz="4" w:space="0" w:color="auto"/>
            </w:tcBorders>
            <w:vAlign w:val="bottom"/>
          </w:tcPr>
          <w:p w14:paraId="67D6B3D1" w14:textId="24DA7B1F"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365,109</w:t>
            </w:r>
          </w:p>
        </w:tc>
        <w:tc>
          <w:tcPr>
            <w:tcW w:w="983" w:type="dxa"/>
            <w:tcBorders>
              <w:top w:val="single" w:sz="4" w:space="0" w:color="auto"/>
              <w:left w:val="single" w:sz="4" w:space="0" w:color="auto"/>
              <w:bottom w:val="single" w:sz="4" w:space="0" w:color="auto"/>
              <w:right w:val="single" w:sz="4" w:space="0" w:color="auto"/>
            </w:tcBorders>
            <w:vAlign w:val="bottom"/>
          </w:tcPr>
          <w:p w14:paraId="32BD57B5" w14:textId="6CB208DC"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1,210,059</w:t>
            </w:r>
          </w:p>
        </w:tc>
        <w:tc>
          <w:tcPr>
            <w:tcW w:w="1852" w:type="dxa"/>
            <w:tcBorders>
              <w:top w:val="single" w:sz="4" w:space="0" w:color="auto"/>
              <w:left w:val="single" w:sz="4" w:space="0" w:color="auto"/>
              <w:bottom w:val="single" w:sz="4" w:space="0" w:color="auto"/>
              <w:right w:val="single" w:sz="4" w:space="0" w:color="auto"/>
            </w:tcBorders>
            <w:vAlign w:val="bottom"/>
          </w:tcPr>
          <w:p w14:paraId="507BB94A" w14:textId="35802DD1"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2,422,823</w:t>
            </w:r>
          </w:p>
        </w:tc>
        <w:tc>
          <w:tcPr>
            <w:tcW w:w="1701" w:type="dxa"/>
            <w:tcBorders>
              <w:top w:val="single" w:sz="4" w:space="0" w:color="auto"/>
              <w:left w:val="single" w:sz="4" w:space="0" w:color="auto"/>
              <w:bottom w:val="single" w:sz="4" w:space="0" w:color="auto"/>
              <w:right w:val="single" w:sz="4" w:space="0" w:color="auto"/>
            </w:tcBorders>
            <w:vAlign w:val="bottom"/>
          </w:tcPr>
          <w:p w14:paraId="3B39F4D3" w14:textId="39722662"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3,128,166</w:t>
            </w:r>
          </w:p>
        </w:tc>
      </w:tr>
      <w:tr w:rsidR="00DF7B62" w:rsidRPr="00DF7B62" w14:paraId="2FE67C5B" w14:textId="6B374E5F"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9BAA71"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India annual incremental investment (bn $)</w:t>
            </w:r>
          </w:p>
        </w:tc>
        <w:tc>
          <w:tcPr>
            <w:tcW w:w="1559" w:type="dxa"/>
            <w:tcBorders>
              <w:top w:val="single" w:sz="4" w:space="0" w:color="auto"/>
              <w:bottom w:val="single" w:sz="4" w:space="0" w:color="auto"/>
              <w:right w:val="single" w:sz="4" w:space="0" w:color="auto"/>
            </w:tcBorders>
            <w:vAlign w:val="bottom"/>
          </w:tcPr>
          <w:p w14:paraId="0A765DB5" w14:textId="5E9CB36C"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5.595</w:t>
            </w:r>
          </w:p>
        </w:tc>
        <w:tc>
          <w:tcPr>
            <w:tcW w:w="983" w:type="dxa"/>
            <w:tcBorders>
              <w:top w:val="single" w:sz="4" w:space="0" w:color="auto"/>
              <w:left w:val="single" w:sz="4" w:space="0" w:color="auto"/>
              <w:bottom w:val="single" w:sz="4" w:space="0" w:color="auto"/>
              <w:right w:val="single" w:sz="4" w:space="0" w:color="auto"/>
            </w:tcBorders>
            <w:vAlign w:val="bottom"/>
          </w:tcPr>
          <w:p w14:paraId="79F59D33" w14:textId="3C9C26DA"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573.091</w:t>
            </w:r>
          </w:p>
        </w:tc>
        <w:tc>
          <w:tcPr>
            <w:tcW w:w="1852" w:type="dxa"/>
            <w:tcBorders>
              <w:top w:val="single" w:sz="4" w:space="0" w:color="auto"/>
              <w:left w:val="single" w:sz="4" w:space="0" w:color="auto"/>
              <w:bottom w:val="single" w:sz="4" w:space="0" w:color="auto"/>
              <w:right w:val="single" w:sz="4" w:space="0" w:color="auto"/>
            </w:tcBorders>
            <w:vAlign w:val="bottom"/>
          </w:tcPr>
          <w:p w14:paraId="3B076C52" w14:textId="26D3561D"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1911.811</w:t>
            </w:r>
          </w:p>
        </w:tc>
        <w:tc>
          <w:tcPr>
            <w:tcW w:w="1701" w:type="dxa"/>
            <w:tcBorders>
              <w:top w:val="single" w:sz="4" w:space="0" w:color="auto"/>
              <w:left w:val="single" w:sz="4" w:space="0" w:color="auto"/>
              <w:bottom w:val="single" w:sz="4" w:space="0" w:color="auto"/>
              <w:right w:val="single" w:sz="4" w:space="0" w:color="auto"/>
            </w:tcBorders>
            <w:vAlign w:val="bottom"/>
          </w:tcPr>
          <w:p w14:paraId="43C68B5F" w14:textId="32DD94E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3423.007</w:t>
            </w:r>
          </w:p>
        </w:tc>
      </w:tr>
      <w:tr w:rsidR="00DF7B62" w:rsidRPr="00DF7B62" w14:paraId="2921AF1A" w14:textId="79A63024"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3D7797" w14:textId="77777777" w:rsidR="00DF7B62" w:rsidRPr="00DF7B62" w:rsidRDefault="00DF7B62" w:rsidP="00DF7B62">
            <w:pPr>
              <w:spacing w:after="0" w:line="240" w:lineRule="auto"/>
              <w:rPr>
                <w:rFonts w:ascii="Arial" w:eastAsia="Times New Roman" w:hAnsi="Arial" w:cs="Arial"/>
                <w:b/>
                <w:bCs/>
                <w:color w:val="000000"/>
                <w:kern w:val="0"/>
                <w:sz w:val="20"/>
                <w:szCs w:val="20"/>
                <w:lang w:eastAsia="en-GB"/>
                <w14:ligatures w14:val="none"/>
              </w:rPr>
            </w:pPr>
            <w:r w:rsidRPr="00DF7B62">
              <w:rPr>
                <w:rFonts w:ascii="Arial" w:eastAsia="Times New Roman" w:hAnsi="Arial" w:cs="Arial"/>
                <w:b/>
                <w:bCs/>
                <w:color w:val="000000"/>
                <w:kern w:val="0"/>
                <w:sz w:val="20"/>
                <w:szCs w:val="20"/>
                <w:lang w:eastAsia="en-GB"/>
                <w14:ligatures w14:val="none"/>
              </w:rPr>
              <w:t xml:space="preserve">India formal employment impacts - total (with growth rate assumptions) </w:t>
            </w:r>
          </w:p>
        </w:tc>
        <w:tc>
          <w:tcPr>
            <w:tcW w:w="1559" w:type="dxa"/>
            <w:tcBorders>
              <w:top w:val="single" w:sz="4" w:space="0" w:color="auto"/>
              <w:bottom w:val="single" w:sz="4" w:space="0" w:color="auto"/>
              <w:right w:val="single" w:sz="4" w:space="0" w:color="auto"/>
            </w:tcBorders>
            <w:vAlign w:val="bottom"/>
          </w:tcPr>
          <w:p w14:paraId="7505F18D" w14:textId="1914D363"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b/>
                <w:bCs/>
                <w:color w:val="000000"/>
                <w:sz w:val="20"/>
                <w:szCs w:val="20"/>
              </w:rPr>
              <w:t>67,926</w:t>
            </w:r>
          </w:p>
        </w:tc>
        <w:tc>
          <w:tcPr>
            <w:tcW w:w="983" w:type="dxa"/>
            <w:tcBorders>
              <w:top w:val="single" w:sz="4" w:space="0" w:color="auto"/>
              <w:left w:val="single" w:sz="4" w:space="0" w:color="auto"/>
              <w:bottom w:val="single" w:sz="4" w:space="0" w:color="auto"/>
              <w:right w:val="single" w:sz="4" w:space="0" w:color="auto"/>
            </w:tcBorders>
            <w:vAlign w:val="bottom"/>
          </w:tcPr>
          <w:p w14:paraId="0010A19E" w14:textId="4EFE3E2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b/>
                <w:bCs/>
                <w:color w:val="000000"/>
                <w:sz w:val="20"/>
                <w:szCs w:val="20"/>
              </w:rPr>
              <w:t>6,245,779</w:t>
            </w:r>
          </w:p>
        </w:tc>
        <w:tc>
          <w:tcPr>
            <w:tcW w:w="1852" w:type="dxa"/>
            <w:tcBorders>
              <w:top w:val="single" w:sz="4" w:space="0" w:color="auto"/>
              <w:left w:val="single" w:sz="4" w:space="0" w:color="auto"/>
              <w:bottom w:val="single" w:sz="4" w:space="0" w:color="auto"/>
              <w:right w:val="single" w:sz="4" w:space="0" w:color="auto"/>
            </w:tcBorders>
            <w:vAlign w:val="bottom"/>
          </w:tcPr>
          <w:p w14:paraId="2894F72C" w14:textId="75DB17FE"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b/>
                <w:bCs/>
                <w:color w:val="000000"/>
                <w:sz w:val="20"/>
                <w:szCs w:val="20"/>
              </w:rPr>
              <w:t>18,746,328</w:t>
            </w:r>
          </w:p>
        </w:tc>
        <w:tc>
          <w:tcPr>
            <w:tcW w:w="1701" w:type="dxa"/>
            <w:tcBorders>
              <w:top w:val="single" w:sz="4" w:space="0" w:color="auto"/>
              <w:left w:val="single" w:sz="4" w:space="0" w:color="auto"/>
              <w:bottom w:val="single" w:sz="4" w:space="0" w:color="auto"/>
              <w:right w:val="single" w:sz="4" w:space="0" w:color="auto"/>
            </w:tcBorders>
            <w:vAlign w:val="bottom"/>
          </w:tcPr>
          <w:p w14:paraId="7791C731" w14:textId="2E939538"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b/>
                <w:bCs/>
                <w:color w:val="000000"/>
                <w:sz w:val="20"/>
                <w:szCs w:val="20"/>
              </w:rPr>
              <w:t>30,495,110</w:t>
            </w:r>
          </w:p>
        </w:tc>
      </w:tr>
      <w:tr w:rsidR="00DF7B62" w:rsidRPr="00DF7B62" w14:paraId="260A3941" w14:textId="6ED046E7"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474AB8"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 xml:space="preserve">India formal employment - direct (with growth rate assumptions) </w:t>
            </w:r>
          </w:p>
        </w:tc>
        <w:tc>
          <w:tcPr>
            <w:tcW w:w="1559" w:type="dxa"/>
            <w:tcBorders>
              <w:top w:val="single" w:sz="4" w:space="0" w:color="auto"/>
              <w:bottom w:val="single" w:sz="4" w:space="0" w:color="auto"/>
              <w:right w:val="single" w:sz="4" w:space="0" w:color="auto"/>
            </w:tcBorders>
            <w:vAlign w:val="bottom"/>
          </w:tcPr>
          <w:p w14:paraId="34DC9500" w14:textId="5C73C4F5"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17,227</w:t>
            </w:r>
          </w:p>
        </w:tc>
        <w:tc>
          <w:tcPr>
            <w:tcW w:w="983" w:type="dxa"/>
            <w:tcBorders>
              <w:top w:val="single" w:sz="4" w:space="0" w:color="auto"/>
              <w:left w:val="single" w:sz="4" w:space="0" w:color="auto"/>
              <w:bottom w:val="single" w:sz="4" w:space="0" w:color="auto"/>
              <w:right w:val="single" w:sz="4" w:space="0" w:color="auto"/>
            </w:tcBorders>
            <w:vAlign w:val="bottom"/>
          </w:tcPr>
          <w:p w14:paraId="0D4CF586" w14:textId="6057DC72"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1,764,394</w:t>
            </w:r>
          </w:p>
        </w:tc>
        <w:tc>
          <w:tcPr>
            <w:tcW w:w="1852" w:type="dxa"/>
            <w:tcBorders>
              <w:top w:val="single" w:sz="4" w:space="0" w:color="auto"/>
              <w:left w:val="single" w:sz="4" w:space="0" w:color="auto"/>
              <w:bottom w:val="single" w:sz="4" w:space="0" w:color="auto"/>
              <w:right w:val="single" w:sz="4" w:space="0" w:color="auto"/>
            </w:tcBorders>
            <w:vAlign w:val="bottom"/>
          </w:tcPr>
          <w:p w14:paraId="7EF887EF" w14:textId="1F83DB6E"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5,885,951</w:t>
            </w:r>
          </w:p>
        </w:tc>
        <w:tc>
          <w:tcPr>
            <w:tcW w:w="1701" w:type="dxa"/>
            <w:tcBorders>
              <w:top w:val="single" w:sz="4" w:space="0" w:color="auto"/>
              <w:left w:val="single" w:sz="4" w:space="0" w:color="auto"/>
              <w:bottom w:val="single" w:sz="4" w:space="0" w:color="auto"/>
              <w:right w:val="single" w:sz="4" w:space="0" w:color="auto"/>
            </w:tcBorders>
            <w:vAlign w:val="bottom"/>
          </w:tcPr>
          <w:p w14:paraId="473D09A6" w14:textId="0BA7F75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10,538,515</w:t>
            </w:r>
          </w:p>
        </w:tc>
      </w:tr>
      <w:tr w:rsidR="00DF7B62" w:rsidRPr="00DF7B62" w14:paraId="3CEA3A8C" w14:textId="45C90D90"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43463B"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 xml:space="preserve">India formal employment - indirect (with </w:t>
            </w:r>
            <w:r w:rsidRPr="00DF7B62">
              <w:rPr>
                <w:rFonts w:ascii="Arial" w:eastAsia="Times New Roman" w:hAnsi="Arial" w:cs="Arial"/>
                <w:color w:val="000000"/>
                <w:kern w:val="0"/>
                <w:sz w:val="20"/>
                <w:szCs w:val="20"/>
                <w:lang w:eastAsia="en-GB"/>
                <w14:ligatures w14:val="none"/>
              </w:rPr>
              <w:lastRenderedPageBreak/>
              <w:t xml:space="preserve">growth rate assumptions) </w:t>
            </w:r>
          </w:p>
        </w:tc>
        <w:tc>
          <w:tcPr>
            <w:tcW w:w="1559" w:type="dxa"/>
            <w:tcBorders>
              <w:top w:val="single" w:sz="4" w:space="0" w:color="auto"/>
              <w:bottom w:val="single" w:sz="4" w:space="0" w:color="auto"/>
              <w:right w:val="single" w:sz="4" w:space="0" w:color="auto"/>
            </w:tcBorders>
            <w:vAlign w:val="bottom"/>
          </w:tcPr>
          <w:p w14:paraId="0CDDDE08" w14:textId="0717EC4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lastRenderedPageBreak/>
              <w:t>50,699</w:t>
            </w:r>
          </w:p>
        </w:tc>
        <w:tc>
          <w:tcPr>
            <w:tcW w:w="983" w:type="dxa"/>
            <w:tcBorders>
              <w:top w:val="single" w:sz="4" w:space="0" w:color="auto"/>
              <w:left w:val="single" w:sz="4" w:space="0" w:color="auto"/>
              <w:bottom w:val="single" w:sz="4" w:space="0" w:color="auto"/>
              <w:right w:val="single" w:sz="4" w:space="0" w:color="auto"/>
            </w:tcBorders>
            <w:vAlign w:val="bottom"/>
          </w:tcPr>
          <w:p w14:paraId="369B83B1" w14:textId="3BD02481"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4,481,385</w:t>
            </w:r>
          </w:p>
        </w:tc>
        <w:tc>
          <w:tcPr>
            <w:tcW w:w="1852" w:type="dxa"/>
            <w:tcBorders>
              <w:top w:val="single" w:sz="4" w:space="0" w:color="auto"/>
              <w:left w:val="single" w:sz="4" w:space="0" w:color="auto"/>
              <w:bottom w:val="single" w:sz="4" w:space="0" w:color="auto"/>
              <w:right w:val="single" w:sz="4" w:space="0" w:color="auto"/>
            </w:tcBorders>
            <w:vAlign w:val="bottom"/>
          </w:tcPr>
          <w:p w14:paraId="47D60A1D" w14:textId="794EE801"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12,860,377</w:t>
            </w:r>
          </w:p>
        </w:tc>
        <w:tc>
          <w:tcPr>
            <w:tcW w:w="1701" w:type="dxa"/>
            <w:tcBorders>
              <w:top w:val="single" w:sz="4" w:space="0" w:color="auto"/>
              <w:left w:val="single" w:sz="4" w:space="0" w:color="auto"/>
              <w:bottom w:val="single" w:sz="4" w:space="0" w:color="auto"/>
              <w:right w:val="single" w:sz="4" w:space="0" w:color="auto"/>
            </w:tcBorders>
            <w:vAlign w:val="bottom"/>
          </w:tcPr>
          <w:p w14:paraId="4D1A2D4C" w14:textId="00488A3D"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19,956,595</w:t>
            </w:r>
          </w:p>
        </w:tc>
      </w:tr>
      <w:tr w:rsidR="00DF7B62" w:rsidRPr="00DF7B62" w14:paraId="021938E9" w14:textId="79EC0087"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D4E31B" w14:textId="77777777" w:rsidR="00DF7B62" w:rsidRPr="00DF7B62" w:rsidRDefault="00DF7B62" w:rsidP="00DF7B62">
            <w:pPr>
              <w:spacing w:after="0" w:line="240" w:lineRule="auto"/>
              <w:rPr>
                <w:rFonts w:ascii="Arial" w:eastAsia="Times New Roman" w:hAnsi="Arial" w:cs="Arial"/>
                <w:b/>
                <w:bCs/>
                <w:color w:val="000000"/>
                <w:kern w:val="0"/>
                <w:sz w:val="20"/>
                <w:szCs w:val="20"/>
                <w:lang w:eastAsia="en-GB"/>
                <w14:ligatures w14:val="none"/>
              </w:rPr>
            </w:pPr>
            <w:r w:rsidRPr="00DF7B62">
              <w:rPr>
                <w:rFonts w:ascii="Arial" w:eastAsia="Times New Roman" w:hAnsi="Arial" w:cs="Arial"/>
                <w:b/>
                <w:bCs/>
                <w:color w:val="000000"/>
                <w:kern w:val="0"/>
                <w:sz w:val="20"/>
                <w:szCs w:val="20"/>
                <w:lang w:eastAsia="en-GB"/>
                <w14:ligatures w14:val="none"/>
              </w:rPr>
              <w:t> </w:t>
            </w:r>
          </w:p>
        </w:tc>
        <w:tc>
          <w:tcPr>
            <w:tcW w:w="1559" w:type="dxa"/>
            <w:tcBorders>
              <w:top w:val="single" w:sz="4" w:space="0" w:color="auto"/>
              <w:bottom w:val="single" w:sz="4" w:space="0" w:color="auto"/>
              <w:right w:val="single" w:sz="4" w:space="0" w:color="auto"/>
            </w:tcBorders>
            <w:vAlign w:val="bottom"/>
          </w:tcPr>
          <w:p w14:paraId="372BC1E7" w14:textId="24964BE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983" w:type="dxa"/>
            <w:tcBorders>
              <w:top w:val="single" w:sz="4" w:space="0" w:color="auto"/>
              <w:left w:val="single" w:sz="4" w:space="0" w:color="auto"/>
              <w:bottom w:val="single" w:sz="4" w:space="0" w:color="auto"/>
              <w:right w:val="single" w:sz="4" w:space="0" w:color="auto"/>
            </w:tcBorders>
            <w:vAlign w:val="bottom"/>
          </w:tcPr>
          <w:p w14:paraId="24BA9296" w14:textId="34EA945E"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1852" w:type="dxa"/>
            <w:tcBorders>
              <w:top w:val="single" w:sz="4" w:space="0" w:color="auto"/>
              <w:left w:val="single" w:sz="4" w:space="0" w:color="auto"/>
              <w:bottom w:val="single" w:sz="4" w:space="0" w:color="auto"/>
              <w:right w:val="single" w:sz="4" w:space="0" w:color="auto"/>
            </w:tcBorders>
            <w:vAlign w:val="bottom"/>
          </w:tcPr>
          <w:p w14:paraId="77348B99" w14:textId="35DC769A"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vAlign w:val="bottom"/>
          </w:tcPr>
          <w:p w14:paraId="6DDD27FD" w14:textId="5854012E"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r>
      <w:tr w:rsidR="00DF7B62" w:rsidRPr="00DF7B62" w14:paraId="19CB96DE" w14:textId="29BE2DAF"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A8FBAB" w14:textId="77777777" w:rsidR="00DF7B62" w:rsidRPr="00DF7B62" w:rsidRDefault="00DF7B62" w:rsidP="00DF7B62">
            <w:pPr>
              <w:spacing w:after="0" w:line="240" w:lineRule="auto"/>
              <w:rPr>
                <w:rFonts w:ascii="Arial" w:eastAsia="Times New Roman" w:hAnsi="Arial" w:cs="Arial"/>
                <w:b/>
                <w:bCs/>
                <w:color w:val="000000"/>
                <w:kern w:val="0"/>
                <w:sz w:val="20"/>
                <w:szCs w:val="20"/>
                <w:lang w:eastAsia="en-GB"/>
                <w14:ligatures w14:val="none"/>
              </w:rPr>
            </w:pPr>
            <w:r w:rsidRPr="00DF7B62">
              <w:rPr>
                <w:rFonts w:ascii="Arial" w:eastAsia="Times New Roman" w:hAnsi="Arial" w:cs="Arial"/>
                <w:b/>
                <w:bCs/>
                <w:color w:val="000000"/>
                <w:kern w:val="0"/>
                <w:sz w:val="20"/>
                <w:szCs w:val="20"/>
                <w:lang w:eastAsia="en-GB"/>
                <w14:ligatures w14:val="none"/>
              </w:rPr>
              <w:t>LED scenario</w:t>
            </w:r>
          </w:p>
        </w:tc>
        <w:tc>
          <w:tcPr>
            <w:tcW w:w="1559" w:type="dxa"/>
            <w:tcBorders>
              <w:top w:val="single" w:sz="4" w:space="0" w:color="auto"/>
              <w:bottom w:val="single" w:sz="4" w:space="0" w:color="auto"/>
              <w:right w:val="single" w:sz="4" w:space="0" w:color="auto"/>
            </w:tcBorders>
            <w:vAlign w:val="bottom"/>
          </w:tcPr>
          <w:p w14:paraId="17896962" w14:textId="4A596AB6"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983" w:type="dxa"/>
            <w:tcBorders>
              <w:top w:val="single" w:sz="4" w:space="0" w:color="auto"/>
              <w:left w:val="single" w:sz="4" w:space="0" w:color="auto"/>
              <w:bottom w:val="single" w:sz="4" w:space="0" w:color="auto"/>
              <w:right w:val="single" w:sz="4" w:space="0" w:color="auto"/>
            </w:tcBorders>
            <w:vAlign w:val="bottom"/>
          </w:tcPr>
          <w:p w14:paraId="0D9C9053" w14:textId="635FA88C"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1852" w:type="dxa"/>
            <w:tcBorders>
              <w:top w:val="single" w:sz="4" w:space="0" w:color="auto"/>
              <w:left w:val="single" w:sz="4" w:space="0" w:color="auto"/>
              <w:bottom w:val="single" w:sz="4" w:space="0" w:color="auto"/>
              <w:right w:val="single" w:sz="4" w:space="0" w:color="auto"/>
            </w:tcBorders>
            <w:vAlign w:val="bottom"/>
          </w:tcPr>
          <w:p w14:paraId="613B4B1B" w14:textId="3ABD41DF"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vAlign w:val="bottom"/>
          </w:tcPr>
          <w:p w14:paraId="7FEB6298" w14:textId="04326120"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r>
      <w:tr w:rsidR="00DF7B62" w:rsidRPr="00DF7B62" w14:paraId="45247721" w14:textId="1BC4BE80"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676F45"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Year</w:t>
            </w:r>
          </w:p>
        </w:tc>
        <w:tc>
          <w:tcPr>
            <w:tcW w:w="1559" w:type="dxa"/>
            <w:tcBorders>
              <w:top w:val="single" w:sz="4" w:space="0" w:color="auto"/>
              <w:bottom w:val="single" w:sz="4" w:space="0" w:color="auto"/>
              <w:right w:val="single" w:sz="4" w:space="0" w:color="auto"/>
            </w:tcBorders>
            <w:vAlign w:val="bottom"/>
          </w:tcPr>
          <w:p w14:paraId="7D7BFD9D" w14:textId="33FB2331"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2025</w:t>
            </w:r>
          </w:p>
        </w:tc>
        <w:tc>
          <w:tcPr>
            <w:tcW w:w="983" w:type="dxa"/>
            <w:tcBorders>
              <w:top w:val="single" w:sz="4" w:space="0" w:color="auto"/>
              <w:left w:val="single" w:sz="4" w:space="0" w:color="auto"/>
              <w:bottom w:val="single" w:sz="4" w:space="0" w:color="auto"/>
              <w:right w:val="single" w:sz="4" w:space="0" w:color="auto"/>
            </w:tcBorders>
            <w:vAlign w:val="bottom"/>
          </w:tcPr>
          <w:p w14:paraId="18BD5F3B" w14:textId="4481D096"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2030</w:t>
            </w:r>
          </w:p>
        </w:tc>
        <w:tc>
          <w:tcPr>
            <w:tcW w:w="1852" w:type="dxa"/>
            <w:tcBorders>
              <w:top w:val="single" w:sz="4" w:space="0" w:color="auto"/>
              <w:left w:val="single" w:sz="4" w:space="0" w:color="auto"/>
              <w:bottom w:val="single" w:sz="4" w:space="0" w:color="auto"/>
              <w:right w:val="single" w:sz="4" w:space="0" w:color="auto"/>
            </w:tcBorders>
            <w:vAlign w:val="bottom"/>
          </w:tcPr>
          <w:p w14:paraId="2D843292" w14:textId="4394D1EC"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2040</w:t>
            </w:r>
          </w:p>
        </w:tc>
        <w:tc>
          <w:tcPr>
            <w:tcW w:w="1701" w:type="dxa"/>
            <w:tcBorders>
              <w:top w:val="single" w:sz="4" w:space="0" w:color="auto"/>
              <w:left w:val="single" w:sz="4" w:space="0" w:color="auto"/>
              <w:bottom w:val="single" w:sz="4" w:space="0" w:color="auto"/>
              <w:right w:val="single" w:sz="4" w:space="0" w:color="auto"/>
            </w:tcBorders>
            <w:vAlign w:val="bottom"/>
          </w:tcPr>
          <w:p w14:paraId="65CCFEFA" w14:textId="045EABC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2050</w:t>
            </w:r>
          </w:p>
        </w:tc>
      </w:tr>
      <w:tr w:rsidR="00DF7B62" w:rsidRPr="00DF7B62" w14:paraId="1514DFA3" w14:textId="3EF13E99"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vAlign w:val="bottom"/>
            <w:hideMark/>
          </w:tcPr>
          <w:p w14:paraId="22FB1301"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Annual investment (bn $)</w:t>
            </w:r>
          </w:p>
        </w:tc>
        <w:tc>
          <w:tcPr>
            <w:tcW w:w="1559" w:type="dxa"/>
            <w:tcBorders>
              <w:top w:val="single" w:sz="4" w:space="0" w:color="auto"/>
              <w:bottom w:val="single" w:sz="4" w:space="0" w:color="auto"/>
              <w:right w:val="single" w:sz="4" w:space="0" w:color="auto"/>
            </w:tcBorders>
            <w:vAlign w:val="bottom"/>
          </w:tcPr>
          <w:p w14:paraId="08A682BE" w14:textId="49CF2B24"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406.442</w:t>
            </w:r>
          </w:p>
        </w:tc>
        <w:tc>
          <w:tcPr>
            <w:tcW w:w="983" w:type="dxa"/>
            <w:tcBorders>
              <w:top w:val="single" w:sz="4" w:space="0" w:color="auto"/>
              <w:left w:val="single" w:sz="4" w:space="0" w:color="auto"/>
              <w:bottom w:val="single" w:sz="4" w:space="0" w:color="auto"/>
              <w:right w:val="single" w:sz="4" w:space="0" w:color="auto"/>
            </w:tcBorders>
            <w:vAlign w:val="bottom"/>
          </w:tcPr>
          <w:p w14:paraId="76F255B6" w14:textId="2BB6E004"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982.130</w:t>
            </w:r>
          </w:p>
        </w:tc>
        <w:tc>
          <w:tcPr>
            <w:tcW w:w="1852" w:type="dxa"/>
            <w:tcBorders>
              <w:top w:val="single" w:sz="4" w:space="0" w:color="auto"/>
              <w:left w:val="single" w:sz="4" w:space="0" w:color="auto"/>
              <w:bottom w:val="single" w:sz="4" w:space="0" w:color="auto"/>
              <w:right w:val="single" w:sz="4" w:space="0" w:color="auto"/>
            </w:tcBorders>
            <w:vAlign w:val="bottom"/>
          </w:tcPr>
          <w:p w14:paraId="7FFEB831" w14:textId="69ED38B1"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2048.235</w:t>
            </w:r>
          </w:p>
        </w:tc>
        <w:tc>
          <w:tcPr>
            <w:tcW w:w="1701" w:type="dxa"/>
            <w:tcBorders>
              <w:top w:val="single" w:sz="4" w:space="0" w:color="auto"/>
              <w:left w:val="single" w:sz="4" w:space="0" w:color="auto"/>
              <w:bottom w:val="single" w:sz="4" w:space="0" w:color="auto"/>
              <w:right w:val="single" w:sz="4" w:space="0" w:color="auto"/>
            </w:tcBorders>
            <w:vAlign w:val="bottom"/>
          </w:tcPr>
          <w:p w14:paraId="47FB41BB" w14:textId="0D158E16"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3127.034</w:t>
            </w:r>
          </w:p>
        </w:tc>
      </w:tr>
      <w:tr w:rsidR="00DF7B62" w:rsidRPr="00DF7B62" w14:paraId="53F3B1BE" w14:textId="0EF88BBB"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D4349F"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employment impacts - total</w:t>
            </w:r>
          </w:p>
        </w:tc>
        <w:tc>
          <w:tcPr>
            <w:tcW w:w="1559" w:type="dxa"/>
            <w:tcBorders>
              <w:top w:val="single" w:sz="4" w:space="0" w:color="auto"/>
              <w:bottom w:val="single" w:sz="4" w:space="0" w:color="auto"/>
              <w:right w:val="single" w:sz="4" w:space="0" w:color="auto"/>
            </w:tcBorders>
            <w:vAlign w:val="bottom"/>
          </w:tcPr>
          <w:p w14:paraId="6347DE53" w14:textId="586096E2"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1614649</w:t>
            </w:r>
          </w:p>
        </w:tc>
        <w:tc>
          <w:tcPr>
            <w:tcW w:w="983" w:type="dxa"/>
            <w:tcBorders>
              <w:top w:val="single" w:sz="4" w:space="0" w:color="auto"/>
              <w:left w:val="single" w:sz="4" w:space="0" w:color="auto"/>
              <w:bottom w:val="single" w:sz="4" w:space="0" w:color="auto"/>
              <w:right w:val="single" w:sz="4" w:space="0" w:color="auto"/>
            </w:tcBorders>
            <w:vAlign w:val="bottom"/>
          </w:tcPr>
          <w:p w14:paraId="5728EEDE" w14:textId="0C894CF2"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3901655</w:t>
            </w:r>
          </w:p>
        </w:tc>
        <w:tc>
          <w:tcPr>
            <w:tcW w:w="1852" w:type="dxa"/>
            <w:tcBorders>
              <w:top w:val="single" w:sz="4" w:space="0" w:color="auto"/>
              <w:left w:val="single" w:sz="4" w:space="0" w:color="auto"/>
              <w:bottom w:val="single" w:sz="4" w:space="0" w:color="auto"/>
              <w:right w:val="single" w:sz="4" w:space="0" w:color="auto"/>
            </w:tcBorders>
            <w:vAlign w:val="bottom"/>
          </w:tcPr>
          <w:p w14:paraId="6B29D5D8" w14:textId="3EFDB508"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8136913</w:t>
            </w:r>
          </w:p>
        </w:tc>
        <w:tc>
          <w:tcPr>
            <w:tcW w:w="1701" w:type="dxa"/>
            <w:tcBorders>
              <w:top w:val="single" w:sz="4" w:space="0" w:color="auto"/>
              <w:left w:val="single" w:sz="4" w:space="0" w:color="auto"/>
              <w:bottom w:val="single" w:sz="4" w:space="0" w:color="auto"/>
              <w:right w:val="single" w:sz="4" w:space="0" w:color="auto"/>
            </w:tcBorders>
            <w:vAlign w:val="bottom"/>
          </w:tcPr>
          <w:p w14:paraId="70153F13" w14:textId="7A21BA4E"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12422601</w:t>
            </w:r>
          </w:p>
        </w:tc>
      </w:tr>
      <w:tr w:rsidR="00DF7B62" w:rsidRPr="00DF7B62" w14:paraId="027603E3" w14:textId="7AF52CA8"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F6BB23"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employment - direct</w:t>
            </w:r>
          </w:p>
        </w:tc>
        <w:tc>
          <w:tcPr>
            <w:tcW w:w="1559" w:type="dxa"/>
            <w:tcBorders>
              <w:top w:val="single" w:sz="4" w:space="0" w:color="auto"/>
              <w:bottom w:val="single" w:sz="4" w:space="0" w:color="auto"/>
              <w:right w:val="single" w:sz="4" w:space="0" w:color="auto"/>
            </w:tcBorders>
            <w:vAlign w:val="bottom"/>
          </w:tcPr>
          <w:p w14:paraId="2CA2D088" w14:textId="528F95BC"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474719</w:t>
            </w:r>
          </w:p>
        </w:tc>
        <w:tc>
          <w:tcPr>
            <w:tcW w:w="983" w:type="dxa"/>
            <w:tcBorders>
              <w:top w:val="single" w:sz="4" w:space="0" w:color="auto"/>
              <w:left w:val="single" w:sz="4" w:space="0" w:color="auto"/>
              <w:bottom w:val="single" w:sz="4" w:space="0" w:color="auto"/>
              <w:right w:val="single" w:sz="4" w:space="0" w:color="auto"/>
            </w:tcBorders>
            <w:vAlign w:val="bottom"/>
          </w:tcPr>
          <w:p w14:paraId="7D26BF8E" w14:textId="69701D8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1147115</w:t>
            </w:r>
          </w:p>
        </w:tc>
        <w:tc>
          <w:tcPr>
            <w:tcW w:w="1852" w:type="dxa"/>
            <w:tcBorders>
              <w:top w:val="single" w:sz="4" w:space="0" w:color="auto"/>
              <w:left w:val="single" w:sz="4" w:space="0" w:color="auto"/>
              <w:bottom w:val="single" w:sz="4" w:space="0" w:color="auto"/>
              <w:right w:val="single" w:sz="4" w:space="0" w:color="auto"/>
            </w:tcBorders>
            <w:vAlign w:val="bottom"/>
          </w:tcPr>
          <w:p w14:paraId="53DA2A51" w14:textId="7396470E"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2392312</w:t>
            </w:r>
          </w:p>
        </w:tc>
        <w:tc>
          <w:tcPr>
            <w:tcW w:w="1701" w:type="dxa"/>
            <w:tcBorders>
              <w:top w:val="single" w:sz="4" w:space="0" w:color="auto"/>
              <w:left w:val="single" w:sz="4" w:space="0" w:color="auto"/>
              <w:bottom w:val="single" w:sz="4" w:space="0" w:color="auto"/>
              <w:right w:val="single" w:sz="4" w:space="0" w:color="auto"/>
            </w:tcBorders>
            <w:vAlign w:val="bottom"/>
          </w:tcPr>
          <w:p w14:paraId="2ABF1FA5" w14:textId="012DC51A"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3652336</w:t>
            </w:r>
          </w:p>
        </w:tc>
      </w:tr>
      <w:tr w:rsidR="00DF7B62" w:rsidRPr="00DF7B62" w14:paraId="358C0CBA" w14:textId="53EF26D9"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7FCA99"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employment - indirect</w:t>
            </w:r>
          </w:p>
        </w:tc>
        <w:tc>
          <w:tcPr>
            <w:tcW w:w="1559" w:type="dxa"/>
            <w:tcBorders>
              <w:top w:val="single" w:sz="4" w:space="0" w:color="auto"/>
              <w:bottom w:val="single" w:sz="4" w:space="0" w:color="auto"/>
              <w:right w:val="single" w:sz="4" w:space="0" w:color="auto"/>
            </w:tcBorders>
            <w:vAlign w:val="bottom"/>
          </w:tcPr>
          <w:p w14:paraId="2AB02C5A" w14:textId="4217A80A"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1139930</w:t>
            </w:r>
          </w:p>
        </w:tc>
        <w:tc>
          <w:tcPr>
            <w:tcW w:w="983" w:type="dxa"/>
            <w:tcBorders>
              <w:top w:val="single" w:sz="4" w:space="0" w:color="auto"/>
              <w:left w:val="single" w:sz="4" w:space="0" w:color="auto"/>
              <w:bottom w:val="single" w:sz="4" w:space="0" w:color="auto"/>
              <w:right w:val="single" w:sz="4" w:space="0" w:color="auto"/>
            </w:tcBorders>
            <w:vAlign w:val="bottom"/>
          </w:tcPr>
          <w:p w14:paraId="43A23D54" w14:textId="20967063"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2754540</w:t>
            </w:r>
          </w:p>
        </w:tc>
        <w:tc>
          <w:tcPr>
            <w:tcW w:w="1852" w:type="dxa"/>
            <w:tcBorders>
              <w:top w:val="single" w:sz="4" w:space="0" w:color="auto"/>
              <w:left w:val="single" w:sz="4" w:space="0" w:color="auto"/>
              <w:bottom w:val="single" w:sz="4" w:space="0" w:color="auto"/>
              <w:right w:val="single" w:sz="4" w:space="0" w:color="auto"/>
            </w:tcBorders>
            <w:vAlign w:val="bottom"/>
          </w:tcPr>
          <w:p w14:paraId="57D8720B" w14:textId="259BECC2"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5744601</w:t>
            </w:r>
          </w:p>
        </w:tc>
        <w:tc>
          <w:tcPr>
            <w:tcW w:w="1701" w:type="dxa"/>
            <w:tcBorders>
              <w:top w:val="single" w:sz="4" w:space="0" w:color="auto"/>
              <w:left w:val="single" w:sz="4" w:space="0" w:color="auto"/>
              <w:bottom w:val="single" w:sz="4" w:space="0" w:color="auto"/>
              <w:right w:val="single" w:sz="4" w:space="0" w:color="auto"/>
            </w:tcBorders>
            <w:vAlign w:val="bottom"/>
          </w:tcPr>
          <w:p w14:paraId="18B239B6" w14:textId="085CC91F"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8770265</w:t>
            </w:r>
          </w:p>
        </w:tc>
      </w:tr>
      <w:tr w:rsidR="00DF7B62" w:rsidRPr="00DF7B62" w14:paraId="67237ED4" w14:textId="6A9C611B"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vAlign w:val="bottom"/>
            <w:hideMark/>
          </w:tcPr>
          <w:p w14:paraId="58D10E6E"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India annual investment (bn $)</w:t>
            </w:r>
          </w:p>
        </w:tc>
        <w:tc>
          <w:tcPr>
            <w:tcW w:w="1559" w:type="dxa"/>
            <w:tcBorders>
              <w:top w:val="single" w:sz="4" w:space="0" w:color="auto"/>
              <w:bottom w:val="single" w:sz="4" w:space="0" w:color="auto"/>
              <w:right w:val="single" w:sz="4" w:space="0" w:color="auto"/>
            </w:tcBorders>
            <w:vAlign w:val="bottom"/>
          </w:tcPr>
          <w:p w14:paraId="40E0BA1F" w14:textId="26F8FBEA"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2117.1</w:t>
            </w:r>
          </w:p>
        </w:tc>
        <w:tc>
          <w:tcPr>
            <w:tcW w:w="983" w:type="dxa"/>
            <w:tcBorders>
              <w:top w:val="single" w:sz="4" w:space="0" w:color="auto"/>
              <w:left w:val="single" w:sz="4" w:space="0" w:color="auto"/>
              <w:bottom w:val="single" w:sz="4" w:space="0" w:color="auto"/>
              <w:right w:val="single" w:sz="4" w:space="0" w:color="auto"/>
            </w:tcBorders>
            <w:vAlign w:val="bottom"/>
          </w:tcPr>
          <w:p w14:paraId="08510351" w14:textId="38E51068"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5258.51463</w:t>
            </w:r>
          </w:p>
        </w:tc>
        <w:tc>
          <w:tcPr>
            <w:tcW w:w="1852" w:type="dxa"/>
            <w:tcBorders>
              <w:top w:val="single" w:sz="4" w:space="0" w:color="auto"/>
              <w:left w:val="single" w:sz="4" w:space="0" w:color="auto"/>
              <w:bottom w:val="single" w:sz="4" w:space="0" w:color="auto"/>
              <w:right w:val="single" w:sz="4" w:space="0" w:color="auto"/>
            </w:tcBorders>
            <w:vAlign w:val="bottom"/>
          </w:tcPr>
          <w:p w14:paraId="6A4645A2" w14:textId="24EA34B1"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12483.6589</w:t>
            </w:r>
          </w:p>
        </w:tc>
        <w:tc>
          <w:tcPr>
            <w:tcW w:w="1701" w:type="dxa"/>
            <w:tcBorders>
              <w:top w:val="single" w:sz="4" w:space="0" w:color="auto"/>
              <w:left w:val="single" w:sz="4" w:space="0" w:color="auto"/>
              <w:bottom w:val="single" w:sz="4" w:space="0" w:color="auto"/>
              <w:right w:val="single" w:sz="4" w:space="0" w:color="auto"/>
            </w:tcBorders>
            <w:vAlign w:val="bottom"/>
          </w:tcPr>
          <w:p w14:paraId="0C464784" w14:textId="7F324C58"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20512.0919</w:t>
            </w:r>
          </w:p>
        </w:tc>
      </w:tr>
      <w:tr w:rsidR="00DF7B62" w:rsidRPr="00DF7B62" w14:paraId="500A9A0F" w14:textId="47A7D16A"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C5884B"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India formal employment impacts - total</w:t>
            </w:r>
          </w:p>
        </w:tc>
        <w:tc>
          <w:tcPr>
            <w:tcW w:w="1559" w:type="dxa"/>
            <w:tcBorders>
              <w:top w:val="single" w:sz="4" w:space="0" w:color="auto"/>
              <w:bottom w:val="single" w:sz="4" w:space="0" w:color="auto"/>
              <w:right w:val="single" w:sz="4" w:space="0" w:color="auto"/>
            </w:tcBorders>
            <w:vAlign w:val="bottom"/>
          </w:tcPr>
          <w:p w14:paraId="6509EF07" w14:textId="182576A8" w:rsidR="00DF7B62" w:rsidRPr="00DF7B62" w:rsidRDefault="00DF7B62" w:rsidP="00DF7B62">
            <w:pPr>
              <w:rPr>
                <w:rFonts w:ascii="Arial" w:hAnsi="Arial" w:cs="Arial"/>
                <w:color w:val="000000"/>
                <w:sz w:val="20"/>
                <w:szCs w:val="20"/>
              </w:rPr>
            </w:pPr>
            <w:r>
              <w:rPr>
                <w:rFonts w:ascii="Arial" w:hAnsi="Arial" w:cs="Arial"/>
                <w:color w:val="000000"/>
                <w:sz w:val="20"/>
                <w:szCs w:val="20"/>
              </w:rPr>
              <w:t>25,700,651</w:t>
            </w:r>
          </w:p>
        </w:tc>
        <w:tc>
          <w:tcPr>
            <w:tcW w:w="983" w:type="dxa"/>
            <w:tcBorders>
              <w:top w:val="single" w:sz="4" w:space="0" w:color="auto"/>
              <w:left w:val="single" w:sz="4" w:space="0" w:color="auto"/>
              <w:bottom w:val="single" w:sz="4" w:space="0" w:color="auto"/>
              <w:right w:val="single" w:sz="4" w:space="0" w:color="auto"/>
            </w:tcBorders>
            <w:vAlign w:val="bottom"/>
          </w:tcPr>
          <w:p w14:paraId="4923CB4A" w14:textId="509950B0"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59,898,645</w:t>
            </w:r>
          </w:p>
        </w:tc>
        <w:tc>
          <w:tcPr>
            <w:tcW w:w="1852" w:type="dxa"/>
            <w:tcBorders>
              <w:top w:val="single" w:sz="4" w:space="0" w:color="auto"/>
              <w:left w:val="single" w:sz="4" w:space="0" w:color="auto"/>
              <w:bottom w:val="single" w:sz="4" w:space="0" w:color="auto"/>
              <w:right w:val="single" w:sz="4" w:space="0" w:color="auto"/>
            </w:tcBorders>
            <w:vAlign w:val="bottom"/>
          </w:tcPr>
          <w:p w14:paraId="7B74C978" w14:textId="4A62042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127,382,675</w:t>
            </w:r>
          </w:p>
        </w:tc>
        <w:tc>
          <w:tcPr>
            <w:tcW w:w="1701" w:type="dxa"/>
            <w:tcBorders>
              <w:top w:val="single" w:sz="4" w:space="0" w:color="auto"/>
              <w:left w:val="single" w:sz="4" w:space="0" w:color="auto"/>
              <w:bottom w:val="single" w:sz="4" w:space="0" w:color="auto"/>
              <w:right w:val="single" w:sz="4" w:space="0" w:color="auto"/>
            </w:tcBorders>
            <w:vAlign w:val="bottom"/>
          </w:tcPr>
          <w:p w14:paraId="0C19BCAF" w14:textId="52682BA3"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189,804,526</w:t>
            </w:r>
          </w:p>
        </w:tc>
      </w:tr>
      <w:tr w:rsidR="00DF7B62" w:rsidRPr="00DF7B62" w14:paraId="40547BC9" w14:textId="015EF08C"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C5121B"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India employment - direct</w:t>
            </w:r>
          </w:p>
        </w:tc>
        <w:tc>
          <w:tcPr>
            <w:tcW w:w="1559" w:type="dxa"/>
            <w:tcBorders>
              <w:top w:val="single" w:sz="4" w:space="0" w:color="auto"/>
              <w:bottom w:val="single" w:sz="4" w:space="0" w:color="auto"/>
              <w:right w:val="single" w:sz="4" w:space="0" w:color="auto"/>
            </w:tcBorders>
            <w:vAlign w:val="bottom"/>
          </w:tcPr>
          <w:p w14:paraId="737E26E5" w14:textId="6B2FCEBD"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6,517,965</w:t>
            </w:r>
          </w:p>
        </w:tc>
        <w:tc>
          <w:tcPr>
            <w:tcW w:w="983" w:type="dxa"/>
            <w:tcBorders>
              <w:top w:val="single" w:sz="4" w:space="0" w:color="auto"/>
              <w:left w:val="single" w:sz="4" w:space="0" w:color="auto"/>
              <w:bottom w:val="single" w:sz="4" w:space="0" w:color="auto"/>
              <w:right w:val="single" w:sz="4" w:space="0" w:color="auto"/>
            </w:tcBorders>
            <w:vAlign w:val="bottom"/>
          </w:tcPr>
          <w:p w14:paraId="49A7035F" w14:textId="56B8F0F0"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16,189,548</w:t>
            </w:r>
          </w:p>
        </w:tc>
        <w:tc>
          <w:tcPr>
            <w:tcW w:w="1852" w:type="dxa"/>
            <w:tcBorders>
              <w:top w:val="single" w:sz="4" w:space="0" w:color="auto"/>
              <w:left w:val="single" w:sz="4" w:space="0" w:color="auto"/>
              <w:bottom w:val="single" w:sz="4" w:space="0" w:color="auto"/>
              <w:right w:val="single" w:sz="4" w:space="0" w:color="auto"/>
            </w:tcBorders>
            <w:vAlign w:val="bottom"/>
          </w:tcPr>
          <w:p w14:paraId="0DF26621" w14:textId="2744B8B6"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38,433,819</w:t>
            </w:r>
          </w:p>
        </w:tc>
        <w:tc>
          <w:tcPr>
            <w:tcW w:w="1701" w:type="dxa"/>
            <w:tcBorders>
              <w:top w:val="single" w:sz="4" w:space="0" w:color="auto"/>
              <w:left w:val="single" w:sz="4" w:space="0" w:color="auto"/>
              <w:bottom w:val="single" w:sz="4" w:space="0" w:color="auto"/>
              <w:right w:val="single" w:sz="4" w:space="0" w:color="auto"/>
            </w:tcBorders>
            <w:vAlign w:val="bottom"/>
          </w:tcPr>
          <w:p w14:paraId="323EE6A7" w14:textId="32236C90"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63,151,199</w:t>
            </w:r>
          </w:p>
        </w:tc>
      </w:tr>
      <w:tr w:rsidR="00DF7B62" w:rsidRPr="00DF7B62" w14:paraId="01F6C680" w14:textId="140891C4"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1DB008"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India employment - indirect</w:t>
            </w:r>
          </w:p>
        </w:tc>
        <w:tc>
          <w:tcPr>
            <w:tcW w:w="1559" w:type="dxa"/>
            <w:tcBorders>
              <w:top w:val="single" w:sz="4" w:space="0" w:color="auto"/>
              <w:bottom w:val="single" w:sz="4" w:space="0" w:color="auto"/>
              <w:right w:val="single" w:sz="4" w:space="0" w:color="auto"/>
            </w:tcBorders>
            <w:vAlign w:val="bottom"/>
          </w:tcPr>
          <w:p w14:paraId="6AD83F5A" w14:textId="40911CE4"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19,182,686</w:t>
            </w:r>
          </w:p>
        </w:tc>
        <w:tc>
          <w:tcPr>
            <w:tcW w:w="983" w:type="dxa"/>
            <w:tcBorders>
              <w:top w:val="single" w:sz="4" w:space="0" w:color="auto"/>
              <w:left w:val="single" w:sz="4" w:space="0" w:color="auto"/>
              <w:bottom w:val="single" w:sz="4" w:space="0" w:color="auto"/>
              <w:right w:val="single" w:sz="4" w:space="0" w:color="auto"/>
            </w:tcBorders>
            <w:vAlign w:val="bottom"/>
          </w:tcPr>
          <w:p w14:paraId="050349DF" w14:textId="2906EA7A"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43,709,096</w:t>
            </w:r>
          </w:p>
        </w:tc>
        <w:tc>
          <w:tcPr>
            <w:tcW w:w="1852" w:type="dxa"/>
            <w:tcBorders>
              <w:top w:val="single" w:sz="4" w:space="0" w:color="auto"/>
              <w:left w:val="single" w:sz="4" w:space="0" w:color="auto"/>
              <w:bottom w:val="single" w:sz="4" w:space="0" w:color="auto"/>
              <w:right w:val="single" w:sz="4" w:space="0" w:color="auto"/>
            </w:tcBorders>
            <w:vAlign w:val="bottom"/>
          </w:tcPr>
          <w:p w14:paraId="434E44A7" w14:textId="2CACA31F"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88,948,856</w:t>
            </w:r>
          </w:p>
        </w:tc>
        <w:tc>
          <w:tcPr>
            <w:tcW w:w="1701" w:type="dxa"/>
            <w:tcBorders>
              <w:top w:val="single" w:sz="4" w:space="0" w:color="auto"/>
              <w:left w:val="single" w:sz="4" w:space="0" w:color="auto"/>
              <w:bottom w:val="single" w:sz="4" w:space="0" w:color="auto"/>
              <w:right w:val="single" w:sz="4" w:space="0" w:color="auto"/>
            </w:tcBorders>
            <w:vAlign w:val="bottom"/>
          </w:tcPr>
          <w:p w14:paraId="27CCC5F0" w14:textId="75D24D15"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126,653,327</w:t>
            </w:r>
          </w:p>
        </w:tc>
      </w:tr>
      <w:tr w:rsidR="00DF7B62" w:rsidRPr="00DF7B62" w14:paraId="27B78901" w14:textId="1FE40C5D"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29DAB0"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 </w:t>
            </w:r>
          </w:p>
        </w:tc>
        <w:tc>
          <w:tcPr>
            <w:tcW w:w="1559" w:type="dxa"/>
            <w:tcBorders>
              <w:top w:val="single" w:sz="4" w:space="0" w:color="auto"/>
              <w:bottom w:val="single" w:sz="4" w:space="0" w:color="auto"/>
              <w:right w:val="single" w:sz="4" w:space="0" w:color="auto"/>
            </w:tcBorders>
            <w:vAlign w:val="bottom"/>
          </w:tcPr>
          <w:p w14:paraId="7A001D30" w14:textId="7021DB46"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983" w:type="dxa"/>
            <w:tcBorders>
              <w:top w:val="single" w:sz="4" w:space="0" w:color="auto"/>
              <w:left w:val="single" w:sz="4" w:space="0" w:color="auto"/>
              <w:bottom w:val="single" w:sz="4" w:space="0" w:color="auto"/>
              <w:right w:val="single" w:sz="4" w:space="0" w:color="auto"/>
            </w:tcBorders>
            <w:vAlign w:val="bottom"/>
          </w:tcPr>
          <w:p w14:paraId="716CA5CF" w14:textId="5DE60DF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1852" w:type="dxa"/>
            <w:tcBorders>
              <w:top w:val="single" w:sz="4" w:space="0" w:color="auto"/>
              <w:left w:val="single" w:sz="4" w:space="0" w:color="auto"/>
              <w:bottom w:val="single" w:sz="4" w:space="0" w:color="auto"/>
              <w:right w:val="single" w:sz="4" w:space="0" w:color="auto"/>
            </w:tcBorders>
            <w:vAlign w:val="bottom"/>
          </w:tcPr>
          <w:p w14:paraId="2999C9A0" w14:textId="0BD8C9AF"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vAlign w:val="bottom"/>
          </w:tcPr>
          <w:p w14:paraId="0ABB130C" w14:textId="45D65CDF"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r>
      <w:tr w:rsidR="00DF7B62" w:rsidRPr="00DF7B62" w14:paraId="3E9AE0C7" w14:textId="4BB5A29D"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0FA788" w14:textId="77777777" w:rsidR="00DF7B62" w:rsidRPr="00DF7B62" w:rsidRDefault="00DF7B62" w:rsidP="00DF7B62">
            <w:pPr>
              <w:spacing w:after="0" w:line="240" w:lineRule="auto"/>
              <w:rPr>
                <w:rFonts w:ascii="Arial" w:eastAsia="Times New Roman" w:hAnsi="Arial" w:cs="Arial"/>
                <w:b/>
                <w:bCs/>
                <w:color w:val="000000"/>
                <w:kern w:val="0"/>
                <w:sz w:val="20"/>
                <w:szCs w:val="20"/>
                <w:lang w:eastAsia="en-GB"/>
                <w14:ligatures w14:val="none"/>
              </w:rPr>
            </w:pPr>
            <w:r w:rsidRPr="00DF7B62">
              <w:rPr>
                <w:rFonts w:ascii="Arial" w:eastAsia="Times New Roman" w:hAnsi="Arial" w:cs="Arial"/>
                <w:b/>
                <w:bCs/>
                <w:color w:val="000000"/>
                <w:kern w:val="0"/>
                <w:sz w:val="20"/>
                <w:szCs w:val="20"/>
                <w:lang w:eastAsia="en-GB"/>
                <w14:ligatures w14:val="none"/>
              </w:rPr>
              <w:t>SSP2 scenario</w:t>
            </w:r>
          </w:p>
        </w:tc>
        <w:tc>
          <w:tcPr>
            <w:tcW w:w="1559" w:type="dxa"/>
            <w:tcBorders>
              <w:top w:val="single" w:sz="4" w:space="0" w:color="auto"/>
              <w:bottom w:val="single" w:sz="4" w:space="0" w:color="auto"/>
              <w:right w:val="single" w:sz="4" w:space="0" w:color="auto"/>
            </w:tcBorders>
            <w:vAlign w:val="bottom"/>
          </w:tcPr>
          <w:p w14:paraId="3E9C63F9" w14:textId="681541CC"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983" w:type="dxa"/>
            <w:tcBorders>
              <w:top w:val="single" w:sz="4" w:space="0" w:color="auto"/>
              <w:left w:val="single" w:sz="4" w:space="0" w:color="auto"/>
              <w:bottom w:val="single" w:sz="4" w:space="0" w:color="auto"/>
              <w:right w:val="single" w:sz="4" w:space="0" w:color="auto"/>
            </w:tcBorders>
            <w:vAlign w:val="bottom"/>
          </w:tcPr>
          <w:p w14:paraId="10B4184F" w14:textId="128A2AA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1852" w:type="dxa"/>
            <w:tcBorders>
              <w:top w:val="single" w:sz="4" w:space="0" w:color="auto"/>
              <w:left w:val="single" w:sz="4" w:space="0" w:color="auto"/>
              <w:bottom w:val="single" w:sz="4" w:space="0" w:color="auto"/>
              <w:right w:val="single" w:sz="4" w:space="0" w:color="auto"/>
            </w:tcBorders>
            <w:vAlign w:val="bottom"/>
          </w:tcPr>
          <w:p w14:paraId="0E71E01E" w14:textId="41AF870F"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vAlign w:val="bottom"/>
          </w:tcPr>
          <w:p w14:paraId="122C4571" w14:textId="4770C2D0"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w:t>
            </w:r>
          </w:p>
        </w:tc>
      </w:tr>
      <w:tr w:rsidR="00DF7B62" w:rsidRPr="00DF7B62" w14:paraId="6B5CA551" w14:textId="4BEE7955"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ADFA00"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Year</w:t>
            </w:r>
          </w:p>
        </w:tc>
        <w:tc>
          <w:tcPr>
            <w:tcW w:w="1559" w:type="dxa"/>
            <w:tcBorders>
              <w:top w:val="single" w:sz="4" w:space="0" w:color="auto"/>
              <w:bottom w:val="single" w:sz="4" w:space="0" w:color="auto"/>
              <w:right w:val="single" w:sz="4" w:space="0" w:color="auto"/>
            </w:tcBorders>
            <w:vAlign w:val="bottom"/>
          </w:tcPr>
          <w:p w14:paraId="10E41D78" w14:textId="5339F622"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2025</w:t>
            </w:r>
          </w:p>
        </w:tc>
        <w:tc>
          <w:tcPr>
            <w:tcW w:w="983" w:type="dxa"/>
            <w:tcBorders>
              <w:top w:val="single" w:sz="4" w:space="0" w:color="auto"/>
              <w:left w:val="single" w:sz="4" w:space="0" w:color="auto"/>
              <w:bottom w:val="single" w:sz="4" w:space="0" w:color="auto"/>
              <w:right w:val="single" w:sz="4" w:space="0" w:color="auto"/>
            </w:tcBorders>
            <w:vAlign w:val="bottom"/>
          </w:tcPr>
          <w:p w14:paraId="1A4B3B98" w14:textId="71A44DDD"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2030</w:t>
            </w:r>
          </w:p>
        </w:tc>
        <w:tc>
          <w:tcPr>
            <w:tcW w:w="1852" w:type="dxa"/>
            <w:tcBorders>
              <w:top w:val="single" w:sz="4" w:space="0" w:color="auto"/>
              <w:left w:val="single" w:sz="4" w:space="0" w:color="auto"/>
              <w:bottom w:val="single" w:sz="4" w:space="0" w:color="auto"/>
              <w:right w:val="single" w:sz="4" w:space="0" w:color="auto"/>
            </w:tcBorders>
            <w:vAlign w:val="bottom"/>
          </w:tcPr>
          <w:p w14:paraId="11D6E4C3" w14:textId="7C12C8D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2040</w:t>
            </w:r>
          </w:p>
        </w:tc>
        <w:tc>
          <w:tcPr>
            <w:tcW w:w="1701" w:type="dxa"/>
            <w:tcBorders>
              <w:top w:val="single" w:sz="4" w:space="0" w:color="auto"/>
              <w:left w:val="single" w:sz="4" w:space="0" w:color="auto"/>
              <w:bottom w:val="single" w:sz="4" w:space="0" w:color="auto"/>
              <w:right w:val="single" w:sz="4" w:space="0" w:color="auto"/>
            </w:tcBorders>
            <w:vAlign w:val="bottom"/>
          </w:tcPr>
          <w:p w14:paraId="16B18E91" w14:textId="34B71E9A"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2050</w:t>
            </w:r>
          </w:p>
        </w:tc>
      </w:tr>
      <w:tr w:rsidR="00DF7B62" w:rsidRPr="00DF7B62" w14:paraId="7AF03744" w14:textId="701DD02F"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vAlign w:val="bottom"/>
            <w:hideMark/>
          </w:tcPr>
          <w:p w14:paraId="5C3F1407"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annual investment (bn $)</w:t>
            </w:r>
          </w:p>
        </w:tc>
        <w:tc>
          <w:tcPr>
            <w:tcW w:w="1559" w:type="dxa"/>
            <w:tcBorders>
              <w:top w:val="single" w:sz="4" w:space="0" w:color="auto"/>
              <w:bottom w:val="single" w:sz="4" w:space="0" w:color="auto"/>
              <w:right w:val="single" w:sz="4" w:space="0" w:color="auto"/>
            </w:tcBorders>
            <w:vAlign w:val="bottom"/>
          </w:tcPr>
          <w:p w14:paraId="4E13DDCF" w14:textId="5B29D32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276.262</w:t>
            </w:r>
          </w:p>
        </w:tc>
        <w:tc>
          <w:tcPr>
            <w:tcW w:w="983" w:type="dxa"/>
            <w:tcBorders>
              <w:top w:val="single" w:sz="4" w:space="0" w:color="auto"/>
              <w:left w:val="single" w:sz="4" w:space="0" w:color="auto"/>
              <w:bottom w:val="single" w:sz="4" w:space="0" w:color="auto"/>
              <w:right w:val="single" w:sz="4" w:space="0" w:color="auto"/>
            </w:tcBorders>
            <w:vAlign w:val="bottom"/>
          </w:tcPr>
          <w:p w14:paraId="6B313E24" w14:textId="6E96648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550.684</w:t>
            </w:r>
          </w:p>
        </w:tc>
        <w:tc>
          <w:tcPr>
            <w:tcW w:w="1852" w:type="dxa"/>
            <w:tcBorders>
              <w:top w:val="single" w:sz="4" w:space="0" w:color="auto"/>
              <w:left w:val="single" w:sz="4" w:space="0" w:color="auto"/>
              <w:bottom w:val="single" w:sz="4" w:space="0" w:color="auto"/>
              <w:right w:val="single" w:sz="4" w:space="0" w:color="auto"/>
            </w:tcBorders>
            <w:vAlign w:val="bottom"/>
          </w:tcPr>
          <w:p w14:paraId="45538102" w14:textId="2F88FC60"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1184.378</w:t>
            </w:r>
          </w:p>
        </w:tc>
        <w:tc>
          <w:tcPr>
            <w:tcW w:w="1701" w:type="dxa"/>
            <w:tcBorders>
              <w:top w:val="single" w:sz="4" w:space="0" w:color="auto"/>
              <w:left w:val="single" w:sz="4" w:space="0" w:color="auto"/>
              <w:bottom w:val="single" w:sz="4" w:space="0" w:color="auto"/>
              <w:right w:val="single" w:sz="4" w:space="0" w:color="auto"/>
            </w:tcBorders>
            <w:vAlign w:val="bottom"/>
          </w:tcPr>
          <w:p w14:paraId="42C89DE6" w14:textId="255E601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2011.687</w:t>
            </w:r>
          </w:p>
        </w:tc>
      </w:tr>
      <w:tr w:rsidR="00DF7B62" w:rsidRPr="00DF7B62" w14:paraId="4C1D532A" w14:textId="30991C89"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852D07"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employment impacts - total</w:t>
            </w:r>
          </w:p>
        </w:tc>
        <w:tc>
          <w:tcPr>
            <w:tcW w:w="1559" w:type="dxa"/>
            <w:tcBorders>
              <w:top w:val="single" w:sz="4" w:space="0" w:color="auto"/>
              <w:bottom w:val="single" w:sz="4" w:space="0" w:color="auto"/>
              <w:right w:val="single" w:sz="4" w:space="0" w:color="auto"/>
            </w:tcBorders>
            <w:vAlign w:val="bottom"/>
          </w:tcPr>
          <w:p w14:paraId="72709C9A" w14:textId="34E4564F"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1097492</w:t>
            </w:r>
          </w:p>
        </w:tc>
        <w:tc>
          <w:tcPr>
            <w:tcW w:w="983" w:type="dxa"/>
            <w:tcBorders>
              <w:top w:val="single" w:sz="4" w:space="0" w:color="auto"/>
              <w:left w:val="single" w:sz="4" w:space="0" w:color="auto"/>
              <w:bottom w:val="single" w:sz="4" w:space="0" w:color="auto"/>
              <w:right w:val="single" w:sz="4" w:space="0" w:color="auto"/>
            </w:tcBorders>
            <w:vAlign w:val="bottom"/>
          </w:tcPr>
          <w:p w14:paraId="6534C7DD" w14:textId="36CFD331"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2187672</w:t>
            </w:r>
          </w:p>
        </w:tc>
        <w:tc>
          <w:tcPr>
            <w:tcW w:w="1852" w:type="dxa"/>
            <w:tcBorders>
              <w:top w:val="single" w:sz="4" w:space="0" w:color="auto"/>
              <w:left w:val="single" w:sz="4" w:space="0" w:color="auto"/>
              <w:bottom w:val="single" w:sz="4" w:space="0" w:color="auto"/>
              <w:right w:val="single" w:sz="4" w:space="0" w:color="auto"/>
            </w:tcBorders>
            <w:vAlign w:val="bottom"/>
          </w:tcPr>
          <w:p w14:paraId="73D1B137" w14:textId="4E8881F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4705117</w:t>
            </w:r>
          </w:p>
        </w:tc>
        <w:tc>
          <w:tcPr>
            <w:tcW w:w="1701" w:type="dxa"/>
            <w:tcBorders>
              <w:top w:val="single" w:sz="4" w:space="0" w:color="auto"/>
              <w:left w:val="single" w:sz="4" w:space="0" w:color="auto"/>
              <w:bottom w:val="single" w:sz="4" w:space="0" w:color="auto"/>
              <w:right w:val="single" w:sz="4" w:space="0" w:color="auto"/>
            </w:tcBorders>
            <w:vAlign w:val="bottom"/>
          </w:tcPr>
          <w:p w14:paraId="7CE886DD" w14:textId="7F8AB6F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7991724</w:t>
            </w:r>
          </w:p>
        </w:tc>
      </w:tr>
      <w:tr w:rsidR="00DF7B62" w:rsidRPr="00DF7B62" w14:paraId="1D54BDD4" w14:textId="079AAE34"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0C4235"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employment - direct</w:t>
            </w:r>
          </w:p>
        </w:tc>
        <w:tc>
          <w:tcPr>
            <w:tcW w:w="1559" w:type="dxa"/>
            <w:tcBorders>
              <w:top w:val="single" w:sz="4" w:space="0" w:color="auto"/>
              <w:bottom w:val="single" w:sz="4" w:space="0" w:color="auto"/>
              <w:right w:val="single" w:sz="4" w:space="0" w:color="auto"/>
            </w:tcBorders>
            <w:vAlign w:val="bottom"/>
          </w:tcPr>
          <w:p w14:paraId="52C3BF22" w14:textId="1BFC81AE"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322671</w:t>
            </w:r>
          </w:p>
        </w:tc>
        <w:tc>
          <w:tcPr>
            <w:tcW w:w="983" w:type="dxa"/>
            <w:tcBorders>
              <w:top w:val="single" w:sz="4" w:space="0" w:color="auto"/>
              <w:left w:val="single" w:sz="4" w:space="0" w:color="auto"/>
              <w:bottom w:val="single" w:sz="4" w:space="0" w:color="auto"/>
              <w:right w:val="single" w:sz="4" w:space="0" w:color="auto"/>
            </w:tcBorders>
            <w:vAlign w:val="bottom"/>
          </w:tcPr>
          <w:p w14:paraId="3A885A49" w14:textId="4107BDE9"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643192</w:t>
            </w:r>
          </w:p>
        </w:tc>
        <w:tc>
          <w:tcPr>
            <w:tcW w:w="1852" w:type="dxa"/>
            <w:tcBorders>
              <w:top w:val="single" w:sz="4" w:space="0" w:color="auto"/>
              <w:left w:val="single" w:sz="4" w:space="0" w:color="auto"/>
              <w:bottom w:val="single" w:sz="4" w:space="0" w:color="auto"/>
              <w:right w:val="single" w:sz="4" w:space="0" w:color="auto"/>
            </w:tcBorders>
            <w:vAlign w:val="bottom"/>
          </w:tcPr>
          <w:p w14:paraId="1507A73A" w14:textId="61A72293"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1383339</w:t>
            </w:r>
          </w:p>
        </w:tc>
        <w:tc>
          <w:tcPr>
            <w:tcW w:w="1701" w:type="dxa"/>
            <w:tcBorders>
              <w:top w:val="single" w:sz="4" w:space="0" w:color="auto"/>
              <w:left w:val="single" w:sz="4" w:space="0" w:color="auto"/>
              <w:bottom w:val="single" w:sz="4" w:space="0" w:color="auto"/>
              <w:right w:val="single" w:sz="4" w:space="0" w:color="auto"/>
            </w:tcBorders>
            <w:vAlign w:val="bottom"/>
          </w:tcPr>
          <w:p w14:paraId="5419AD79" w14:textId="7820D7B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2349625</w:t>
            </w:r>
          </w:p>
        </w:tc>
      </w:tr>
      <w:tr w:rsidR="00DF7B62" w:rsidRPr="00DF7B62" w14:paraId="2F1FE553" w14:textId="1F0082BD"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0327EF"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UK employment - indirect</w:t>
            </w:r>
          </w:p>
        </w:tc>
        <w:tc>
          <w:tcPr>
            <w:tcW w:w="1559" w:type="dxa"/>
            <w:tcBorders>
              <w:top w:val="single" w:sz="4" w:space="0" w:color="auto"/>
              <w:bottom w:val="single" w:sz="4" w:space="0" w:color="auto"/>
              <w:right w:val="single" w:sz="4" w:space="0" w:color="auto"/>
            </w:tcBorders>
            <w:vAlign w:val="bottom"/>
          </w:tcPr>
          <w:p w14:paraId="5D41C7CB" w14:textId="28533489"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774821</w:t>
            </w:r>
          </w:p>
        </w:tc>
        <w:tc>
          <w:tcPr>
            <w:tcW w:w="983" w:type="dxa"/>
            <w:tcBorders>
              <w:top w:val="single" w:sz="4" w:space="0" w:color="auto"/>
              <w:left w:val="single" w:sz="4" w:space="0" w:color="auto"/>
              <w:bottom w:val="single" w:sz="4" w:space="0" w:color="auto"/>
              <w:right w:val="single" w:sz="4" w:space="0" w:color="auto"/>
            </w:tcBorders>
            <w:vAlign w:val="bottom"/>
          </w:tcPr>
          <w:p w14:paraId="3F9A9502" w14:textId="1B133833"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1544481</w:t>
            </w:r>
          </w:p>
        </w:tc>
        <w:tc>
          <w:tcPr>
            <w:tcW w:w="1852" w:type="dxa"/>
            <w:tcBorders>
              <w:top w:val="single" w:sz="4" w:space="0" w:color="auto"/>
              <w:left w:val="single" w:sz="4" w:space="0" w:color="auto"/>
              <w:bottom w:val="single" w:sz="4" w:space="0" w:color="auto"/>
              <w:right w:val="single" w:sz="4" w:space="0" w:color="auto"/>
            </w:tcBorders>
            <w:vAlign w:val="bottom"/>
          </w:tcPr>
          <w:p w14:paraId="17CB2E07" w14:textId="68B17CD6"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3321778</w:t>
            </w:r>
          </w:p>
        </w:tc>
        <w:tc>
          <w:tcPr>
            <w:tcW w:w="1701" w:type="dxa"/>
            <w:tcBorders>
              <w:top w:val="single" w:sz="4" w:space="0" w:color="auto"/>
              <w:left w:val="single" w:sz="4" w:space="0" w:color="auto"/>
              <w:bottom w:val="single" w:sz="4" w:space="0" w:color="auto"/>
              <w:right w:val="single" w:sz="4" w:space="0" w:color="auto"/>
            </w:tcBorders>
            <w:vAlign w:val="bottom"/>
          </w:tcPr>
          <w:p w14:paraId="71A45EDB" w14:textId="49D7DB5D"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5642098</w:t>
            </w:r>
          </w:p>
        </w:tc>
      </w:tr>
      <w:tr w:rsidR="00DF7B62" w:rsidRPr="00DF7B62" w14:paraId="19E44480" w14:textId="79075686"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vAlign w:val="bottom"/>
            <w:hideMark/>
          </w:tcPr>
          <w:p w14:paraId="75AD7166"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India annual investment (bn $)</w:t>
            </w:r>
          </w:p>
        </w:tc>
        <w:tc>
          <w:tcPr>
            <w:tcW w:w="1559" w:type="dxa"/>
            <w:tcBorders>
              <w:top w:val="single" w:sz="4" w:space="0" w:color="auto"/>
              <w:bottom w:val="single" w:sz="4" w:space="0" w:color="auto"/>
              <w:right w:val="single" w:sz="4" w:space="0" w:color="auto"/>
            </w:tcBorders>
            <w:vAlign w:val="bottom"/>
          </w:tcPr>
          <w:p w14:paraId="328255EE" w14:textId="7B1B5001"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2111.5</w:t>
            </w:r>
          </w:p>
        </w:tc>
        <w:tc>
          <w:tcPr>
            <w:tcW w:w="983" w:type="dxa"/>
            <w:tcBorders>
              <w:top w:val="single" w:sz="4" w:space="0" w:color="auto"/>
              <w:left w:val="single" w:sz="4" w:space="0" w:color="auto"/>
              <w:bottom w:val="single" w:sz="4" w:space="0" w:color="auto"/>
              <w:right w:val="single" w:sz="4" w:space="0" w:color="auto"/>
            </w:tcBorders>
            <w:vAlign w:val="bottom"/>
          </w:tcPr>
          <w:p w14:paraId="4D27635A" w14:textId="61D92E2C"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4685.42316</w:t>
            </w:r>
          </w:p>
        </w:tc>
        <w:tc>
          <w:tcPr>
            <w:tcW w:w="1852" w:type="dxa"/>
            <w:tcBorders>
              <w:top w:val="single" w:sz="4" w:space="0" w:color="auto"/>
              <w:left w:val="single" w:sz="4" w:space="0" w:color="auto"/>
              <w:bottom w:val="single" w:sz="4" w:space="0" w:color="auto"/>
              <w:right w:val="single" w:sz="4" w:space="0" w:color="auto"/>
            </w:tcBorders>
            <w:vAlign w:val="bottom"/>
          </w:tcPr>
          <w:p w14:paraId="670E8BD9" w14:textId="3417F42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10571.8477</w:t>
            </w:r>
          </w:p>
        </w:tc>
        <w:tc>
          <w:tcPr>
            <w:tcW w:w="1701" w:type="dxa"/>
            <w:tcBorders>
              <w:top w:val="single" w:sz="4" w:space="0" w:color="auto"/>
              <w:left w:val="single" w:sz="4" w:space="0" w:color="auto"/>
              <w:bottom w:val="single" w:sz="4" w:space="0" w:color="auto"/>
              <w:right w:val="single" w:sz="4" w:space="0" w:color="auto"/>
            </w:tcBorders>
            <w:vAlign w:val="bottom"/>
          </w:tcPr>
          <w:p w14:paraId="298F476B" w14:textId="78B3ADB5"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17089.0851</w:t>
            </w:r>
          </w:p>
        </w:tc>
      </w:tr>
      <w:tr w:rsidR="00DF7B62" w:rsidRPr="00DF7B62" w14:paraId="4BDEB859" w14:textId="201BF0CB"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24B272"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India formal employment impacts - total</w:t>
            </w:r>
          </w:p>
        </w:tc>
        <w:tc>
          <w:tcPr>
            <w:tcW w:w="1559" w:type="dxa"/>
            <w:tcBorders>
              <w:top w:val="single" w:sz="4" w:space="0" w:color="auto"/>
              <w:bottom w:val="single" w:sz="4" w:space="0" w:color="auto"/>
              <w:right w:val="single" w:sz="4" w:space="0" w:color="auto"/>
            </w:tcBorders>
            <w:vAlign w:val="bottom"/>
          </w:tcPr>
          <w:p w14:paraId="530CFDD6" w14:textId="7A31265E" w:rsidR="00DF7B62" w:rsidRPr="00DF7B62" w:rsidRDefault="00DF7B62" w:rsidP="00DF7B62">
            <w:pPr>
              <w:rPr>
                <w:rFonts w:ascii="Times New Roman" w:eastAsia="Times New Roman" w:hAnsi="Times New Roman" w:cs="Times New Roman"/>
                <w:kern w:val="0"/>
                <w:sz w:val="20"/>
                <w:szCs w:val="20"/>
                <w:lang w:eastAsia="en-GB"/>
                <w14:ligatures w14:val="none"/>
              </w:rPr>
            </w:pPr>
            <w:r w:rsidRPr="00DF7B62">
              <w:rPr>
                <w:rFonts w:ascii="Arial" w:hAnsi="Arial" w:cs="Arial"/>
                <w:color w:val="000000"/>
                <w:sz w:val="20"/>
                <w:szCs w:val="20"/>
              </w:rPr>
              <w:t>25,632,725</w:t>
            </w:r>
          </w:p>
        </w:tc>
        <w:tc>
          <w:tcPr>
            <w:tcW w:w="983" w:type="dxa"/>
            <w:tcBorders>
              <w:top w:val="single" w:sz="4" w:space="0" w:color="auto"/>
              <w:left w:val="single" w:sz="4" w:space="0" w:color="auto"/>
              <w:bottom w:val="single" w:sz="4" w:space="0" w:color="auto"/>
              <w:right w:val="single" w:sz="4" w:space="0" w:color="auto"/>
            </w:tcBorders>
            <w:vAlign w:val="bottom"/>
          </w:tcPr>
          <w:p w14:paraId="3472E79D" w14:textId="38F78717"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53,652,866</w:t>
            </w:r>
          </w:p>
        </w:tc>
        <w:tc>
          <w:tcPr>
            <w:tcW w:w="1852" w:type="dxa"/>
            <w:tcBorders>
              <w:top w:val="single" w:sz="4" w:space="0" w:color="auto"/>
              <w:left w:val="single" w:sz="4" w:space="0" w:color="auto"/>
              <w:bottom w:val="single" w:sz="4" w:space="0" w:color="auto"/>
              <w:right w:val="single" w:sz="4" w:space="0" w:color="auto"/>
            </w:tcBorders>
            <w:vAlign w:val="bottom"/>
          </w:tcPr>
          <w:p w14:paraId="5511AC1E" w14:textId="2204ECCB"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108,636,347</w:t>
            </w:r>
          </w:p>
        </w:tc>
        <w:tc>
          <w:tcPr>
            <w:tcW w:w="1701" w:type="dxa"/>
            <w:tcBorders>
              <w:top w:val="single" w:sz="4" w:space="0" w:color="auto"/>
              <w:left w:val="single" w:sz="4" w:space="0" w:color="auto"/>
              <w:bottom w:val="single" w:sz="4" w:space="0" w:color="auto"/>
              <w:right w:val="single" w:sz="4" w:space="0" w:color="auto"/>
            </w:tcBorders>
            <w:vAlign w:val="bottom"/>
          </w:tcPr>
          <w:p w14:paraId="6AF14EEB" w14:textId="466D8FE5"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159,309,416</w:t>
            </w:r>
          </w:p>
        </w:tc>
      </w:tr>
      <w:tr w:rsidR="00DF7B62" w:rsidRPr="00DF7B62" w14:paraId="1F648689" w14:textId="74362E36"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530E9E"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t>India employment - direct</w:t>
            </w:r>
          </w:p>
        </w:tc>
        <w:tc>
          <w:tcPr>
            <w:tcW w:w="1559" w:type="dxa"/>
            <w:tcBorders>
              <w:top w:val="single" w:sz="4" w:space="0" w:color="auto"/>
              <w:bottom w:val="single" w:sz="4" w:space="0" w:color="auto"/>
              <w:right w:val="single" w:sz="4" w:space="0" w:color="auto"/>
            </w:tcBorders>
            <w:vAlign w:val="bottom"/>
          </w:tcPr>
          <w:p w14:paraId="0E517F12" w14:textId="4C17AC5A"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6,500,739</w:t>
            </w:r>
          </w:p>
        </w:tc>
        <w:tc>
          <w:tcPr>
            <w:tcW w:w="983" w:type="dxa"/>
            <w:tcBorders>
              <w:top w:val="single" w:sz="4" w:space="0" w:color="auto"/>
              <w:left w:val="single" w:sz="4" w:space="0" w:color="auto"/>
              <w:bottom w:val="single" w:sz="4" w:space="0" w:color="auto"/>
              <w:right w:val="single" w:sz="4" w:space="0" w:color="auto"/>
            </w:tcBorders>
            <w:vAlign w:val="bottom"/>
          </w:tcPr>
          <w:p w14:paraId="6784912E" w14:textId="38032B19"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14,425,154</w:t>
            </w:r>
          </w:p>
        </w:tc>
        <w:tc>
          <w:tcPr>
            <w:tcW w:w="1852" w:type="dxa"/>
            <w:tcBorders>
              <w:top w:val="single" w:sz="4" w:space="0" w:color="auto"/>
              <w:left w:val="single" w:sz="4" w:space="0" w:color="auto"/>
              <w:bottom w:val="single" w:sz="4" w:space="0" w:color="auto"/>
              <w:right w:val="single" w:sz="4" w:space="0" w:color="auto"/>
            </w:tcBorders>
            <w:vAlign w:val="bottom"/>
          </w:tcPr>
          <w:p w14:paraId="4CFCE52C" w14:textId="1CF09C62"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32,547,868</w:t>
            </w:r>
          </w:p>
        </w:tc>
        <w:tc>
          <w:tcPr>
            <w:tcW w:w="1701" w:type="dxa"/>
            <w:tcBorders>
              <w:top w:val="single" w:sz="4" w:space="0" w:color="auto"/>
              <w:left w:val="single" w:sz="4" w:space="0" w:color="auto"/>
              <w:bottom w:val="single" w:sz="4" w:space="0" w:color="auto"/>
              <w:right w:val="single" w:sz="4" w:space="0" w:color="auto"/>
            </w:tcBorders>
            <w:vAlign w:val="bottom"/>
          </w:tcPr>
          <w:p w14:paraId="5D97CEA4" w14:textId="23DF61B1"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52,612,684</w:t>
            </w:r>
          </w:p>
        </w:tc>
      </w:tr>
      <w:tr w:rsidR="00DF7B62" w:rsidRPr="00DF7B62" w14:paraId="4015B5E6" w14:textId="4BB37D4B" w:rsidTr="00DF7B62">
        <w:trPr>
          <w:trHeight w:val="3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8A0604" w14:textId="77777777" w:rsidR="00DF7B62" w:rsidRPr="00DF7B62" w:rsidRDefault="00DF7B62" w:rsidP="00DF7B62">
            <w:pPr>
              <w:spacing w:after="0" w:line="240" w:lineRule="auto"/>
              <w:rPr>
                <w:rFonts w:ascii="Arial" w:eastAsia="Times New Roman" w:hAnsi="Arial" w:cs="Arial"/>
                <w:color w:val="000000"/>
                <w:kern w:val="0"/>
                <w:sz w:val="20"/>
                <w:szCs w:val="20"/>
                <w:lang w:eastAsia="en-GB"/>
                <w14:ligatures w14:val="none"/>
              </w:rPr>
            </w:pPr>
            <w:r w:rsidRPr="00DF7B62">
              <w:rPr>
                <w:rFonts w:ascii="Arial" w:eastAsia="Times New Roman" w:hAnsi="Arial" w:cs="Arial"/>
                <w:color w:val="000000"/>
                <w:kern w:val="0"/>
                <w:sz w:val="20"/>
                <w:szCs w:val="20"/>
                <w:lang w:eastAsia="en-GB"/>
                <w14:ligatures w14:val="none"/>
              </w:rPr>
              <w:lastRenderedPageBreak/>
              <w:t>India employment - indirect</w:t>
            </w:r>
          </w:p>
        </w:tc>
        <w:tc>
          <w:tcPr>
            <w:tcW w:w="1559" w:type="dxa"/>
            <w:tcBorders>
              <w:top w:val="single" w:sz="4" w:space="0" w:color="auto"/>
              <w:bottom w:val="single" w:sz="4" w:space="0" w:color="auto"/>
              <w:right w:val="single" w:sz="4" w:space="0" w:color="auto"/>
            </w:tcBorders>
            <w:vAlign w:val="bottom"/>
          </w:tcPr>
          <w:p w14:paraId="4BA47A2F" w14:textId="695BFFB0"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19,131,987</w:t>
            </w:r>
          </w:p>
        </w:tc>
        <w:tc>
          <w:tcPr>
            <w:tcW w:w="983" w:type="dxa"/>
            <w:tcBorders>
              <w:top w:val="single" w:sz="4" w:space="0" w:color="auto"/>
              <w:left w:val="single" w:sz="4" w:space="0" w:color="auto"/>
              <w:bottom w:val="single" w:sz="4" w:space="0" w:color="auto"/>
              <w:right w:val="single" w:sz="4" w:space="0" w:color="auto"/>
            </w:tcBorders>
            <w:vAlign w:val="bottom"/>
          </w:tcPr>
          <w:p w14:paraId="7FF03A82" w14:textId="59C44780"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39,227,711</w:t>
            </w:r>
          </w:p>
        </w:tc>
        <w:tc>
          <w:tcPr>
            <w:tcW w:w="1852" w:type="dxa"/>
            <w:tcBorders>
              <w:top w:val="single" w:sz="4" w:space="0" w:color="auto"/>
              <w:left w:val="single" w:sz="4" w:space="0" w:color="auto"/>
              <w:bottom w:val="single" w:sz="4" w:space="0" w:color="auto"/>
              <w:right w:val="single" w:sz="4" w:space="0" w:color="auto"/>
            </w:tcBorders>
            <w:vAlign w:val="bottom"/>
          </w:tcPr>
          <w:p w14:paraId="45BF98F2" w14:textId="625B5048"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76,088,479</w:t>
            </w:r>
          </w:p>
        </w:tc>
        <w:tc>
          <w:tcPr>
            <w:tcW w:w="1701" w:type="dxa"/>
            <w:tcBorders>
              <w:top w:val="single" w:sz="4" w:space="0" w:color="auto"/>
              <w:left w:val="single" w:sz="4" w:space="0" w:color="auto"/>
              <w:bottom w:val="single" w:sz="4" w:space="0" w:color="auto"/>
              <w:right w:val="single" w:sz="4" w:space="0" w:color="auto"/>
            </w:tcBorders>
            <w:vAlign w:val="bottom"/>
          </w:tcPr>
          <w:p w14:paraId="3FDA96B7" w14:textId="3FD4B69C" w:rsidR="00DF7B62" w:rsidRPr="00DF7B62" w:rsidRDefault="00DF7B62" w:rsidP="00DF7B62">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106,696,732</w:t>
            </w:r>
          </w:p>
        </w:tc>
      </w:tr>
    </w:tbl>
    <w:p w14:paraId="4688E3BB" w14:textId="77777777" w:rsidR="00FF677B" w:rsidRDefault="00FF677B" w:rsidP="00732936">
      <w:pPr>
        <w:jc w:val="both"/>
      </w:pPr>
    </w:p>
    <w:p w14:paraId="0602493B" w14:textId="77777777" w:rsidR="00DF7B62" w:rsidRDefault="00DF7B62" w:rsidP="00732936">
      <w:pPr>
        <w:jc w:val="both"/>
      </w:pPr>
    </w:p>
    <w:sectPr w:rsidR="00DF7B6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07A0" w14:textId="77777777" w:rsidR="007459D2" w:rsidRDefault="007459D2" w:rsidP="00B55E83">
      <w:pPr>
        <w:spacing w:after="0" w:line="240" w:lineRule="auto"/>
      </w:pPr>
      <w:r>
        <w:separator/>
      </w:r>
    </w:p>
  </w:endnote>
  <w:endnote w:type="continuationSeparator" w:id="0">
    <w:p w14:paraId="33F1ABAF" w14:textId="77777777" w:rsidR="007459D2" w:rsidRDefault="007459D2" w:rsidP="00B5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383765"/>
      <w:docPartObj>
        <w:docPartGallery w:val="Page Numbers (Bottom of Page)"/>
        <w:docPartUnique/>
      </w:docPartObj>
    </w:sdtPr>
    <w:sdtEndPr>
      <w:rPr>
        <w:color w:val="7F7F7F" w:themeColor="background1" w:themeShade="7F"/>
        <w:spacing w:val="60"/>
      </w:rPr>
    </w:sdtEndPr>
    <w:sdtContent>
      <w:p w14:paraId="19508211" w14:textId="01312DBB" w:rsidR="00B55E83" w:rsidRDefault="00B55E83">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3EFF8649" w14:textId="77777777" w:rsidR="00B55E83" w:rsidRDefault="00B55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F937" w14:textId="77777777" w:rsidR="007459D2" w:rsidRDefault="007459D2" w:rsidP="00B55E83">
      <w:pPr>
        <w:spacing w:after="0" w:line="240" w:lineRule="auto"/>
      </w:pPr>
      <w:r>
        <w:separator/>
      </w:r>
    </w:p>
  </w:footnote>
  <w:footnote w:type="continuationSeparator" w:id="0">
    <w:p w14:paraId="643392C3" w14:textId="77777777" w:rsidR="007459D2" w:rsidRDefault="007459D2" w:rsidP="00B55E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EC"/>
    <w:rsid w:val="00467FB7"/>
    <w:rsid w:val="004A22D2"/>
    <w:rsid w:val="005A487C"/>
    <w:rsid w:val="00652761"/>
    <w:rsid w:val="00732936"/>
    <w:rsid w:val="007459D2"/>
    <w:rsid w:val="00860DEC"/>
    <w:rsid w:val="00AF4603"/>
    <w:rsid w:val="00B55E83"/>
    <w:rsid w:val="00DF7B62"/>
    <w:rsid w:val="00E16B5B"/>
    <w:rsid w:val="00E861E2"/>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DE44"/>
  <w15:chartTrackingRefBased/>
  <w15:docId w15:val="{047D8B05-359D-402F-9B57-89FB55FF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DEC"/>
    <w:rPr>
      <w:rFonts w:eastAsiaTheme="majorEastAsia" w:cstheme="majorBidi"/>
      <w:color w:val="272727" w:themeColor="text1" w:themeTint="D8"/>
    </w:rPr>
  </w:style>
  <w:style w:type="paragraph" w:styleId="Title">
    <w:name w:val="Title"/>
    <w:basedOn w:val="Normal"/>
    <w:next w:val="Normal"/>
    <w:link w:val="TitleChar"/>
    <w:uiPriority w:val="10"/>
    <w:qFormat/>
    <w:rsid w:val="00860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DEC"/>
    <w:pPr>
      <w:spacing w:before="160"/>
      <w:jc w:val="center"/>
    </w:pPr>
    <w:rPr>
      <w:i/>
      <w:iCs/>
      <w:color w:val="404040" w:themeColor="text1" w:themeTint="BF"/>
    </w:rPr>
  </w:style>
  <w:style w:type="character" w:customStyle="1" w:styleId="QuoteChar">
    <w:name w:val="Quote Char"/>
    <w:basedOn w:val="DefaultParagraphFont"/>
    <w:link w:val="Quote"/>
    <w:uiPriority w:val="29"/>
    <w:rsid w:val="00860DEC"/>
    <w:rPr>
      <w:i/>
      <w:iCs/>
      <w:color w:val="404040" w:themeColor="text1" w:themeTint="BF"/>
    </w:rPr>
  </w:style>
  <w:style w:type="paragraph" w:styleId="ListParagraph">
    <w:name w:val="List Paragraph"/>
    <w:basedOn w:val="Normal"/>
    <w:uiPriority w:val="34"/>
    <w:qFormat/>
    <w:rsid w:val="00860DEC"/>
    <w:pPr>
      <w:ind w:left="720"/>
      <w:contextualSpacing/>
    </w:pPr>
  </w:style>
  <w:style w:type="character" w:styleId="IntenseEmphasis">
    <w:name w:val="Intense Emphasis"/>
    <w:basedOn w:val="DefaultParagraphFont"/>
    <w:uiPriority w:val="21"/>
    <w:qFormat/>
    <w:rsid w:val="00860DEC"/>
    <w:rPr>
      <w:i/>
      <w:iCs/>
      <w:color w:val="0F4761" w:themeColor="accent1" w:themeShade="BF"/>
    </w:rPr>
  </w:style>
  <w:style w:type="paragraph" w:styleId="IntenseQuote">
    <w:name w:val="Intense Quote"/>
    <w:basedOn w:val="Normal"/>
    <w:next w:val="Normal"/>
    <w:link w:val="IntenseQuoteChar"/>
    <w:uiPriority w:val="30"/>
    <w:qFormat/>
    <w:rsid w:val="00860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DEC"/>
    <w:rPr>
      <w:i/>
      <w:iCs/>
      <w:color w:val="0F4761" w:themeColor="accent1" w:themeShade="BF"/>
    </w:rPr>
  </w:style>
  <w:style w:type="character" w:styleId="IntenseReference">
    <w:name w:val="Intense Reference"/>
    <w:basedOn w:val="DefaultParagraphFont"/>
    <w:uiPriority w:val="32"/>
    <w:qFormat/>
    <w:rsid w:val="00860DEC"/>
    <w:rPr>
      <w:b/>
      <w:bCs/>
      <w:smallCaps/>
      <w:color w:val="0F4761" w:themeColor="accent1" w:themeShade="BF"/>
      <w:spacing w:val="5"/>
    </w:rPr>
  </w:style>
  <w:style w:type="character" w:styleId="CommentReference">
    <w:name w:val="annotation reference"/>
    <w:basedOn w:val="DefaultParagraphFont"/>
    <w:uiPriority w:val="99"/>
    <w:semiHidden/>
    <w:unhideWhenUsed/>
    <w:rsid w:val="00732936"/>
    <w:rPr>
      <w:sz w:val="16"/>
      <w:szCs w:val="16"/>
    </w:rPr>
  </w:style>
  <w:style w:type="paragraph" w:styleId="CommentText">
    <w:name w:val="annotation text"/>
    <w:basedOn w:val="Normal"/>
    <w:link w:val="CommentTextChar"/>
    <w:uiPriority w:val="99"/>
    <w:unhideWhenUsed/>
    <w:rsid w:val="00732936"/>
    <w:pPr>
      <w:spacing w:line="240" w:lineRule="auto"/>
    </w:pPr>
    <w:rPr>
      <w:sz w:val="20"/>
      <w:szCs w:val="20"/>
    </w:rPr>
  </w:style>
  <w:style w:type="character" w:customStyle="1" w:styleId="CommentTextChar">
    <w:name w:val="Comment Text Char"/>
    <w:basedOn w:val="DefaultParagraphFont"/>
    <w:link w:val="CommentText"/>
    <w:uiPriority w:val="99"/>
    <w:rsid w:val="00732936"/>
    <w:rPr>
      <w:sz w:val="20"/>
      <w:szCs w:val="20"/>
    </w:rPr>
  </w:style>
  <w:style w:type="table" w:styleId="TableGrid">
    <w:name w:val="Table Grid"/>
    <w:basedOn w:val="TableNormal"/>
    <w:uiPriority w:val="39"/>
    <w:rsid w:val="00467FB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7FB7"/>
    <w:pPr>
      <w:spacing w:after="200" w:line="240" w:lineRule="auto"/>
    </w:pPr>
    <w:rPr>
      <w:i/>
      <w:iCs/>
      <w:color w:val="0E2841" w:themeColor="text2"/>
      <w:sz w:val="18"/>
      <w:szCs w:val="18"/>
      <w:lang w:val="en-IN"/>
    </w:rPr>
  </w:style>
  <w:style w:type="paragraph" w:styleId="Header">
    <w:name w:val="header"/>
    <w:basedOn w:val="Normal"/>
    <w:link w:val="HeaderChar"/>
    <w:uiPriority w:val="99"/>
    <w:unhideWhenUsed/>
    <w:rsid w:val="00B55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E83"/>
  </w:style>
  <w:style w:type="paragraph" w:styleId="Footer">
    <w:name w:val="footer"/>
    <w:basedOn w:val="Normal"/>
    <w:link w:val="FooterChar"/>
    <w:uiPriority w:val="99"/>
    <w:unhideWhenUsed/>
    <w:rsid w:val="00B55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4709">
      <w:bodyDiv w:val="1"/>
      <w:marLeft w:val="0"/>
      <w:marRight w:val="0"/>
      <w:marTop w:val="0"/>
      <w:marBottom w:val="0"/>
      <w:divBdr>
        <w:top w:val="none" w:sz="0" w:space="0" w:color="auto"/>
        <w:left w:val="none" w:sz="0" w:space="0" w:color="auto"/>
        <w:bottom w:val="none" w:sz="0" w:space="0" w:color="auto"/>
        <w:right w:val="none" w:sz="0" w:space="0" w:color="auto"/>
      </w:divBdr>
    </w:div>
    <w:div w:id="573249057">
      <w:bodyDiv w:val="1"/>
      <w:marLeft w:val="0"/>
      <w:marRight w:val="0"/>
      <w:marTop w:val="0"/>
      <w:marBottom w:val="0"/>
      <w:divBdr>
        <w:top w:val="none" w:sz="0" w:space="0" w:color="auto"/>
        <w:left w:val="none" w:sz="0" w:space="0" w:color="auto"/>
        <w:bottom w:val="none" w:sz="0" w:space="0" w:color="auto"/>
        <w:right w:val="none" w:sz="0" w:space="0" w:color="auto"/>
      </w:divBdr>
    </w:div>
    <w:div w:id="803349330">
      <w:bodyDiv w:val="1"/>
      <w:marLeft w:val="0"/>
      <w:marRight w:val="0"/>
      <w:marTop w:val="0"/>
      <w:marBottom w:val="0"/>
      <w:divBdr>
        <w:top w:val="none" w:sz="0" w:space="0" w:color="auto"/>
        <w:left w:val="none" w:sz="0" w:space="0" w:color="auto"/>
        <w:bottom w:val="none" w:sz="0" w:space="0" w:color="auto"/>
        <w:right w:val="none" w:sz="0" w:space="0" w:color="auto"/>
      </w:divBdr>
    </w:div>
    <w:div w:id="1004824431">
      <w:bodyDiv w:val="1"/>
      <w:marLeft w:val="0"/>
      <w:marRight w:val="0"/>
      <w:marTop w:val="0"/>
      <w:marBottom w:val="0"/>
      <w:divBdr>
        <w:top w:val="none" w:sz="0" w:space="0" w:color="auto"/>
        <w:left w:val="none" w:sz="0" w:space="0" w:color="auto"/>
        <w:bottom w:val="none" w:sz="0" w:space="0" w:color="auto"/>
        <w:right w:val="none" w:sz="0" w:space="0" w:color="auto"/>
      </w:divBdr>
    </w:div>
    <w:div w:id="1034041805">
      <w:bodyDiv w:val="1"/>
      <w:marLeft w:val="0"/>
      <w:marRight w:val="0"/>
      <w:marTop w:val="0"/>
      <w:marBottom w:val="0"/>
      <w:divBdr>
        <w:top w:val="none" w:sz="0" w:space="0" w:color="auto"/>
        <w:left w:val="none" w:sz="0" w:space="0" w:color="auto"/>
        <w:bottom w:val="none" w:sz="0" w:space="0" w:color="auto"/>
        <w:right w:val="none" w:sz="0" w:space="0" w:color="auto"/>
      </w:divBdr>
    </w:div>
    <w:div w:id="1819685440">
      <w:bodyDiv w:val="1"/>
      <w:marLeft w:val="0"/>
      <w:marRight w:val="0"/>
      <w:marTop w:val="0"/>
      <w:marBottom w:val="0"/>
      <w:divBdr>
        <w:top w:val="none" w:sz="0" w:space="0" w:color="auto"/>
        <w:left w:val="none" w:sz="0" w:space="0" w:color="auto"/>
        <w:bottom w:val="none" w:sz="0" w:space="0" w:color="auto"/>
        <w:right w:val="none" w:sz="0" w:space="0" w:color="auto"/>
      </w:divBdr>
    </w:div>
    <w:div w:id="1827551541">
      <w:bodyDiv w:val="1"/>
      <w:marLeft w:val="0"/>
      <w:marRight w:val="0"/>
      <w:marTop w:val="0"/>
      <w:marBottom w:val="0"/>
      <w:divBdr>
        <w:top w:val="none" w:sz="0" w:space="0" w:color="auto"/>
        <w:left w:val="none" w:sz="0" w:space="0" w:color="auto"/>
        <w:bottom w:val="none" w:sz="0" w:space="0" w:color="auto"/>
        <w:right w:val="none" w:sz="0" w:space="0" w:color="auto"/>
      </w:divBdr>
    </w:div>
    <w:div w:id="2018993286">
      <w:bodyDiv w:val="1"/>
      <w:marLeft w:val="0"/>
      <w:marRight w:val="0"/>
      <w:marTop w:val="0"/>
      <w:marBottom w:val="0"/>
      <w:divBdr>
        <w:top w:val="none" w:sz="0" w:space="0" w:color="auto"/>
        <w:left w:val="none" w:sz="0" w:space="0" w:color="auto"/>
        <w:bottom w:val="none" w:sz="0" w:space="0" w:color="auto"/>
        <w:right w:val="none" w:sz="0" w:space="0" w:color="auto"/>
      </w:divBdr>
    </w:div>
    <w:div w:id="2036615850">
      <w:bodyDiv w:val="1"/>
      <w:marLeft w:val="0"/>
      <w:marRight w:val="0"/>
      <w:marTop w:val="0"/>
      <w:marBottom w:val="0"/>
      <w:divBdr>
        <w:top w:val="none" w:sz="0" w:space="0" w:color="auto"/>
        <w:left w:val="none" w:sz="0" w:space="0" w:color="auto"/>
        <w:bottom w:val="none" w:sz="0" w:space="0" w:color="auto"/>
        <w:right w:val="none" w:sz="0" w:space="0" w:color="auto"/>
      </w:divBdr>
    </w:div>
    <w:div w:id="206290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Souran Chatterjee</dc:creator>
  <cp:keywords/>
  <dc:description/>
  <cp:lastModifiedBy>Souran Chatterjee</cp:lastModifiedBy>
  <cp:revision>2</cp:revision>
  <dcterms:created xsi:type="dcterms:W3CDTF">2026-01-23T08:18:00Z</dcterms:created>
  <dcterms:modified xsi:type="dcterms:W3CDTF">2026-01-23T08:18:00Z</dcterms:modified>
</cp:coreProperties>
</file>