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F2A" w:rsidRPr="00F6256D" w:rsidRDefault="00F6256D" w:rsidP="0054402A">
      <w:pPr>
        <w:jc w:val="center"/>
        <w:rPr>
          <w:rFonts w:ascii="Times New Roman" w:hAnsi="Times New Roman" w:cs="Times New Roman"/>
          <w:b/>
          <w:sz w:val="18"/>
          <w:szCs w:val="18"/>
          <w:lang w:val="en-GB"/>
        </w:rPr>
      </w:pPr>
      <w:r w:rsidRPr="00D10F3E">
        <w:rPr>
          <w:rFonts w:ascii="Times New Roman" w:hAnsi="Times New Roman" w:cs="Times New Roman"/>
          <w:b/>
          <w:sz w:val="18"/>
          <w:szCs w:val="18"/>
          <w:lang w:val="en-GB"/>
        </w:rPr>
        <w:t>Additional file 1</w:t>
      </w:r>
      <w:r>
        <w:rPr>
          <w:rFonts w:ascii="Times New Roman" w:hAnsi="Times New Roman" w:cs="Times New Roman" w:hint="eastAsia"/>
          <w:b/>
          <w:sz w:val="18"/>
          <w:szCs w:val="18"/>
          <w:lang w:val="en-GB"/>
        </w:rPr>
        <w:t xml:space="preserve">: </w:t>
      </w:r>
      <w:r w:rsidR="0054402A" w:rsidRPr="00F6256D">
        <w:rPr>
          <w:rFonts w:ascii="Times New Roman" w:hAnsi="Times New Roman" w:cs="Times New Roman"/>
          <w:b/>
          <w:sz w:val="18"/>
          <w:szCs w:val="18"/>
          <w:lang w:val="en-GB"/>
        </w:rPr>
        <w:t>Table S</w:t>
      </w:r>
      <w:r w:rsidRPr="00F6256D">
        <w:rPr>
          <w:rFonts w:ascii="Times New Roman" w:hAnsi="Times New Roman" w:cs="Times New Roman" w:hint="eastAsia"/>
          <w:b/>
          <w:sz w:val="18"/>
          <w:szCs w:val="18"/>
          <w:lang w:val="en-GB"/>
        </w:rPr>
        <w:t>1</w:t>
      </w:r>
      <w:r w:rsidR="0054402A" w:rsidRPr="00F6256D">
        <w:rPr>
          <w:rFonts w:ascii="Times New Roman" w:hAnsi="Times New Roman" w:cs="Times New Roman"/>
          <w:b/>
          <w:sz w:val="18"/>
          <w:szCs w:val="18"/>
          <w:lang w:val="en-GB"/>
        </w:rPr>
        <w:t xml:space="preserve">  Phenotypic variations in silique length (SL) the B. napus accessions.</w:t>
      </w:r>
    </w:p>
    <w:tbl>
      <w:tblPr>
        <w:tblW w:w="4339" w:type="pct"/>
        <w:jc w:val="center"/>
        <w:tblLook w:val="04A0"/>
      </w:tblPr>
      <w:tblGrid>
        <w:gridCol w:w="1159"/>
        <w:gridCol w:w="1564"/>
        <w:gridCol w:w="928"/>
        <w:gridCol w:w="883"/>
        <w:gridCol w:w="970"/>
        <w:gridCol w:w="830"/>
        <w:gridCol w:w="831"/>
        <w:gridCol w:w="971"/>
        <w:gridCol w:w="1256"/>
        <w:gridCol w:w="548"/>
        <w:gridCol w:w="1256"/>
        <w:gridCol w:w="1104"/>
      </w:tblGrid>
      <w:tr w:rsidR="0054402A" w:rsidRPr="001C17F9" w:rsidTr="00DF260B">
        <w:trPr>
          <w:trHeight w:val="270"/>
          <w:jc w:val="center"/>
        </w:trPr>
        <w:tc>
          <w:tcPr>
            <w:tcW w:w="4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population</w:t>
            </w:r>
          </w:p>
        </w:tc>
        <w:tc>
          <w:tcPr>
            <w:tcW w:w="5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Traits</w:t>
            </w:r>
          </w:p>
        </w:tc>
        <w:tc>
          <w:tcPr>
            <w:tcW w:w="3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Minimum</w:t>
            </w:r>
          </w:p>
        </w:tc>
        <w:tc>
          <w:tcPr>
            <w:tcW w:w="3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Maximum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Mean</w:t>
            </w:r>
            <w:r w:rsidR="00FF59C3" w:rsidRPr="00FF59C3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  <w:u w:val="single"/>
              </w:rPr>
              <w:t>+</w:t>
            </w:r>
            <w:r w:rsidR="00FF59C3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SD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C</w:t>
            </w:r>
            <w:r w:rsidRPr="0054402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V%</w:t>
            </w:r>
            <w:r w:rsidR="0054402A" w:rsidRPr="0054402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Skewness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  <w:t>Kurtosis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17F9" w:rsidRPr="0054402A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54402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G</w:t>
            </w:r>
          </w:p>
        </w:tc>
        <w:tc>
          <w:tcPr>
            <w:tcW w:w="2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17F9" w:rsidRPr="0054402A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54402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E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17F9" w:rsidRPr="0054402A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54402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G*E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1C17F9" w:rsidRPr="0054402A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54402A">
              <w:rPr>
                <w:rFonts w:ascii="Times New Roman" w:eastAsia="宋体" w:hAnsi="Times New Roman" w:cs="Times New Roman" w:hint="eastAsia"/>
                <w:b/>
                <w:i/>
                <w:color w:val="000000"/>
                <w:kern w:val="0"/>
                <w:sz w:val="15"/>
                <w:szCs w:val="15"/>
              </w:rPr>
              <w:t>h</w:t>
            </w:r>
            <w:r w:rsidRPr="0054402A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15"/>
                <w:szCs w:val="15"/>
              </w:rPr>
              <w:t>2</w:t>
            </w:r>
            <w:r w:rsidRPr="0054402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  <w:vertAlign w:val="superscript"/>
              </w:rPr>
              <w:t>b</w:t>
            </w:r>
          </w:p>
        </w:tc>
      </w:tr>
      <w:tr w:rsidR="0054402A" w:rsidRPr="001C17F9" w:rsidTr="00DF260B">
        <w:trPr>
          <w:trHeight w:val="270"/>
          <w:jc w:val="center"/>
        </w:trPr>
        <w:tc>
          <w:tcPr>
            <w:tcW w:w="47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RIL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16SL-cq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4.82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9.65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7.28</w:t>
            </w:r>
            <w:r w:rsidRPr="00FF59C3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u w:val="single"/>
              </w:rPr>
              <w:t>+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1.36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18.74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-1.11</w:t>
            </w:r>
          </w:p>
        </w:tc>
        <w:tc>
          <w:tcPr>
            <w:tcW w:w="518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54402A" w:rsidRPr="0054402A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54402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230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54402A" w:rsidRPr="0054402A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54402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518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54402A" w:rsidRPr="0054402A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</w:rPr>
            </w:pPr>
            <w:r w:rsidRPr="0054402A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456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76.26%</w:t>
            </w:r>
          </w:p>
        </w:tc>
      </w:tr>
      <w:tr w:rsidR="0054402A" w:rsidRPr="001C17F9" w:rsidTr="00DF260B">
        <w:trPr>
          <w:trHeight w:val="270"/>
          <w:jc w:val="center"/>
        </w:trPr>
        <w:tc>
          <w:tcPr>
            <w:tcW w:w="47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17SL-cq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4.43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8.60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6.53</w:t>
            </w:r>
            <w:r w:rsidRPr="00FF59C3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u w:val="single"/>
              </w:rPr>
              <w:t>+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1.15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17.57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-0.30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-1.09</w:t>
            </w:r>
          </w:p>
        </w:tc>
        <w:tc>
          <w:tcPr>
            <w:tcW w:w="518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0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56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4402A" w:rsidRPr="001C17F9" w:rsidTr="00DF260B">
        <w:trPr>
          <w:trHeight w:val="270"/>
          <w:jc w:val="center"/>
        </w:trPr>
        <w:tc>
          <w:tcPr>
            <w:tcW w:w="47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18SL-cq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5.16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10.51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7.85</w:t>
            </w:r>
            <w:r w:rsidRPr="00FF59C3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u w:val="single"/>
              </w:rPr>
              <w:t>+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1.51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19.19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-1.02</w:t>
            </w:r>
          </w:p>
        </w:tc>
        <w:tc>
          <w:tcPr>
            <w:tcW w:w="518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0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56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4402A" w:rsidRPr="001C17F9" w:rsidTr="00DF260B">
        <w:trPr>
          <w:trHeight w:val="270"/>
          <w:jc w:val="center"/>
        </w:trPr>
        <w:tc>
          <w:tcPr>
            <w:tcW w:w="47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18SL-xa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5.29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9.75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7.51</w:t>
            </w:r>
            <w:r w:rsidRPr="00FF59C3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u w:val="single"/>
              </w:rPr>
              <w:t>+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1.22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16.22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-0.28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-1.09</w:t>
            </w:r>
          </w:p>
        </w:tc>
        <w:tc>
          <w:tcPr>
            <w:tcW w:w="518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0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56" w:type="pct"/>
            <w:vMerge/>
            <w:tcBorders>
              <w:left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4402A" w:rsidRPr="001C17F9" w:rsidTr="00DF260B">
        <w:trPr>
          <w:trHeight w:val="270"/>
          <w:jc w:val="center"/>
        </w:trPr>
        <w:tc>
          <w:tcPr>
            <w:tcW w:w="479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19SL-xa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4.81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10.89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7.38</w:t>
            </w:r>
            <w:r w:rsidRPr="00FF59C3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u w:val="single"/>
              </w:rPr>
              <w:t>+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1.44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19.58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-0.40</w:t>
            </w:r>
          </w:p>
        </w:tc>
        <w:tc>
          <w:tcPr>
            <w:tcW w:w="518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0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56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:rsidR="0054402A" w:rsidRPr="001C17F9" w:rsidRDefault="0054402A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4402A" w:rsidRPr="001C17F9" w:rsidTr="00DF260B">
        <w:trPr>
          <w:trHeight w:val="270"/>
          <w:jc w:val="center"/>
        </w:trPr>
        <w:tc>
          <w:tcPr>
            <w:tcW w:w="4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1C17F9" w:rsidP="001327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GWAS</w:t>
            </w:r>
            <w:r w:rsidR="0013275E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-60K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3275E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60K</w:t>
            </w:r>
            <w:r w:rsidR="001C17F9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(2014)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3.52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9.90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5.75</w:t>
            </w:r>
            <w:r w:rsidRPr="00FF59C3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u w:val="single"/>
              </w:rPr>
              <w:t>+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0.91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15.78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17F9" w:rsidRPr="001C17F9" w:rsidRDefault="001C17F9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FD2E4F" w:rsidRPr="001C17F9" w:rsidTr="00DF260B">
        <w:trPr>
          <w:trHeight w:val="270"/>
          <w:jc w:val="center"/>
        </w:trPr>
        <w:tc>
          <w:tcPr>
            <w:tcW w:w="479" w:type="pct"/>
            <w:vMerge w:val="restart"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13275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GWAS</w:t>
            </w:r>
            <w:r w:rsidR="0013275E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-WGR</w:t>
            </w: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13275E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WGR</w:t>
            </w:r>
            <w:r w:rsidR="00FD2E4F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(2019)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3.39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12.74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5.95</w:t>
            </w:r>
            <w:r w:rsidRPr="00FF59C3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u w:val="single"/>
              </w:rPr>
              <w:t>+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1.27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21.36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1C17F9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3.27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FD2E4F" w:rsidRPr="001C17F9" w:rsidTr="00DF260B">
        <w:trPr>
          <w:trHeight w:val="270"/>
          <w:jc w:val="center"/>
        </w:trPr>
        <w:tc>
          <w:tcPr>
            <w:tcW w:w="47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260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Winter</w:t>
            </w:r>
            <w:r>
              <w:t xml:space="preserve"> </w:t>
            </w:r>
            <w:r w:rsidRPr="00FD2E4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subgroup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3.41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12.74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5.51</w:t>
            </w:r>
            <w:r w:rsidRPr="00FF59C3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u w:val="single"/>
              </w:rPr>
              <w:t>+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1.45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26.36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3.18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11.42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FD2E4F" w:rsidRPr="001C17F9" w:rsidTr="00DF260B">
        <w:trPr>
          <w:trHeight w:val="270"/>
          <w:jc w:val="center"/>
        </w:trPr>
        <w:tc>
          <w:tcPr>
            <w:tcW w:w="47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260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Spring</w:t>
            </w:r>
            <w:r>
              <w:t xml:space="preserve"> </w:t>
            </w:r>
            <w:r w:rsidRPr="00FD2E4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subgroup</w:t>
            </w:r>
          </w:p>
        </w:tc>
        <w:tc>
          <w:tcPr>
            <w:tcW w:w="3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FD2E4F" w:rsidRDefault="00FD2E4F" w:rsidP="00FD2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D2E4F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3.46</w:t>
            </w:r>
          </w:p>
        </w:tc>
        <w:tc>
          <w:tcPr>
            <w:tcW w:w="3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FD2E4F" w:rsidRDefault="00FD2E4F" w:rsidP="00FD2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D2E4F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10.52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FD2E4F" w:rsidRDefault="00FD2E4F" w:rsidP="00FD2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FD2E4F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5.31</w:t>
            </w:r>
            <w:r w:rsidRPr="00FF59C3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u w:val="single"/>
              </w:rPr>
              <w:t>+</w:t>
            </w:r>
            <w:r w:rsidRPr="00FD2E4F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1.12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FD2E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21.11</w:t>
            </w:r>
          </w:p>
        </w:tc>
        <w:tc>
          <w:tcPr>
            <w:tcW w:w="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2.27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7.87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FD2E4F" w:rsidRPr="001C17F9" w:rsidTr="00DF260B">
        <w:trPr>
          <w:trHeight w:val="270"/>
          <w:jc w:val="center"/>
        </w:trPr>
        <w:tc>
          <w:tcPr>
            <w:tcW w:w="47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DF260B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Semi-winter</w:t>
            </w:r>
            <w:r>
              <w:t xml:space="preserve"> </w:t>
            </w:r>
            <w:r w:rsidRPr="00FD2E4F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subgroup</w:t>
            </w:r>
          </w:p>
        </w:tc>
        <w:tc>
          <w:tcPr>
            <w:tcW w:w="3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3.39</w:t>
            </w:r>
          </w:p>
        </w:tc>
        <w:tc>
          <w:tcPr>
            <w:tcW w:w="3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11.68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6.07</w:t>
            </w:r>
            <w:r w:rsidRPr="00FF59C3"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  <w:u w:val="single"/>
              </w:rPr>
              <w:t>+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1.23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20.21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1.11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5"/>
                <w:szCs w:val="15"/>
              </w:rPr>
              <w:t>2.23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D2E4F" w:rsidRPr="001C17F9" w:rsidRDefault="00FD2E4F" w:rsidP="0054402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:rsidR="0054402A" w:rsidRPr="0054402A" w:rsidRDefault="0054402A" w:rsidP="0054402A">
      <w:pPr>
        <w:rPr>
          <w:rFonts w:ascii="Times New Roman" w:hAnsi="Times New Roman" w:cs="Times New Roman"/>
          <w:sz w:val="15"/>
          <w:szCs w:val="15"/>
        </w:rPr>
      </w:pPr>
      <w:r w:rsidRPr="0054402A">
        <w:rPr>
          <w:rFonts w:ascii="Times New Roman" w:hAnsi="Times New Roman" w:cs="Times New Roman"/>
          <w:sz w:val="15"/>
          <w:szCs w:val="15"/>
        </w:rPr>
        <w:t>** The values are significant at P &lt; 0.01 for the effect of genotype (G), environment (E) and genotype by environment interaction (G×E) on phenotypic variance estimated by two-way ANOVA.</w:t>
      </w:r>
    </w:p>
    <w:p w:rsidR="0054402A" w:rsidRPr="0054402A" w:rsidRDefault="0054402A" w:rsidP="0054402A">
      <w:pPr>
        <w:rPr>
          <w:rFonts w:ascii="Times New Roman" w:hAnsi="Times New Roman" w:cs="Times New Roman"/>
          <w:sz w:val="15"/>
          <w:szCs w:val="15"/>
        </w:rPr>
      </w:pPr>
      <w:r w:rsidRPr="00DF6745">
        <w:rPr>
          <w:rFonts w:ascii="Times New Roman" w:hAnsi="Times New Roman" w:cs="Times New Roman"/>
          <w:sz w:val="15"/>
          <w:szCs w:val="15"/>
          <w:vertAlign w:val="superscript"/>
        </w:rPr>
        <w:t>a</w:t>
      </w:r>
      <w:r w:rsidRPr="0054402A">
        <w:rPr>
          <w:rFonts w:ascii="Times New Roman" w:hAnsi="Times New Roman" w:cs="Times New Roman"/>
          <w:sz w:val="15"/>
          <w:szCs w:val="15"/>
        </w:rPr>
        <w:t xml:space="preserve"> CV is an abbreviation of coefficient of variation, which was estimated as the ratio of the standard deviation to the mean of all accessions.</w:t>
      </w:r>
    </w:p>
    <w:p w:rsidR="00AE4FD3" w:rsidRPr="0054402A" w:rsidRDefault="0054402A" w:rsidP="0054402A">
      <w:pPr>
        <w:rPr>
          <w:rFonts w:ascii="Times New Roman" w:hAnsi="Times New Roman" w:cs="Times New Roman"/>
          <w:sz w:val="15"/>
          <w:szCs w:val="15"/>
        </w:rPr>
      </w:pPr>
      <w:r w:rsidRPr="00DF6745">
        <w:rPr>
          <w:rFonts w:ascii="Times New Roman" w:hAnsi="Times New Roman" w:cs="Times New Roman"/>
          <w:sz w:val="15"/>
          <w:szCs w:val="15"/>
          <w:vertAlign w:val="superscript"/>
        </w:rPr>
        <w:t>b</w:t>
      </w:r>
      <w:r w:rsidRPr="0054402A">
        <w:rPr>
          <w:rFonts w:ascii="Times New Roman" w:hAnsi="Times New Roman" w:cs="Times New Roman"/>
          <w:sz w:val="15"/>
          <w:szCs w:val="15"/>
        </w:rPr>
        <w:t xml:space="preserve"> </w:t>
      </w:r>
      <w:r w:rsidRPr="00DF6745">
        <w:rPr>
          <w:rFonts w:ascii="Times New Roman" w:hAnsi="Times New Roman" w:cs="Times New Roman"/>
          <w:i/>
          <w:sz w:val="15"/>
          <w:szCs w:val="15"/>
        </w:rPr>
        <w:t>h</w:t>
      </w:r>
      <w:r w:rsidRPr="00DF6745">
        <w:rPr>
          <w:rFonts w:ascii="Times New Roman" w:hAnsi="Times New Roman" w:cs="Times New Roman"/>
          <w:i/>
          <w:sz w:val="15"/>
          <w:szCs w:val="15"/>
          <w:vertAlign w:val="superscript"/>
        </w:rPr>
        <w:t>2</w:t>
      </w:r>
      <w:r w:rsidRPr="0054402A">
        <w:rPr>
          <w:rFonts w:ascii="Times New Roman" w:hAnsi="Times New Roman" w:cs="Times New Roman"/>
          <w:sz w:val="15"/>
          <w:szCs w:val="15"/>
        </w:rPr>
        <w:t xml:space="preserve"> is broad-sense heritability;</w:t>
      </w:r>
      <w:r w:rsidRPr="00DF6745">
        <w:rPr>
          <w:rFonts w:ascii="Times New Roman" w:hAnsi="Times New Roman" w:cs="Times New Roman"/>
          <w:i/>
          <w:sz w:val="15"/>
          <w:szCs w:val="15"/>
        </w:rPr>
        <w:t xml:space="preserve"> h</w:t>
      </w:r>
      <w:r w:rsidRPr="00DF6745">
        <w:rPr>
          <w:rFonts w:ascii="Times New Roman" w:hAnsi="Times New Roman" w:cs="Times New Roman"/>
          <w:i/>
          <w:sz w:val="15"/>
          <w:szCs w:val="15"/>
          <w:vertAlign w:val="superscript"/>
        </w:rPr>
        <w:t>2</w:t>
      </w:r>
      <w:r w:rsidRPr="0054402A">
        <w:rPr>
          <w:rFonts w:ascii="Times New Roman" w:hAnsi="Times New Roman" w:cs="Times New Roman"/>
          <w:sz w:val="15"/>
          <w:szCs w:val="15"/>
        </w:rPr>
        <w:t xml:space="preserve"> = б</w:t>
      </w:r>
      <w:r w:rsidRPr="00DF6745">
        <w:rPr>
          <w:rFonts w:ascii="Times New Roman" w:hAnsi="Times New Roman" w:cs="Times New Roman"/>
          <w:sz w:val="15"/>
          <w:szCs w:val="15"/>
          <w:vertAlign w:val="superscript"/>
        </w:rPr>
        <w:t>2</w:t>
      </w:r>
      <w:r w:rsidRPr="00DF6745">
        <w:rPr>
          <w:rFonts w:ascii="Times New Roman" w:hAnsi="Times New Roman" w:cs="Times New Roman"/>
          <w:sz w:val="15"/>
          <w:szCs w:val="15"/>
          <w:vertAlign w:val="subscript"/>
        </w:rPr>
        <w:t>g</w:t>
      </w:r>
      <w:r w:rsidRPr="0054402A">
        <w:rPr>
          <w:rFonts w:ascii="Times New Roman" w:hAnsi="Times New Roman" w:cs="Times New Roman"/>
          <w:sz w:val="15"/>
          <w:szCs w:val="15"/>
        </w:rPr>
        <w:t>/(б</w:t>
      </w:r>
      <w:r w:rsidRPr="00DF6745">
        <w:rPr>
          <w:rFonts w:ascii="Times New Roman" w:hAnsi="Times New Roman" w:cs="Times New Roman"/>
          <w:sz w:val="15"/>
          <w:szCs w:val="15"/>
          <w:vertAlign w:val="superscript"/>
        </w:rPr>
        <w:t>2</w:t>
      </w:r>
      <w:r w:rsidRPr="00DF6745">
        <w:rPr>
          <w:rFonts w:ascii="Times New Roman" w:hAnsi="Times New Roman" w:cs="Times New Roman"/>
          <w:sz w:val="15"/>
          <w:szCs w:val="15"/>
          <w:vertAlign w:val="subscript"/>
        </w:rPr>
        <w:t>g</w:t>
      </w:r>
      <w:r w:rsidRPr="0054402A">
        <w:rPr>
          <w:rFonts w:ascii="Times New Roman" w:hAnsi="Times New Roman" w:cs="Times New Roman"/>
          <w:sz w:val="15"/>
          <w:szCs w:val="15"/>
        </w:rPr>
        <w:t>+б</w:t>
      </w:r>
      <w:r w:rsidRPr="00DF6745">
        <w:rPr>
          <w:rFonts w:ascii="Times New Roman" w:hAnsi="Times New Roman" w:cs="Times New Roman"/>
          <w:sz w:val="15"/>
          <w:szCs w:val="15"/>
          <w:vertAlign w:val="superscript"/>
        </w:rPr>
        <w:t>2</w:t>
      </w:r>
      <w:r w:rsidRPr="00DF6745">
        <w:rPr>
          <w:rFonts w:ascii="Times New Roman" w:hAnsi="Times New Roman" w:cs="Times New Roman"/>
          <w:sz w:val="15"/>
          <w:szCs w:val="15"/>
          <w:vertAlign w:val="subscript"/>
        </w:rPr>
        <w:t>ge</w:t>
      </w:r>
      <w:r w:rsidRPr="0054402A">
        <w:rPr>
          <w:rFonts w:ascii="Times New Roman" w:hAnsi="Times New Roman" w:cs="Times New Roman"/>
          <w:sz w:val="15"/>
          <w:szCs w:val="15"/>
        </w:rPr>
        <w:t>/n+б</w:t>
      </w:r>
      <w:r w:rsidRPr="00DF6745">
        <w:rPr>
          <w:rFonts w:ascii="Times New Roman" w:hAnsi="Times New Roman" w:cs="Times New Roman"/>
          <w:sz w:val="15"/>
          <w:szCs w:val="15"/>
          <w:vertAlign w:val="superscript"/>
        </w:rPr>
        <w:t>2</w:t>
      </w:r>
      <w:r w:rsidRPr="00DF6745">
        <w:rPr>
          <w:rFonts w:ascii="Times New Roman" w:hAnsi="Times New Roman" w:cs="Times New Roman"/>
          <w:sz w:val="15"/>
          <w:szCs w:val="15"/>
          <w:vertAlign w:val="subscript"/>
        </w:rPr>
        <w:t>e</w:t>
      </w:r>
      <w:r w:rsidRPr="0054402A">
        <w:rPr>
          <w:rFonts w:ascii="Times New Roman" w:hAnsi="Times New Roman" w:cs="Times New Roman"/>
          <w:sz w:val="15"/>
          <w:szCs w:val="15"/>
        </w:rPr>
        <w:t>/nr)×100%, where</w:t>
      </w:r>
      <w:r w:rsidR="00DF6745">
        <w:rPr>
          <w:rFonts w:ascii="Times New Roman" w:hAnsi="Times New Roman" w:cs="Times New Roman" w:hint="eastAsia"/>
          <w:sz w:val="15"/>
          <w:szCs w:val="15"/>
        </w:rPr>
        <w:t xml:space="preserve"> </w:t>
      </w:r>
      <w:r w:rsidR="00DF6745" w:rsidRPr="0054402A">
        <w:rPr>
          <w:rFonts w:ascii="Times New Roman" w:hAnsi="Times New Roman" w:cs="Times New Roman"/>
          <w:sz w:val="15"/>
          <w:szCs w:val="15"/>
        </w:rPr>
        <w:t>б</w:t>
      </w:r>
      <w:r w:rsidR="00DF6745" w:rsidRPr="00DF6745">
        <w:rPr>
          <w:rFonts w:ascii="Times New Roman" w:hAnsi="Times New Roman" w:cs="Times New Roman"/>
          <w:sz w:val="15"/>
          <w:szCs w:val="15"/>
          <w:vertAlign w:val="superscript"/>
        </w:rPr>
        <w:t>2</w:t>
      </w:r>
      <w:r w:rsidR="00DF6745" w:rsidRPr="00DF6745">
        <w:rPr>
          <w:rFonts w:ascii="Times New Roman" w:hAnsi="Times New Roman" w:cs="Times New Roman"/>
          <w:sz w:val="15"/>
          <w:szCs w:val="15"/>
          <w:vertAlign w:val="subscript"/>
        </w:rPr>
        <w:t>g</w:t>
      </w:r>
      <w:r w:rsidRPr="0054402A">
        <w:rPr>
          <w:rFonts w:ascii="Times New Roman" w:hAnsi="Times New Roman" w:cs="Times New Roman"/>
          <w:sz w:val="15"/>
          <w:szCs w:val="15"/>
        </w:rPr>
        <w:t xml:space="preserve"> is the genetic variance, </w:t>
      </w:r>
      <w:r w:rsidR="00DF6745" w:rsidRPr="0054402A">
        <w:rPr>
          <w:rFonts w:ascii="Times New Roman" w:hAnsi="Times New Roman" w:cs="Times New Roman"/>
          <w:sz w:val="15"/>
          <w:szCs w:val="15"/>
        </w:rPr>
        <w:t>б</w:t>
      </w:r>
      <w:r w:rsidR="00DF6745" w:rsidRPr="00DF6745">
        <w:rPr>
          <w:rFonts w:ascii="Times New Roman" w:hAnsi="Times New Roman" w:cs="Times New Roman"/>
          <w:sz w:val="15"/>
          <w:szCs w:val="15"/>
          <w:vertAlign w:val="superscript"/>
        </w:rPr>
        <w:t>2</w:t>
      </w:r>
      <w:r w:rsidR="00DF6745" w:rsidRPr="00DF6745">
        <w:rPr>
          <w:rFonts w:ascii="Times New Roman" w:hAnsi="Times New Roman" w:cs="Times New Roman"/>
          <w:sz w:val="15"/>
          <w:szCs w:val="15"/>
          <w:vertAlign w:val="subscript"/>
        </w:rPr>
        <w:t>ge</w:t>
      </w:r>
      <w:r w:rsidR="00DF6745" w:rsidRPr="0054402A">
        <w:rPr>
          <w:rFonts w:ascii="Times New Roman" w:hAnsi="Times New Roman" w:cs="Times New Roman"/>
          <w:sz w:val="15"/>
          <w:szCs w:val="15"/>
        </w:rPr>
        <w:t xml:space="preserve"> </w:t>
      </w:r>
      <w:r w:rsidRPr="0054402A">
        <w:rPr>
          <w:rFonts w:ascii="Times New Roman" w:hAnsi="Times New Roman" w:cs="Times New Roman"/>
          <w:sz w:val="15"/>
          <w:szCs w:val="15"/>
        </w:rPr>
        <w:t xml:space="preserve">is the variance due to the G × E interaction, </w:t>
      </w:r>
      <w:r w:rsidR="00DF6745" w:rsidRPr="0054402A">
        <w:rPr>
          <w:rFonts w:ascii="Times New Roman" w:hAnsi="Times New Roman" w:cs="Times New Roman"/>
          <w:sz w:val="15"/>
          <w:szCs w:val="15"/>
        </w:rPr>
        <w:t>б</w:t>
      </w:r>
      <w:r w:rsidR="00DF6745" w:rsidRPr="00DF6745">
        <w:rPr>
          <w:rFonts w:ascii="Times New Roman" w:hAnsi="Times New Roman" w:cs="Times New Roman"/>
          <w:sz w:val="15"/>
          <w:szCs w:val="15"/>
          <w:vertAlign w:val="superscript"/>
        </w:rPr>
        <w:t>2</w:t>
      </w:r>
      <w:r w:rsidR="00DF6745" w:rsidRPr="00DF6745">
        <w:rPr>
          <w:rFonts w:ascii="Times New Roman" w:hAnsi="Times New Roman" w:cs="Times New Roman"/>
          <w:sz w:val="15"/>
          <w:szCs w:val="15"/>
          <w:vertAlign w:val="subscript"/>
        </w:rPr>
        <w:t>e</w:t>
      </w:r>
      <w:r w:rsidRPr="0054402A">
        <w:rPr>
          <w:rFonts w:ascii="Times New Roman" w:hAnsi="Times New Roman" w:cs="Times New Roman"/>
          <w:sz w:val="15"/>
          <w:szCs w:val="15"/>
        </w:rPr>
        <w:t xml:space="preserve"> represents the residual error, n is the number of environments (years), and r is number of replicates</w:t>
      </w:r>
      <w:r w:rsidR="00DF6745">
        <w:rPr>
          <w:rFonts w:ascii="Times New Roman" w:hAnsi="Times New Roman" w:cs="Times New Roman" w:hint="eastAsia"/>
          <w:sz w:val="15"/>
          <w:szCs w:val="15"/>
        </w:rPr>
        <w:t>.</w:t>
      </w:r>
    </w:p>
    <w:sectPr w:rsidR="00AE4FD3" w:rsidRPr="0054402A" w:rsidSect="001C17F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5D5A" w:rsidRDefault="00C25D5A" w:rsidP="00AE4FD3">
      <w:r>
        <w:separator/>
      </w:r>
    </w:p>
  </w:endnote>
  <w:endnote w:type="continuationSeparator" w:id="0">
    <w:p w:rsidR="00C25D5A" w:rsidRDefault="00C25D5A" w:rsidP="00AE4F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5D5A" w:rsidRDefault="00C25D5A" w:rsidP="00AE4FD3">
      <w:r>
        <w:separator/>
      </w:r>
    </w:p>
  </w:footnote>
  <w:footnote w:type="continuationSeparator" w:id="0">
    <w:p w:rsidR="00C25D5A" w:rsidRDefault="00C25D5A" w:rsidP="00AE4F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4FD3"/>
    <w:rsid w:val="00066F2A"/>
    <w:rsid w:val="000F33F5"/>
    <w:rsid w:val="00120D2D"/>
    <w:rsid w:val="0013275E"/>
    <w:rsid w:val="001C17F9"/>
    <w:rsid w:val="002260DF"/>
    <w:rsid w:val="003C7EC4"/>
    <w:rsid w:val="0054402A"/>
    <w:rsid w:val="005D5B0D"/>
    <w:rsid w:val="006D02E7"/>
    <w:rsid w:val="008F675A"/>
    <w:rsid w:val="008F7F69"/>
    <w:rsid w:val="00AE4FD3"/>
    <w:rsid w:val="00B40E72"/>
    <w:rsid w:val="00C25D5A"/>
    <w:rsid w:val="00D368EF"/>
    <w:rsid w:val="00DF260B"/>
    <w:rsid w:val="00DF6745"/>
    <w:rsid w:val="00F6256D"/>
    <w:rsid w:val="00FD2E4F"/>
    <w:rsid w:val="00FF59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F2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4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F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4F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4F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3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6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2021-07-14T03:18:00Z</dcterms:created>
  <dcterms:modified xsi:type="dcterms:W3CDTF">2021-08-02T12:31:00Z</dcterms:modified>
</cp:coreProperties>
</file>