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945DA" w14:textId="77777777" w:rsidR="00300985" w:rsidRPr="00300985" w:rsidRDefault="00300985" w:rsidP="00300985">
      <w:pPr>
        <w:ind w:firstLine="400"/>
        <w:rPr>
          <w:b/>
          <w:bCs/>
          <w:lang w:val="en-US"/>
        </w:rPr>
      </w:pPr>
      <w:r w:rsidRPr="00300985">
        <w:rPr>
          <w:b/>
          <w:bCs/>
          <w:lang w:val="en-US"/>
        </w:rPr>
        <w:t>Supplementary</w:t>
      </w:r>
    </w:p>
    <w:p w14:paraId="5689834D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t>Supplementary Table 1 Annotations of the ORF 32 in genome of cyanophage PP-DH22 and its orthologs in the genomes of cyanophage PP, LPP and Pf-WMP3 by different annotation tools</w:t>
      </w:r>
    </w:p>
    <w:tbl>
      <w:tblPr>
        <w:tblStyle w:val="TableGrid"/>
        <w:tblpPr w:leftFromText="180" w:rightFromText="180" w:vertAnchor="text" w:horzAnchor="margin" w:tblpXSpec="center" w:tblpY="295"/>
        <w:tblW w:w="1077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750"/>
        <w:gridCol w:w="1047"/>
        <w:gridCol w:w="795"/>
        <w:gridCol w:w="861"/>
        <w:gridCol w:w="840"/>
        <w:gridCol w:w="1276"/>
        <w:gridCol w:w="1418"/>
        <w:gridCol w:w="1700"/>
        <w:gridCol w:w="1275"/>
      </w:tblGrid>
      <w:tr w:rsidR="00300985" w:rsidRPr="00300985" w14:paraId="17583BBE" w14:textId="77777777">
        <w:tc>
          <w:tcPr>
            <w:tcW w:w="809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747F094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cyanophage</w:t>
            </w:r>
          </w:p>
        </w:tc>
        <w:tc>
          <w:tcPr>
            <w:tcW w:w="751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8939646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amino acid length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0F8DF28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proofErr w:type="spellStart"/>
            <w:r w:rsidRPr="00300985">
              <w:rPr>
                <w:lang w:val="en-US"/>
              </w:rPr>
              <w:t>eggNOG</w:t>
            </w:r>
            <w:proofErr w:type="spellEnd"/>
            <w:r w:rsidRPr="00300985">
              <w:rPr>
                <w:lang w:val="en-US"/>
              </w:rPr>
              <w:t>-mapper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695F8AB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proofErr w:type="spellStart"/>
            <w:r w:rsidRPr="00300985">
              <w:rPr>
                <w:lang w:val="en-US"/>
              </w:rPr>
              <w:t>blastx</w:t>
            </w:r>
            <w:proofErr w:type="spellEnd"/>
          </w:p>
        </w:tc>
        <w:tc>
          <w:tcPr>
            <w:tcW w:w="269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2718A9F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proofErr w:type="spellStart"/>
            <w:r w:rsidRPr="00300985">
              <w:rPr>
                <w:lang w:val="en-US"/>
              </w:rPr>
              <w:t>Hmmer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8DFA8B6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proofErr w:type="spellStart"/>
            <w:r w:rsidRPr="00300985">
              <w:rPr>
                <w:lang w:val="en-US"/>
              </w:rPr>
              <w:t>VIPTree</w:t>
            </w:r>
            <w:proofErr w:type="spellEnd"/>
          </w:p>
        </w:tc>
      </w:tr>
      <w:tr w:rsidR="00300985" w:rsidRPr="00300985" w14:paraId="151C1168" w14:textId="77777777">
        <w:tc>
          <w:tcPr>
            <w:tcW w:w="809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EF8A88A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</w:p>
        </w:tc>
        <w:tc>
          <w:tcPr>
            <w:tcW w:w="751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46678AC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A301D5A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Description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2E2C861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E-value</w:t>
            </w:r>
          </w:p>
        </w:tc>
        <w:tc>
          <w:tcPr>
            <w:tcW w:w="861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12E2467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Description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2376439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E-value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20CD29F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Description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0F8F787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E-value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A3CC0BF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Description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7BB3CE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E-value</w:t>
            </w:r>
          </w:p>
        </w:tc>
      </w:tr>
      <w:tr w:rsidR="00300985" w:rsidRPr="00300985" w14:paraId="204BA530" w14:textId="77777777">
        <w:tc>
          <w:tcPr>
            <w:tcW w:w="809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70D4920D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PP-DH22</w:t>
            </w:r>
          </w:p>
        </w:tc>
        <w:tc>
          <w:tcPr>
            <w:tcW w:w="751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5F403AC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121</w:t>
            </w:r>
          </w:p>
        </w:tc>
        <w:tc>
          <w:tcPr>
            <w:tcW w:w="1047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D3D963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hypothetical protein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EB835FC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-</w:t>
            </w:r>
          </w:p>
        </w:tc>
        <w:tc>
          <w:tcPr>
            <w:tcW w:w="861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FBF05E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endonuclease VII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B412E99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proofErr w:type="gramStart"/>
            <w:r w:rsidRPr="00300985">
              <w:rPr>
                <w:lang w:val="en-US"/>
              </w:rPr>
              <w:t>2e</w:t>
            </w:r>
            <w:proofErr w:type="gramEnd"/>
            <w:r w:rsidRPr="00300985">
              <w:rPr>
                <w:lang w:val="en-US"/>
              </w:rPr>
              <w:t>-14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3EA5855D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Recombination endonuclease VII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EFA1C4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1.9e-77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0C1B7AF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endonuclease VII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1548AE19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3.6e-65</w:t>
            </w:r>
          </w:p>
        </w:tc>
      </w:tr>
      <w:tr w:rsidR="00300985" w:rsidRPr="00300985" w14:paraId="67DF51BD" w14:textId="77777777"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0CED72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PP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FDDB12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121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CA254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hypothetical protein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0498D8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684299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endonuclease VII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CFE743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7e-15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E7BC98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Recombination endonuclease VII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B097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3.4e-78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E6991C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endonuclease VII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C8536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5.5e-66</w:t>
            </w:r>
          </w:p>
        </w:tc>
      </w:tr>
      <w:tr w:rsidR="00300985" w:rsidRPr="00300985" w14:paraId="61CA5459" w14:textId="77777777"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4FB9CA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LPP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77D6E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118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B3D953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hypothetical protein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A52271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2701FE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restriction endonuclease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46F4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1e-78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ADAFF7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Recombination endonuclease VII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4460FD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6.0e-26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497D9C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recombination endonuclease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4B03F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2.8e-62</w:t>
            </w:r>
          </w:p>
        </w:tc>
      </w:tr>
      <w:tr w:rsidR="00300985" w:rsidRPr="00300985" w14:paraId="2C394A06" w14:textId="77777777">
        <w:tc>
          <w:tcPr>
            <w:tcW w:w="80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A12D717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Pf-WMP3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FD25164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126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2894079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hypothetical protein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67B1EF3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-</w:t>
            </w:r>
          </w:p>
        </w:tc>
        <w:tc>
          <w:tcPr>
            <w:tcW w:w="86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C5F2492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 xml:space="preserve">endonuclease </w:t>
            </w:r>
            <w:proofErr w:type="spellStart"/>
            <w:r w:rsidRPr="00300985">
              <w:rPr>
                <w:lang w:val="en-US"/>
              </w:rPr>
              <w:t>VIl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90ADC23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9e-88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0AC2885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Recombination endonuclease VII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79B4F41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3.9e-47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C3C61C0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endonuclease VII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37F0D98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3.3e-71</w:t>
            </w:r>
          </w:p>
        </w:tc>
      </w:tr>
    </w:tbl>
    <w:p w14:paraId="2CD99ECC" w14:textId="77777777" w:rsidR="00300985" w:rsidRPr="00300985" w:rsidRDefault="00300985" w:rsidP="00300985">
      <w:pPr>
        <w:ind w:firstLine="400"/>
        <w:rPr>
          <w:lang w:val="en-US"/>
        </w:rPr>
      </w:pPr>
    </w:p>
    <w:p w14:paraId="33ADD10D" w14:textId="77777777" w:rsidR="00300985" w:rsidRPr="00300985" w:rsidRDefault="00300985" w:rsidP="00300985">
      <w:pPr>
        <w:numPr>
          <w:ilvl w:val="0"/>
          <w:numId w:val="1"/>
        </w:numPr>
        <w:ind w:firstLineChars="200" w:firstLine="480"/>
        <w:rPr>
          <w:lang w:val="en-US"/>
        </w:rPr>
      </w:pPr>
      <w:r w:rsidRPr="00300985">
        <w:rPr>
          <w:lang w:val="en-US"/>
        </w:rPr>
        <w:t>Not available</w:t>
      </w:r>
    </w:p>
    <w:p w14:paraId="2E39AA81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br w:type="page"/>
      </w:r>
    </w:p>
    <w:p w14:paraId="754ED4FA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b/>
          <w:bCs/>
          <w:lang w:val="en-US"/>
        </w:rPr>
        <w:lastRenderedPageBreak/>
        <w:t>Supplementary Fig. 1</w:t>
      </w:r>
      <w:r w:rsidRPr="00300985">
        <w:rPr>
          <w:lang w:val="en-US"/>
        </w:rPr>
        <w:t xml:space="preserve"> Infection of liquid culture of IU594 in 24 h (experimental treatment with lysate on the left, control treatment without lysate on the right) (a) and cyanophage plaques in the solid culture of IU594 (b)</w:t>
      </w:r>
      <w:r w:rsidRPr="00300985">
        <w:rPr>
          <w:lang w:val="en-US"/>
        </w:rPr>
        <w:br/>
      </w:r>
    </w:p>
    <w:p w14:paraId="6C4D6AE9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b/>
          <w:bCs/>
          <w:lang w:val="en-US"/>
        </w:rPr>
        <w:t>Supplementary Fig. 2</w:t>
      </w:r>
      <w:r w:rsidRPr="00300985">
        <w:rPr>
          <w:lang w:val="en-US"/>
        </w:rPr>
        <w:t xml:space="preserve"> Comparative genomic alignment of cyanophage PP-DH22 and its closest relatives generated by </w:t>
      </w:r>
      <w:proofErr w:type="spellStart"/>
      <w:r w:rsidRPr="00300985">
        <w:rPr>
          <w:lang w:val="en-US"/>
        </w:rPr>
        <w:t>ViPTree</w:t>
      </w:r>
      <w:proofErr w:type="spellEnd"/>
      <w:r w:rsidRPr="00300985">
        <w:rPr>
          <w:lang w:val="en-US"/>
        </w:rPr>
        <w:t xml:space="preserve">. The analysis includes the query genome (PP-DH22) and four related phage genomes identified by the </w:t>
      </w:r>
      <w:proofErr w:type="spellStart"/>
      <w:r w:rsidRPr="00300985">
        <w:rPr>
          <w:lang w:val="en-US"/>
        </w:rPr>
        <w:t>ViPTree</w:t>
      </w:r>
      <w:proofErr w:type="spellEnd"/>
      <w:r w:rsidRPr="00300985">
        <w:rPr>
          <w:lang w:val="en-US"/>
        </w:rPr>
        <w:t xml:space="preserve"> server: Cyanophage PP (NC_022751), </w:t>
      </w:r>
      <w:proofErr w:type="spellStart"/>
      <w:r w:rsidRPr="00300985">
        <w:rPr>
          <w:lang w:val="en-US"/>
        </w:rPr>
        <w:t>Phormidium</w:t>
      </w:r>
      <w:proofErr w:type="spellEnd"/>
      <w:r w:rsidRPr="00300985">
        <w:rPr>
          <w:lang w:val="en-US"/>
        </w:rPr>
        <w:t xml:space="preserve"> phage Pf-WMP3 (NC_009551), Anabaena phage A-4L (NC_024358), and </w:t>
      </w:r>
      <w:proofErr w:type="spellStart"/>
      <w:r w:rsidRPr="00300985">
        <w:rPr>
          <w:lang w:val="en-US"/>
        </w:rPr>
        <w:t>Phormidium</w:t>
      </w:r>
      <w:proofErr w:type="spellEnd"/>
      <w:r w:rsidRPr="00300985">
        <w:rPr>
          <w:lang w:val="en-US"/>
        </w:rPr>
        <w:t xml:space="preserve"> phage Pf-WMP4 (NC_008367). (Left) Dot plots show the pairwise synteny between PP-DH22 (y-axis) and each subject genome (x-axis). Diagonal lines indicate collinear regions. (Right) Linear genome alignment based on </w:t>
      </w:r>
      <w:proofErr w:type="spellStart"/>
      <w:r w:rsidRPr="00300985">
        <w:rPr>
          <w:lang w:val="en-US"/>
        </w:rPr>
        <w:t>tBLASTx</w:t>
      </w:r>
      <w:proofErr w:type="spellEnd"/>
      <w:r w:rsidRPr="00300985">
        <w:rPr>
          <w:lang w:val="en-US"/>
        </w:rPr>
        <w:t xml:space="preserve"> similarity scores. Homologous regions are connected by colored blocks, with the color gradient representing the percentage of identity (purple: high identity; blue: low identity, see scale bar). Blue arrows indicate predicted ORFs and transcriptional direction.</w:t>
      </w:r>
    </w:p>
    <w:p w14:paraId="710B62A7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b/>
          <w:bCs/>
          <w:lang w:val="en-US"/>
        </w:rPr>
        <w:t>Supplementary Fig. 3</w:t>
      </w:r>
      <w:r w:rsidRPr="00300985">
        <w:rPr>
          <w:lang w:val="en-US"/>
        </w:rPr>
        <w:t xml:space="preserve"> Circular proteomic tree of cyanophage PP-DH22 and related cyanophages generated by </w:t>
      </w:r>
      <w:proofErr w:type="spellStart"/>
      <w:r w:rsidRPr="00300985">
        <w:rPr>
          <w:lang w:val="en-US"/>
        </w:rPr>
        <w:t>ViPTree</w:t>
      </w:r>
      <w:proofErr w:type="spellEnd"/>
      <w:r w:rsidRPr="00300985">
        <w:rPr>
          <w:lang w:val="en-US"/>
        </w:rPr>
        <w:t xml:space="preserve">. The phylogenetic relationship was inferred based on genome-wide sequence similarities computed by </w:t>
      </w:r>
      <w:proofErr w:type="spellStart"/>
      <w:r w:rsidRPr="00300985">
        <w:rPr>
          <w:lang w:val="en-US"/>
        </w:rPr>
        <w:t>tBLASTx</w:t>
      </w:r>
      <w:proofErr w:type="spellEnd"/>
      <w:r w:rsidRPr="00300985">
        <w:rPr>
          <w:lang w:val="en-US"/>
        </w:rPr>
        <w:t xml:space="preserve">. The tree includes the query genome PP-DH22 (marked with a red star), all available cyanophage genomes from the </w:t>
      </w:r>
      <w:proofErr w:type="spellStart"/>
      <w:r w:rsidRPr="00300985">
        <w:rPr>
          <w:lang w:val="en-US"/>
        </w:rPr>
        <w:t>ViPTree</w:t>
      </w:r>
      <w:proofErr w:type="spellEnd"/>
      <w:r w:rsidRPr="00300985">
        <w:rPr>
          <w:lang w:val="en-US"/>
        </w:rPr>
        <w:t xml:space="preserve"> database, and Enterobacteria phage T7 as an outgroup.</w:t>
      </w:r>
    </w:p>
    <w:p w14:paraId="5CD4A42A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b/>
          <w:bCs/>
          <w:lang w:val="en-US"/>
        </w:rPr>
        <w:t xml:space="preserve">Supplementary Fig. 4 </w:t>
      </w:r>
      <w:r w:rsidRPr="00300985">
        <w:rPr>
          <w:lang w:val="en-US"/>
        </w:rPr>
        <w:t xml:space="preserve">Sequence Similarity Network of the Endonuclease VII protein. The network was generated using the EFI-EST web server and visualized in </w:t>
      </w:r>
      <w:proofErr w:type="spellStart"/>
      <w:r w:rsidRPr="00300985">
        <w:rPr>
          <w:lang w:val="en-US"/>
        </w:rPr>
        <w:t>Cytoscape</w:t>
      </w:r>
      <w:proofErr w:type="spellEnd"/>
      <w:r w:rsidRPr="00300985">
        <w:rPr>
          <w:lang w:val="en-US"/>
        </w:rPr>
        <w:t>. The dataset comprises the query sequence from cyanophage PP-DH22 and approximately 200 homologous sequences identified from the database.</w:t>
      </w:r>
    </w:p>
    <w:p w14:paraId="64AAD711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br w:type="page"/>
      </w:r>
    </w:p>
    <w:tbl>
      <w:tblPr>
        <w:tblStyle w:val="TableGrid"/>
        <w:tblW w:w="5250" w:type="dxa"/>
        <w:tblInd w:w="4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9"/>
        <w:gridCol w:w="4961"/>
      </w:tblGrid>
      <w:tr w:rsidR="00300985" w:rsidRPr="00300985" w14:paraId="10F6B233" w14:textId="77777777">
        <w:tc>
          <w:tcPr>
            <w:tcW w:w="289" w:type="dxa"/>
            <w:hideMark/>
          </w:tcPr>
          <w:p w14:paraId="09099207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lastRenderedPageBreak/>
              <w:t>a</w:t>
            </w:r>
          </w:p>
        </w:tc>
        <w:tc>
          <w:tcPr>
            <w:tcW w:w="4961" w:type="dxa"/>
            <w:hideMark/>
          </w:tcPr>
          <w:p w14:paraId="4F33CAC4" w14:textId="34BEF599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drawing>
                <wp:inline distT="0" distB="0" distL="0" distR="0" wp14:anchorId="126AB9A9" wp14:editId="5A5973DE">
                  <wp:extent cx="3028950" cy="2867025"/>
                  <wp:effectExtent l="0" t="0" r="0" b="9525"/>
                  <wp:docPr id="111591183" name="Picture 9" descr="图片包含 室内, 小, 绿色, 玻璃  AI 生成的内容可能不正确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图片包含 室内, 小, 绿色, 玻璃  AI 生成的内容可能不正确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59" t="40919" r="34071" b="321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86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0985" w:rsidRPr="00300985" w14:paraId="1D4CA979" w14:textId="77777777">
        <w:tc>
          <w:tcPr>
            <w:tcW w:w="289" w:type="dxa"/>
            <w:hideMark/>
          </w:tcPr>
          <w:p w14:paraId="631EFEB4" w14:textId="77777777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t>b</w:t>
            </w:r>
          </w:p>
        </w:tc>
        <w:tc>
          <w:tcPr>
            <w:tcW w:w="4961" w:type="dxa"/>
            <w:hideMark/>
          </w:tcPr>
          <w:p w14:paraId="371E37BA" w14:textId="5F0A4FA9" w:rsidR="00300985" w:rsidRPr="00300985" w:rsidRDefault="00300985" w:rsidP="00300985">
            <w:pPr>
              <w:spacing w:after="160" w:line="278" w:lineRule="auto"/>
              <w:ind w:firstLine="400"/>
              <w:rPr>
                <w:lang w:val="en-US"/>
              </w:rPr>
            </w:pPr>
            <w:r w:rsidRPr="00300985">
              <w:rPr>
                <w:lang w:val="en-US"/>
              </w:rPr>
              <w:drawing>
                <wp:inline distT="0" distB="0" distL="0" distR="0" wp14:anchorId="23613E6B" wp14:editId="4B719267">
                  <wp:extent cx="3028950" cy="2971800"/>
                  <wp:effectExtent l="0" t="0" r="0" b="0"/>
                  <wp:docPr id="2121838710" name="Picture 8" descr="碗里有一些绿色的灯  AI 生成的内容可能不正确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" descr="碗里有一些绿色的灯  AI 生成的内容可能不正确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E44B3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t>Supplementary Fig. 1</w:t>
      </w:r>
    </w:p>
    <w:p w14:paraId="3B6E5447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br w:type="page"/>
      </w:r>
    </w:p>
    <w:p w14:paraId="12A40C0D" w14:textId="6879467B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lastRenderedPageBreak/>
        <w:drawing>
          <wp:anchor distT="0" distB="0" distL="114300" distR="114300" simplePos="0" relativeHeight="251659264" behindDoc="0" locked="0" layoutInCell="1" allowOverlap="1" wp14:anchorId="652D3582" wp14:editId="35B7D529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264275" cy="3574415"/>
            <wp:effectExtent l="0" t="0" r="0" b="0"/>
            <wp:wrapSquare wrapText="bothSides"/>
            <wp:docPr id="1664713880" name="Graphic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77611" name="图形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574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6F038C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t>Supplementary Fig. 2</w:t>
      </w:r>
    </w:p>
    <w:p w14:paraId="4FE7EDDF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br w:type="page"/>
      </w:r>
    </w:p>
    <w:p w14:paraId="0F9D5FF4" w14:textId="12E74CAE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lastRenderedPageBreak/>
        <w:drawing>
          <wp:inline distT="0" distB="0" distL="0" distR="0" wp14:anchorId="64A46749" wp14:editId="7466480F">
            <wp:extent cx="6267450" cy="5334000"/>
            <wp:effectExtent l="0" t="0" r="0" b="0"/>
            <wp:docPr id="1474779563" name="Graphic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546360" name="图形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533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6C240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t>Supplementary Fig. 3</w:t>
      </w:r>
    </w:p>
    <w:p w14:paraId="1E06C3FB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br w:type="page"/>
      </w:r>
    </w:p>
    <w:p w14:paraId="0499268A" w14:textId="6495858C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lastRenderedPageBreak/>
        <w:drawing>
          <wp:inline distT="0" distB="0" distL="0" distR="0" wp14:anchorId="121B4240" wp14:editId="572FEC9F">
            <wp:extent cx="5219700" cy="5162550"/>
            <wp:effectExtent l="0" t="0" r="0" b="0"/>
            <wp:docPr id="1790986403" name="Graphic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302499" name="图形 2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28476" t="4303" r="30466" b="4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5165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683203" w14:textId="77777777" w:rsidR="00300985" w:rsidRPr="00300985" w:rsidRDefault="00300985" w:rsidP="00300985">
      <w:pPr>
        <w:ind w:firstLine="400"/>
        <w:rPr>
          <w:lang w:val="en-US"/>
        </w:rPr>
      </w:pPr>
      <w:r w:rsidRPr="00300985">
        <w:rPr>
          <w:lang w:val="en-US"/>
        </w:rPr>
        <w:t>Supplementary Fig. 4</w:t>
      </w:r>
    </w:p>
    <w:p w14:paraId="72534134" w14:textId="77777777" w:rsidR="00300985" w:rsidRPr="00300985" w:rsidRDefault="00300985" w:rsidP="00300985">
      <w:pPr>
        <w:ind w:firstLine="400"/>
        <w:rPr>
          <w:lang w:val="en-US"/>
        </w:rPr>
      </w:pPr>
    </w:p>
    <w:p w14:paraId="543196E0" w14:textId="23C6F37B" w:rsidR="00767E38" w:rsidRDefault="00767E38">
      <w:pPr>
        <w:ind w:firstLine="400"/>
      </w:pPr>
    </w:p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E54B3"/>
    <w:multiLevelType w:val="multilevel"/>
    <w:tmpl w:val="0DBE54B3"/>
    <w:lvl w:ilvl="0">
      <w:start w:val="46"/>
      <w:numFmt w:val="bullet"/>
      <w:lvlText w:val="-"/>
      <w:lvlJc w:val="left"/>
      <w:pPr>
        <w:ind w:left="76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bullet"/>
      <w:lvlText w:val=""/>
      <w:lvlJc w:val="left"/>
      <w:pPr>
        <w:ind w:left="12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60" w:hanging="440"/>
      </w:pPr>
      <w:rPr>
        <w:rFonts w:ascii="Wingdings" w:hAnsi="Wingdings" w:hint="default"/>
      </w:rPr>
    </w:lvl>
  </w:abstractNum>
  <w:num w:numId="1" w16cid:durableId="64509151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85"/>
    <w:rsid w:val="000968F7"/>
    <w:rsid w:val="00300985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0639E"/>
  <w15:chartTrackingRefBased/>
  <w15:docId w15:val="{D8424FF3-5398-4E23-9CF3-C4F841344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9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9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9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9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9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9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9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9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9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9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9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9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9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9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9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9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9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9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9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9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9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9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9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9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9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9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9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9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9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00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sv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2026-10-16T15:01:00Z</dcterms:created>
  <dcterms:modified xsi:type="dcterms:W3CDTF">2026-10-16T15:02:00Z</dcterms:modified>
</cp:coreProperties>
</file>