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AA630" w14:textId="77777777" w:rsidR="00307FD2" w:rsidRDefault="00307FD2" w:rsidP="00307FD2">
      <w:pPr>
        <w:suppressLineNumbers/>
        <w:spacing w:after="120" w:line="240" w:lineRule="auto"/>
        <w:rPr>
          <w:rFonts w:ascii="Arial" w:eastAsia="MS Mincho" w:hAnsi="Arial" w:cs="Arial"/>
          <w:b/>
          <w:bCs/>
          <w:color w:val="000000" w:themeColor="text1"/>
          <w:sz w:val="40"/>
          <w:szCs w:val="40"/>
        </w:rPr>
      </w:pPr>
      <w:r>
        <w:rPr>
          <w:rFonts w:ascii="Arial" w:eastAsia="MS Mincho" w:hAnsi="Arial" w:cs="Arial"/>
          <w:b/>
          <w:bCs/>
          <w:color w:val="000000" w:themeColor="text1"/>
          <w:sz w:val="40"/>
          <w:szCs w:val="40"/>
        </w:rPr>
        <w:t xml:space="preserve">Deficient de-S-acylation in aging and CLN1 contributes to </w:t>
      </w:r>
      <w:proofErr w:type="spellStart"/>
      <w:r>
        <w:rPr>
          <w:rFonts w:ascii="Arial" w:eastAsia="MS Mincho" w:hAnsi="Arial" w:cs="Arial"/>
          <w:b/>
          <w:bCs/>
          <w:color w:val="000000" w:themeColor="text1"/>
          <w:sz w:val="40"/>
          <w:szCs w:val="40"/>
        </w:rPr>
        <w:t>lyso</w:t>
      </w:r>
      <w:proofErr w:type="spellEnd"/>
      <w:r>
        <w:rPr>
          <w:rFonts w:ascii="Arial" w:eastAsia="MS Mincho" w:hAnsi="Arial" w:cs="Arial"/>
          <w:b/>
          <w:bCs/>
          <w:color w:val="000000" w:themeColor="text1"/>
          <w:sz w:val="40"/>
          <w:szCs w:val="40"/>
        </w:rPr>
        <w:t xml:space="preserve">-mitochondrial dysfunction, lipid </w:t>
      </w:r>
      <w:proofErr w:type="spellStart"/>
      <w:r>
        <w:rPr>
          <w:rFonts w:ascii="Arial" w:eastAsia="MS Mincho" w:hAnsi="Arial" w:cs="Arial"/>
          <w:b/>
          <w:bCs/>
          <w:color w:val="000000" w:themeColor="text1"/>
          <w:sz w:val="40"/>
          <w:szCs w:val="40"/>
        </w:rPr>
        <w:t>dyshomeostasis</w:t>
      </w:r>
      <w:proofErr w:type="spellEnd"/>
      <w:r>
        <w:rPr>
          <w:rFonts w:ascii="Arial" w:eastAsia="MS Mincho" w:hAnsi="Arial" w:cs="Arial"/>
          <w:b/>
          <w:bCs/>
          <w:color w:val="000000" w:themeColor="text1"/>
          <w:sz w:val="40"/>
          <w:szCs w:val="40"/>
        </w:rPr>
        <w:t>, and resultant lipofuscin biogenesis</w:t>
      </w:r>
    </w:p>
    <w:p w14:paraId="0CE9F80E" w14:textId="77777777" w:rsidR="00DB4985" w:rsidRPr="00307FD2" w:rsidRDefault="00DB4985" w:rsidP="00DB4985">
      <w:pPr>
        <w:rPr>
          <w:rFonts w:ascii="Arial" w:hAnsi="Arial" w:cs="Arial"/>
          <w:color w:val="000000" w:themeColor="text1"/>
        </w:rPr>
      </w:pPr>
      <w:r w:rsidRPr="00307FD2">
        <w:rPr>
          <w:rFonts w:ascii="Arial" w:hAnsi="Arial" w:cs="Arial"/>
          <w:color w:val="000000" w:themeColor="text1"/>
        </w:rPr>
        <w:t>Sofia Massaro Tieze</w:t>
      </w:r>
      <w:r w:rsidRPr="00307FD2">
        <w:rPr>
          <w:rFonts w:ascii="Arial" w:hAnsi="Arial" w:cs="Arial"/>
          <w:color w:val="000000" w:themeColor="text1"/>
          <w:vertAlign w:val="superscript"/>
        </w:rPr>
        <w:t>1,2</w:t>
      </w:r>
      <w:r w:rsidRPr="00307FD2">
        <w:rPr>
          <w:rFonts w:ascii="Arial" w:hAnsi="Arial" w:cs="Arial"/>
          <w:color w:val="000000" w:themeColor="text1"/>
        </w:rPr>
        <w:t>, Alexander Esqueda,</w:t>
      </w:r>
      <w:r w:rsidRPr="00307FD2">
        <w:rPr>
          <w:rFonts w:ascii="Arial" w:hAnsi="Arial" w:cs="Arial"/>
          <w:color w:val="000000" w:themeColor="text1"/>
          <w:vertAlign w:val="superscript"/>
        </w:rPr>
        <w:t>1,2</w:t>
      </w:r>
      <w:r w:rsidRPr="00307FD2">
        <w:rPr>
          <w:rFonts w:ascii="Arial" w:hAnsi="Arial" w:cs="Arial"/>
          <w:color w:val="000000" w:themeColor="text1"/>
        </w:rPr>
        <w:t xml:space="preserve"> Rachel McAllister,</w:t>
      </w:r>
      <w:r w:rsidRPr="00307FD2">
        <w:rPr>
          <w:rFonts w:ascii="Arial" w:hAnsi="Arial" w:cs="Arial"/>
          <w:color w:val="000000" w:themeColor="text1"/>
          <w:vertAlign w:val="superscript"/>
        </w:rPr>
        <w:t xml:space="preserve">3 </w:t>
      </w:r>
      <w:r w:rsidRPr="00307FD2">
        <w:rPr>
          <w:rFonts w:ascii="Arial" w:hAnsi="Arial" w:cs="Arial"/>
          <w:color w:val="000000" w:themeColor="text1"/>
        </w:rPr>
        <w:t>Matija Lagator</w:t>
      </w:r>
      <w:r w:rsidRPr="00307FD2">
        <w:rPr>
          <w:rFonts w:ascii="Arial" w:hAnsi="Arial" w:cs="Arial"/>
          <w:color w:val="000000" w:themeColor="text1"/>
          <w:vertAlign w:val="superscript"/>
        </w:rPr>
        <w:t>4,5</w:t>
      </w:r>
      <w:r w:rsidRPr="00307FD2">
        <w:rPr>
          <w:rFonts w:ascii="Arial" w:hAnsi="Arial" w:cs="Arial"/>
          <w:color w:val="000000" w:themeColor="text1"/>
        </w:rPr>
        <w:t>, Betül Yücel</w:t>
      </w:r>
      <w:r w:rsidRPr="00307FD2">
        <w:rPr>
          <w:rFonts w:ascii="Arial" w:hAnsi="Arial" w:cs="Arial"/>
          <w:color w:val="000000" w:themeColor="text1"/>
          <w:vertAlign w:val="superscript"/>
        </w:rPr>
        <w:t>1</w:t>
      </w:r>
      <w:r w:rsidRPr="00307FD2">
        <w:rPr>
          <w:rFonts w:ascii="Arial" w:hAnsi="Arial" w:cs="Arial"/>
          <w:color w:val="000000" w:themeColor="text1"/>
        </w:rPr>
        <w:t>, Eric Sun</w:t>
      </w:r>
      <w:r w:rsidRPr="00307FD2">
        <w:rPr>
          <w:rFonts w:ascii="Arial" w:hAnsi="Arial" w:cs="Arial"/>
          <w:color w:val="000000" w:themeColor="text1"/>
          <w:vertAlign w:val="superscript"/>
        </w:rPr>
        <w:t>6</w:t>
      </w:r>
      <w:r w:rsidRPr="00307FD2">
        <w:rPr>
          <w:rFonts w:ascii="Arial" w:hAnsi="Arial" w:cs="Arial"/>
          <w:color w:val="000000" w:themeColor="text1"/>
        </w:rPr>
        <w:t xml:space="preserve">, </w:t>
      </w:r>
      <w:proofErr w:type="spellStart"/>
      <w:r w:rsidRPr="00307FD2">
        <w:rPr>
          <w:rFonts w:ascii="Arial" w:hAnsi="Arial" w:cs="Arial"/>
          <w:color w:val="000000" w:themeColor="text1"/>
        </w:rPr>
        <w:t>TuKiet</w:t>
      </w:r>
      <w:proofErr w:type="spellEnd"/>
      <w:r w:rsidRPr="00307FD2">
        <w:rPr>
          <w:rFonts w:ascii="Arial" w:hAnsi="Arial" w:cs="Arial"/>
          <w:color w:val="000000" w:themeColor="text1"/>
        </w:rPr>
        <w:t xml:space="preserve"> T. Lam</w:t>
      </w:r>
      <w:r w:rsidRPr="00307FD2">
        <w:rPr>
          <w:rFonts w:ascii="Arial" w:hAnsi="Arial" w:cs="Arial"/>
          <w:color w:val="000000" w:themeColor="text1"/>
          <w:vertAlign w:val="superscript"/>
        </w:rPr>
        <w:t>7,8</w:t>
      </w:r>
      <w:r w:rsidRPr="00307FD2">
        <w:rPr>
          <w:rFonts w:ascii="Arial" w:hAnsi="Arial" w:cs="Arial"/>
          <w:color w:val="000000" w:themeColor="text1"/>
        </w:rPr>
        <w:t>, Nicholas Lockyer</w:t>
      </w:r>
      <w:r w:rsidRPr="00307FD2">
        <w:rPr>
          <w:rFonts w:ascii="Arial" w:hAnsi="Arial" w:cs="Arial"/>
          <w:color w:val="000000" w:themeColor="text1"/>
          <w:vertAlign w:val="superscript"/>
        </w:rPr>
        <w:t>4</w:t>
      </w:r>
      <w:r w:rsidRPr="00307FD2">
        <w:rPr>
          <w:rFonts w:ascii="Arial" w:hAnsi="Arial" w:cs="Arial"/>
          <w:color w:val="000000" w:themeColor="text1"/>
        </w:rPr>
        <w:t>, Kallol Gupta</w:t>
      </w:r>
      <w:r w:rsidRPr="00307FD2">
        <w:rPr>
          <w:rFonts w:ascii="Arial" w:hAnsi="Arial" w:cs="Arial"/>
          <w:color w:val="000000" w:themeColor="text1"/>
          <w:vertAlign w:val="superscript"/>
        </w:rPr>
        <w:t>3</w:t>
      </w:r>
      <w:r w:rsidRPr="00307FD2">
        <w:rPr>
          <w:rFonts w:ascii="Arial" w:hAnsi="Arial" w:cs="Arial"/>
          <w:color w:val="000000" w:themeColor="text1"/>
        </w:rPr>
        <w:t xml:space="preserve">, </w:t>
      </w:r>
      <w:proofErr w:type="spellStart"/>
      <w:r w:rsidRPr="00307FD2">
        <w:rPr>
          <w:rFonts w:ascii="Arial" w:hAnsi="Arial" w:cs="Arial"/>
          <w:color w:val="000000" w:themeColor="text1"/>
        </w:rPr>
        <w:t>Sreeganga</w:t>
      </w:r>
      <w:proofErr w:type="spellEnd"/>
      <w:r w:rsidRPr="00307FD2">
        <w:rPr>
          <w:rFonts w:ascii="Arial" w:hAnsi="Arial" w:cs="Arial"/>
          <w:color w:val="000000" w:themeColor="text1"/>
        </w:rPr>
        <w:t xml:space="preserve"> S. Chandra</w:t>
      </w:r>
      <w:r w:rsidRPr="00307FD2">
        <w:rPr>
          <w:rFonts w:ascii="Arial" w:hAnsi="Arial" w:cs="Arial"/>
          <w:color w:val="000000" w:themeColor="text1"/>
          <w:vertAlign w:val="superscript"/>
        </w:rPr>
        <w:t>1,9,</w:t>
      </w:r>
      <w:proofErr w:type="gramStart"/>
      <w:r w:rsidRPr="00307FD2">
        <w:rPr>
          <w:rFonts w:ascii="Arial" w:hAnsi="Arial" w:cs="Arial"/>
          <w:color w:val="000000" w:themeColor="text1"/>
          <w:vertAlign w:val="superscript"/>
        </w:rPr>
        <w:t>10,*</w:t>
      </w:r>
      <w:proofErr w:type="gramEnd"/>
    </w:p>
    <w:p w14:paraId="06DDEEE8" w14:textId="77777777" w:rsidR="00DB4985" w:rsidRPr="00307FD2" w:rsidRDefault="00DB4985" w:rsidP="00DB4985">
      <w:pPr>
        <w:pStyle w:val="Body"/>
        <w:jc w:val="both"/>
        <w:rPr>
          <w:rFonts w:ascii="Arial" w:hAnsi="Arial" w:cs="Arial"/>
          <w:color w:val="000000" w:themeColor="text1"/>
          <w:sz w:val="18"/>
          <w:szCs w:val="18"/>
        </w:rPr>
      </w:pPr>
      <w:r w:rsidRPr="00307FD2">
        <w:rPr>
          <w:rFonts w:ascii="Arial" w:hAnsi="Arial" w:cs="Arial"/>
          <w:color w:val="000000" w:themeColor="text1"/>
          <w:sz w:val="18"/>
          <w:szCs w:val="18"/>
          <w:vertAlign w:val="superscript"/>
        </w:rPr>
        <w:t>1</w:t>
      </w:r>
      <w:r w:rsidRPr="00307FD2">
        <w:rPr>
          <w:rFonts w:ascii="Arial" w:hAnsi="Arial" w:cs="Arial"/>
          <w:color w:val="000000" w:themeColor="text1"/>
          <w:sz w:val="18"/>
          <w:szCs w:val="18"/>
        </w:rPr>
        <w:t xml:space="preserve">Departments of Neurology &amp; Neuroscience, Yale University, New Haven, CT, USA </w:t>
      </w:r>
    </w:p>
    <w:p w14:paraId="0B22E824" w14:textId="77777777" w:rsidR="00DB4985" w:rsidRPr="00307FD2" w:rsidRDefault="00DB4985" w:rsidP="00DB4985">
      <w:pPr>
        <w:pStyle w:val="Body"/>
        <w:jc w:val="both"/>
        <w:rPr>
          <w:rFonts w:ascii="Arial" w:hAnsi="Arial" w:cs="Arial"/>
          <w:color w:val="000000" w:themeColor="text1"/>
          <w:sz w:val="18"/>
          <w:szCs w:val="18"/>
        </w:rPr>
      </w:pPr>
      <w:r w:rsidRPr="00307FD2">
        <w:rPr>
          <w:rFonts w:ascii="Arial" w:hAnsi="Arial" w:cs="Arial"/>
          <w:color w:val="000000" w:themeColor="text1"/>
          <w:sz w:val="18"/>
          <w:szCs w:val="18"/>
          <w:vertAlign w:val="superscript"/>
        </w:rPr>
        <w:t>2</w:t>
      </w:r>
      <w:r w:rsidRPr="00307FD2">
        <w:rPr>
          <w:rFonts w:ascii="Arial" w:hAnsi="Arial" w:cs="Arial"/>
          <w:color w:val="000000" w:themeColor="text1"/>
          <w:sz w:val="18"/>
          <w:szCs w:val="18"/>
        </w:rPr>
        <w:t>Interdepartmental Neuroscience Program, Yale University, New Haven, CT, USA</w:t>
      </w:r>
    </w:p>
    <w:p w14:paraId="553066D9" w14:textId="77777777" w:rsidR="00DB4985" w:rsidRPr="00307FD2" w:rsidRDefault="00DB4985" w:rsidP="00DB4985">
      <w:pPr>
        <w:pStyle w:val="Body"/>
        <w:jc w:val="both"/>
        <w:rPr>
          <w:rFonts w:ascii="Arial" w:hAnsi="Arial" w:cs="Arial"/>
          <w:color w:val="000000" w:themeColor="text1"/>
          <w:sz w:val="18"/>
          <w:szCs w:val="18"/>
        </w:rPr>
      </w:pPr>
      <w:r w:rsidRPr="00307FD2">
        <w:rPr>
          <w:rFonts w:ascii="Arial" w:hAnsi="Arial" w:cs="Arial"/>
          <w:color w:val="000000" w:themeColor="text1"/>
          <w:sz w:val="18"/>
          <w:szCs w:val="18"/>
          <w:vertAlign w:val="superscript"/>
        </w:rPr>
        <w:t>3</w:t>
      </w:r>
      <w:r w:rsidRPr="00307FD2">
        <w:rPr>
          <w:rFonts w:ascii="Arial" w:hAnsi="Arial" w:cs="Arial"/>
          <w:color w:val="000000" w:themeColor="text1"/>
          <w:sz w:val="18"/>
          <w:szCs w:val="18"/>
        </w:rPr>
        <w:t>Department of Cell Biology, Yale University, New Haven, CT, USA</w:t>
      </w:r>
    </w:p>
    <w:p w14:paraId="3CE66E65" w14:textId="77777777" w:rsidR="00DB4985" w:rsidRPr="00307FD2" w:rsidRDefault="00DB4985" w:rsidP="00DB4985">
      <w:pPr>
        <w:pStyle w:val="Body"/>
        <w:jc w:val="both"/>
        <w:rPr>
          <w:rFonts w:ascii="Arial" w:hAnsi="Arial" w:cs="Arial"/>
          <w:color w:val="000000" w:themeColor="text1"/>
          <w:sz w:val="18"/>
          <w:szCs w:val="18"/>
        </w:rPr>
      </w:pPr>
      <w:r w:rsidRPr="00307FD2">
        <w:rPr>
          <w:rFonts w:ascii="Arial" w:hAnsi="Arial" w:cs="Arial"/>
          <w:color w:val="000000" w:themeColor="text1"/>
          <w:sz w:val="18"/>
          <w:szCs w:val="18"/>
          <w:vertAlign w:val="superscript"/>
        </w:rPr>
        <w:t>4</w:t>
      </w:r>
      <w:r w:rsidRPr="00307FD2">
        <w:rPr>
          <w:rFonts w:ascii="Arial" w:hAnsi="Arial" w:cs="Arial"/>
          <w:color w:val="000000" w:themeColor="text1"/>
          <w:sz w:val="18"/>
          <w:szCs w:val="18"/>
        </w:rPr>
        <w:t>Photon Science Institute, Department of Chemistry, University of Manchester, Manchester, UK</w:t>
      </w:r>
    </w:p>
    <w:p w14:paraId="6F25F12E" w14:textId="77777777" w:rsidR="00DB4985" w:rsidRPr="00307FD2" w:rsidRDefault="00DB4985" w:rsidP="00DB4985">
      <w:pPr>
        <w:pStyle w:val="Body"/>
        <w:jc w:val="both"/>
        <w:rPr>
          <w:rFonts w:ascii="Arial" w:hAnsi="Arial" w:cs="Arial"/>
          <w:color w:val="000000" w:themeColor="text1"/>
          <w:sz w:val="18"/>
          <w:szCs w:val="18"/>
        </w:rPr>
      </w:pPr>
      <w:r w:rsidRPr="00307FD2">
        <w:rPr>
          <w:rFonts w:ascii="Arial" w:hAnsi="Arial" w:cs="Arial"/>
          <w:color w:val="000000" w:themeColor="text1"/>
          <w:sz w:val="18"/>
          <w:szCs w:val="18"/>
          <w:vertAlign w:val="superscript"/>
        </w:rPr>
        <w:t>5</w:t>
      </w:r>
      <w:r w:rsidRPr="00307FD2">
        <w:rPr>
          <w:rFonts w:ascii="Arial" w:hAnsi="Arial" w:cs="Arial"/>
          <w:color w:val="000000" w:themeColor="text1"/>
          <w:sz w:val="18"/>
          <w:szCs w:val="18"/>
        </w:rPr>
        <w:t>Rosalind Franklin Institute, Rutherford Appleton Laboratory, Didcot, Oxfordshire, UK</w:t>
      </w:r>
    </w:p>
    <w:p w14:paraId="1DA25F69" w14:textId="77777777" w:rsidR="00DB4985" w:rsidRPr="00307FD2" w:rsidRDefault="00DB4985" w:rsidP="00DB4985">
      <w:pPr>
        <w:pStyle w:val="Body"/>
        <w:jc w:val="both"/>
        <w:rPr>
          <w:rFonts w:ascii="Arial" w:hAnsi="Arial" w:cs="Arial"/>
          <w:color w:val="000000" w:themeColor="text1"/>
          <w:sz w:val="18"/>
          <w:szCs w:val="18"/>
        </w:rPr>
      </w:pPr>
      <w:r w:rsidRPr="00307FD2">
        <w:rPr>
          <w:rFonts w:ascii="Arial" w:hAnsi="Arial" w:cs="Arial"/>
          <w:color w:val="000000" w:themeColor="text1"/>
          <w:sz w:val="18"/>
          <w:szCs w:val="18"/>
          <w:vertAlign w:val="superscript"/>
        </w:rPr>
        <w:t>6</w:t>
      </w:r>
      <w:r w:rsidRPr="00307FD2">
        <w:rPr>
          <w:rFonts w:ascii="Arial" w:hAnsi="Arial" w:cs="Arial"/>
          <w:color w:val="000000" w:themeColor="text1"/>
          <w:sz w:val="18"/>
          <w:szCs w:val="18"/>
        </w:rPr>
        <w:t>Yale College, Yale University, New Haven, CT, USA</w:t>
      </w:r>
    </w:p>
    <w:p w14:paraId="7932EF9F" w14:textId="77777777" w:rsidR="00DB4985" w:rsidRPr="00307FD2" w:rsidRDefault="00DB4985" w:rsidP="00DB4985">
      <w:pPr>
        <w:pStyle w:val="Body"/>
        <w:jc w:val="both"/>
        <w:rPr>
          <w:rFonts w:ascii="Arial" w:hAnsi="Arial" w:cs="Arial"/>
          <w:color w:val="000000" w:themeColor="text1"/>
          <w:sz w:val="18"/>
          <w:szCs w:val="18"/>
        </w:rPr>
      </w:pPr>
      <w:r w:rsidRPr="00307FD2">
        <w:rPr>
          <w:rFonts w:ascii="Arial" w:hAnsi="Arial" w:cs="Arial"/>
          <w:color w:val="000000" w:themeColor="text1"/>
          <w:sz w:val="18"/>
          <w:szCs w:val="18"/>
          <w:vertAlign w:val="superscript"/>
        </w:rPr>
        <w:t>7</w:t>
      </w:r>
      <w:r w:rsidRPr="00307FD2">
        <w:rPr>
          <w:rFonts w:ascii="Arial" w:hAnsi="Arial" w:cs="Arial"/>
          <w:color w:val="000000" w:themeColor="text1"/>
          <w:sz w:val="18"/>
          <w:szCs w:val="18"/>
        </w:rPr>
        <w:t>Departments of Molecular Biophysics and Biochemistry, Yale University, New Haven, CT, USA</w:t>
      </w:r>
    </w:p>
    <w:p w14:paraId="321F949C" w14:textId="77777777" w:rsidR="00DB4985" w:rsidRPr="00307FD2" w:rsidRDefault="00DB4985" w:rsidP="00DB4985">
      <w:pPr>
        <w:pStyle w:val="Body"/>
        <w:jc w:val="both"/>
        <w:rPr>
          <w:rFonts w:ascii="Arial" w:hAnsi="Arial" w:cs="Arial"/>
          <w:color w:val="000000" w:themeColor="text1"/>
          <w:sz w:val="18"/>
          <w:szCs w:val="18"/>
        </w:rPr>
      </w:pPr>
      <w:r w:rsidRPr="00307FD2">
        <w:rPr>
          <w:rFonts w:ascii="Arial" w:hAnsi="Arial" w:cs="Arial"/>
          <w:color w:val="000000" w:themeColor="text1"/>
          <w:sz w:val="18"/>
          <w:szCs w:val="18"/>
          <w:vertAlign w:val="superscript"/>
        </w:rPr>
        <w:t>8</w:t>
      </w:r>
      <w:r w:rsidRPr="00307FD2">
        <w:rPr>
          <w:rFonts w:ascii="Arial" w:hAnsi="Arial" w:cs="Arial"/>
          <w:color w:val="000000" w:themeColor="text1"/>
          <w:sz w:val="18"/>
          <w:szCs w:val="18"/>
        </w:rPr>
        <w:t>Keck Mass Spectrometry &amp; Proteomics Resource, W.M. Keck Biotechnology Resource Laboratory, New Haven, CT, USA</w:t>
      </w:r>
    </w:p>
    <w:p w14:paraId="0094E317" w14:textId="77777777" w:rsidR="00DB4985" w:rsidRPr="00307FD2" w:rsidRDefault="00DB4985" w:rsidP="00DB4985">
      <w:pPr>
        <w:spacing w:after="0" w:line="240" w:lineRule="auto"/>
        <w:ind w:right="-3326"/>
        <w:jc w:val="both"/>
        <w:rPr>
          <w:rFonts w:ascii="Arial" w:eastAsia="MS Mincho" w:hAnsi="Arial" w:cs="Arial"/>
          <w:color w:val="000000" w:themeColor="text1"/>
          <w:sz w:val="16"/>
          <w:szCs w:val="16"/>
        </w:rPr>
      </w:pPr>
      <w:r w:rsidRPr="00307FD2">
        <w:rPr>
          <w:rFonts w:ascii="Arial" w:eastAsia="MS Mincho" w:hAnsi="Arial" w:cs="Arial"/>
          <w:color w:val="000000" w:themeColor="text1"/>
          <w:sz w:val="16"/>
          <w:szCs w:val="16"/>
          <w:vertAlign w:val="superscript"/>
        </w:rPr>
        <w:t>9</w:t>
      </w:r>
      <w:r w:rsidRPr="00307FD2">
        <w:rPr>
          <w:rFonts w:ascii="Arial" w:eastAsia="MS Mincho" w:hAnsi="Arial" w:cs="Arial"/>
          <w:color w:val="000000" w:themeColor="text1"/>
          <w:sz w:val="16"/>
          <w:szCs w:val="16"/>
        </w:rPr>
        <w:t>Senior author</w:t>
      </w:r>
    </w:p>
    <w:p w14:paraId="6AD8A898" w14:textId="77777777" w:rsidR="00DB4985" w:rsidRPr="00307FD2" w:rsidRDefault="00DB4985" w:rsidP="00DB4985">
      <w:pPr>
        <w:spacing w:after="0" w:line="240" w:lineRule="auto"/>
        <w:ind w:right="-3326"/>
        <w:jc w:val="both"/>
        <w:rPr>
          <w:rFonts w:ascii="Arial" w:eastAsia="MS Mincho" w:hAnsi="Arial" w:cs="Arial"/>
          <w:color w:val="000000" w:themeColor="text1"/>
          <w:sz w:val="16"/>
          <w:szCs w:val="16"/>
        </w:rPr>
      </w:pPr>
      <w:r w:rsidRPr="00307FD2">
        <w:rPr>
          <w:rFonts w:ascii="Arial" w:eastAsia="MS Mincho" w:hAnsi="Arial" w:cs="Arial"/>
          <w:color w:val="000000" w:themeColor="text1"/>
          <w:sz w:val="16"/>
          <w:szCs w:val="16"/>
          <w:vertAlign w:val="superscript"/>
        </w:rPr>
        <w:t>10</w:t>
      </w:r>
      <w:r w:rsidRPr="00307FD2">
        <w:rPr>
          <w:rFonts w:ascii="Arial" w:eastAsia="MS Mincho" w:hAnsi="Arial" w:cs="Arial"/>
          <w:color w:val="000000" w:themeColor="text1"/>
          <w:sz w:val="16"/>
          <w:szCs w:val="16"/>
        </w:rPr>
        <w:t>Lead contact</w:t>
      </w:r>
    </w:p>
    <w:p w14:paraId="14C8B4C0" w14:textId="77777777" w:rsidR="00DB4985" w:rsidRPr="00307FD2" w:rsidRDefault="00DB4985" w:rsidP="00DB4985">
      <w:pPr>
        <w:spacing w:after="0" w:line="240" w:lineRule="auto"/>
        <w:ind w:right="-3326"/>
        <w:rPr>
          <w:rFonts w:ascii="Arial" w:eastAsia="MS Mincho" w:hAnsi="Arial" w:cs="Arial"/>
          <w:color w:val="000000" w:themeColor="text1"/>
          <w:sz w:val="16"/>
          <w:szCs w:val="16"/>
        </w:rPr>
      </w:pPr>
      <w:r w:rsidRPr="00307FD2">
        <w:rPr>
          <w:rFonts w:ascii="Arial" w:eastAsia="MS Mincho" w:hAnsi="Arial" w:cs="Arial"/>
          <w:color w:val="000000" w:themeColor="text1"/>
          <w:sz w:val="16"/>
          <w:szCs w:val="16"/>
        </w:rPr>
        <w:t>*Correspondence: sreeganga.chandra@yale.edu</w:t>
      </w:r>
    </w:p>
    <w:p w14:paraId="7D3DAD43" w14:textId="3006C191" w:rsidR="00EE2F48" w:rsidRPr="00307FD2" w:rsidRDefault="00533F0D" w:rsidP="00CD3A05">
      <w:pPr>
        <w:pStyle w:val="Heading1"/>
        <w:rPr>
          <w:rFonts w:ascii="Arial" w:hAnsi="Arial" w:cs="Arial"/>
          <w:b/>
          <w:bCs/>
          <w:color w:val="000000" w:themeColor="text1"/>
          <w:sz w:val="20"/>
          <w:szCs w:val="20"/>
        </w:rPr>
      </w:pPr>
      <w:r w:rsidRPr="00307FD2">
        <w:rPr>
          <w:rFonts w:ascii="Arial" w:hAnsi="Arial" w:cs="Arial"/>
          <w:b/>
          <w:bCs/>
          <w:color w:val="000000" w:themeColor="text1"/>
          <w:sz w:val="20"/>
          <w:szCs w:val="20"/>
        </w:rPr>
        <w:t>SUPPLEMENTAL FIGURES</w:t>
      </w:r>
      <w:r w:rsidR="00EE2F48" w:rsidRPr="00307FD2">
        <w:rPr>
          <w:rFonts w:ascii="Arial" w:hAnsi="Arial" w:cs="Arial"/>
          <w:b/>
          <w:bCs/>
          <w:color w:val="000000" w:themeColor="text1"/>
          <w:sz w:val="20"/>
          <w:szCs w:val="20"/>
        </w:rPr>
        <w:br w:type="page"/>
      </w:r>
    </w:p>
    <w:p w14:paraId="04B40EBE" w14:textId="422CD84E" w:rsidR="00EE2F48" w:rsidRPr="00307FD2" w:rsidRDefault="00EE2F48" w:rsidP="00EE2F48">
      <w:pPr>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S1.</w:t>
      </w:r>
    </w:p>
    <w:p w14:paraId="5782F528" w14:textId="1A2E3718" w:rsidR="00EE2F48" w:rsidRPr="00307FD2" w:rsidRDefault="00632EEB" w:rsidP="00EE2F48">
      <w:pPr>
        <w:rPr>
          <w:rFonts w:ascii="Arial" w:hAnsi="Arial" w:cs="Arial"/>
          <w:b/>
          <w:bCs/>
          <w:color w:val="000000" w:themeColor="text1"/>
          <w:sz w:val="20"/>
          <w:szCs w:val="20"/>
        </w:rPr>
      </w:pPr>
      <w:r w:rsidRPr="00307FD2">
        <w:rPr>
          <w:rFonts w:ascii="Arial" w:hAnsi="Arial" w:cs="Arial"/>
          <w:b/>
          <w:bCs/>
          <w:noProof/>
          <w:color w:val="000000" w:themeColor="text1"/>
          <w:sz w:val="20"/>
          <w:szCs w:val="20"/>
          <w14:ligatures w14:val="standardContextual"/>
        </w:rPr>
        <w:drawing>
          <wp:inline distT="0" distB="0" distL="0" distR="0" wp14:anchorId="7A0443BF" wp14:editId="09865CE7">
            <wp:extent cx="5943600" cy="6638925"/>
            <wp:effectExtent l="0" t="0" r="0" b="3175"/>
            <wp:docPr id="850752438"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2438" name="Picture 1" descr="A close-up of a char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EE2F48" w:rsidRPr="00307FD2">
        <w:rPr>
          <w:rFonts w:ascii="Arial" w:hAnsi="Arial" w:cs="Arial"/>
          <w:b/>
          <w:bCs/>
          <w:color w:val="000000" w:themeColor="text1"/>
          <w:sz w:val="20"/>
          <w:szCs w:val="20"/>
        </w:rPr>
        <w:br w:type="page"/>
      </w:r>
    </w:p>
    <w:p w14:paraId="70F5724C" w14:textId="26345418" w:rsidR="00EE2F48" w:rsidRPr="00307FD2" w:rsidRDefault="00EE2F48" w:rsidP="00EE2F48">
      <w:pPr>
        <w:rPr>
          <w:rFonts w:ascii="Arial" w:hAnsi="Arial" w:cs="Arial"/>
          <w:color w:val="000000" w:themeColor="text1"/>
          <w:sz w:val="20"/>
          <w:szCs w:val="20"/>
        </w:rPr>
      </w:pPr>
      <w:r w:rsidRPr="00307FD2">
        <w:rPr>
          <w:rFonts w:ascii="Arial" w:hAnsi="Arial" w:cs="Arial"/>
          <w:b/>
          <w:bCs/>
          <w:color w:val="000000" w:themeColor="text1"/>
          <w:sz w:val="20"/>
          <w:szCs w:val="20"/>
        </w:rPr>
        <w:lastRenderedPageBreak/>
        <w:t xml:space="preserve">Figure S1. Lipofuscin load increases across fine neuroanatomical regions with age and </w:t>
      </w:r>
      <w:r w:rsidRPr="00307FD2">
        <w:rPr>
          <w:rFonts w:ascii="Arial" w:hAnsi="Arial" w:cs="Arial"/>
          <w:b/>
          <w:bCs/>
          <w:i/>
          <w:iCs/>
          <w:color w:val="000000" w:themeColor="text1"/>
          <w:sz w:val="20"/>
          <w:szCs w:val="20"/>
        </w:rPr>
        <w:t>CLN1</w:t>
      </w:r>
      <w:r w:rsidRPr="00307FD2">
        <w:rPr>
          <w:rFonts w:ascii="Arial" w:hAnsi="Arial" w:cs="Arial"/>
          <w:b/>
          <w:bCs/>
          <w:color w:val="000000" w:themeColor="text1"/>
          <w:sz w:val="20"/>
          <w:szCs w:val="20"/>
        </w:rPr>
        <w:t xml:space="preserve"> progression.</w:t>
      </w:r>
    </w:p>
    <w:p w14:paraId="132EB623"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w:t>
      </w:r>
      <w:r w:rsidRPr="00307FD2">
        <w:rPr>
          <w:rFonts w:ascii="Arial" w:hAnsi="Arial" w:cs="Arial"/>
          <w:color w:val="000000" w:themeColor="text1"/>
          <w:sz w:val="20"/>
          <w:szCs w:val="20"/>
        </w:rPr>
        <w:t>) Heat map of lipofuscin load across fine anatomical regions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 sex-matched biological replicates/genotype/timepoint;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 alternate sections/replicate). White cells indicate that region was not found in measured sections. Rows corresponding to regions with fewer than 2 measurements across all samples were not included. Color blocks on left correspond to location of region within Allen Mouse Brain Atlas as in </w:t>
      </w:r>
      <w:r w:rsidRPr="00307FD2">
        <w:rPr>
          <w:rFonts w:ascii="Arial" w:hAnsi="Arial" w:cs="Arial"/>
          <w:b/>
          <w:bCs/>
          <w:color w:val="000000" w:themeColor="text1"/>
          <w:sz w:val="20"/>
          <w:szCs w:val="20"/>
        </w:rPr>
        <w:t>Fig. 1Biv</w:t>
      </w:r>
      <w:r w:rsidRPr="00307FD2">
        <w:rPr>
          <w:rFonts w:ascii="Arial" w:hAnsi="Arial" w:cs="Arial"/>
          <w:color w:val="000000" w:themeColor="text1"/>
          <w:sz w:val="20"/>
          <w:szCs w:val="20"/>
        </w:rPr>
        <w:t xml:space="preserve"> (CTX: </w:t>
      </w:r>
      <w:proofErr w:type="spellStart"/>
      <w:r w:rsidRPr="00307FD2">
        <w:rPr>
          <w:rFonts w:ascii="Arial" w:hAnsi="Arial" w:cs="Arial"/>
          <w:color w:val="000000" w:themeColor="text1"/>
          <w:sz w:val="20"/>
          <w:szCs w:val="20"/>
        </w:rPr>
        <w:t>isocortex</w:t>
      </w:r>
      <w:proofErr w:type="spellEnd"/>
      <w:r w:rsidRPr="00307FD2">
        <w:rPr>
          <w:rFonts w:ascii="Arial" w:hAnsi="Arial" w:cs="Arial"/>
          <w:color w:val="000000" w:themeColor="text1"/>
          <w:sz w:val="20"/>
          <w:szCs w:val="20"/>
        </w:rPr>
        <w:t xml:space="preserve">; OLF: olfactory areas; HPF: hippocampal formation; STR: striatum; PAL: pallidum; TH: thalamus; HY: hypothalamus; MB: midbrain; P: pons; MY: medulla; CB: cerebellum; FT: fiber tracts; VS: ventricular systems). Color blocks on bottom correspond to age and genotype of animals as in </w:t>
      </w:r>
      <w:r w:rsidRPr="00307FD2">
        <w:rPr>
          <w:rFonts w:ascii="Arial" w:hAnsi="Arial" w:cs="Arial"/>
          <w:b/>
          <w:bCs/>
          <w:color w:val="000000" w:themeColor="text1"/>
          <w:sz w:val="20"/>
          <w:szCs w:val="20"/>
        </w:rPr>
        <w:t>Fig. 1A</w:t>
      </w:r>
      <w:r w:rsidRPr="00307FD2">
        <w:rPr>
          <w:rFonts w:ascii="Arial" w:hAnsi="Arial" w:cs="Arial"/>
          <w:color w:val="000000" w:themeColor="text1"/>
          <w:sz w:val="20"/>
          <w:szCs w:val="20"/>
        </w:rPr>
        <w:t xml:space="preserve">. </w:t>
      </w:r>
    </w:p>
    <w:p w14:paraId="020E1F2E" w14:textId="121622E3"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 xml:space="preserve">B </w:t>
      </w:r>
      <w:r w:rsidRPr="00307FD2">
        <w:rPr>
          <w:rFonts w:ascii="Arial" w:hAnsi="Arial" w:cs="Arial"/>
          <w:color w:val="000000" w:themeColor="text1"/>
          <w:sz w:val="20"/>
          <w:szCs w:val="20"/>
        </w:rPr>
        <w:t>and</w:t>
      </w:r>
      <w:r w:rsidRPr="00307FD2">
        <w:rPr>
          <w:rFonts w:ascii="Arial" w:hAnsi="Arial" w:cs="Arial"/>
          <w:b/>
          <w:bCs/>
          <w:color w:val="000000" w:themeColor="text1"/>
          <w:sz w:val="20"/>
          <w:szCs w:val="20"/>
        </w:rPr>
        <w:t xml:space="preserve"> C</w:t>
      </w:r>
      <w:r w:rsidRPr="00307FD2">
        <w:rPr>
          <w:rFonts w:ascii="Arial" w:hAnsi="Arial" w:cs="Arial"/>
          <w:color w:val="000000" w:themeColor="text1"/>
          <w:sz w:val="20"/>
          <w:szCs w:val="20"/>
        </w:rPr>
        <w:t xml:space="preserve">) Log fold-change comparisons of lipofuscin load by fine (points) and gross (color groups) anatomical regions with (B) </w:t>
      </w:r>
      <w:r w:rsidRPr="00307FD2">
        <w:rPr>
          <w:rFonts w:ascii="Arial" w:hAnsi="Arial" w:cs="Arial"/>
          <w:i/>
          <w:iCs/>
          <w:color w:val="000000" w:themeColor="text1"/>
          <w:sz w:val="20"/>
          <w:szCs w:val="20"/>
        </w:rPr>
        <w:t xml:space="preserve">CLN1 </w:t>
      </w:r>
      <w:r w:rsidRPr="00307FD2">
        <w:rPr>
          <w:rFonts w:ascii="Arial" w:hAnsi="Arial" w:cs="Arial"/>
          <w:color w:val="000000" w:themeColor="text1"/>
          <w:sz w:val="20"/>
          <w:szCs w:val="20"/>
        </w:rPr>
        <w:t xml:space="preserve">progression in 2- vs 7-month-old KO mice and with (C) natural aging in 12- vs. 24-month-old WT mice (blue dashed line significance threshold at fold change &gt; 1.5 and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0.05). </w:t>
      </w:r>
    </w:p>
    <w:p w14:paraId="72CEDF9B"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D</w:t>
      </w:r>
      <w:r w:rsidRPr="00307FD2">
        <w:rPr>
          <w:rFonts w:ascii="Arial" w:hAnsi="Arial" w:cs="Arial"/>
          <w:color w:val="000000" w:themeColor="text1"/>
          <w:sz w:val="20"/>
          <w:szCs w:val="20"/>
        </w:rPr>
        <w:t>) Quantification of ventricular system area (µm</w:t>
      </w:r>
      <w:r w:rsidRPr="00307FD2">
        <w:rPr>
          <w:rFonts w:ascii="Arial" w:hAnsi="Arial" w:cs="Arial"/>
          <w:color w:val="000000" w:themeColor="text1"/>
          <w:sz w:val="20"/>
          <w:szCs w:val="20"/>
          <w:vertAlign w:val="superscript"/>
        </w:rPr>
        <w:t>2</w:t>
      </w:r>
      <w:r w:rsidRPr="00307FD2">
        <w:rPr>
          <w:rFonts w:ascii="Arial" w:hAnsi="Arial" w:cs="Arial"/>
          <w:color w:val="000000" w:themeColor="text1"/>
          <w:sz w:val="20"/>
          <w:szCs w:val="20"/>
        </w:rPr>
        <w:t xml:space="preserve">) with age and </w:t>
      </w:r>
      <w:r w:rsidRPr="00307FD2">
        <w:rPr>
          <w:rFonts w:ascii="Arial" w:hAnsi="Arial" w:cs="Arial"/>
          <w:i/>
          <w:iCs/>
          <w:color w:val="000000" w:themeColor="text1"/>
          <w:sz w:val="20"/>
          <w:szCs w:val="20"/>
        </w:rPr>
        <w:t>CLN1</w:t>
      </w:r>
      <w:r w:rsidRPr="00307FD2">
        <w:rPr>
          <w:rFonts w:ascii="Arial" w:hAnsi="Arial" w:cs="Arial"/>
          <w:color w:val="000000" w:themeColor="text1"/>
          <w:sz w:val="20"/>
          <w:szCs w:val="20"/>
        </w:rPr>
        <w:t xml:space="preserve"> progression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 sex-matched biological replicates/genotype/timepoint;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 alternate sections/biological replicate). Lines indicate statistical comparisons where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0.05 by Tukey’s multiple comparison test. </w:t>
      </w:r>
    </w:p>
    <w:p w14:paraId="05652A7C"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E</w:t>
      </w:r>
      <w:r w:rsidRPr="00307FD2">
        <w:rPr>
          <w:rFonts w:ascii="Arial" w:hAnsi="Arial" w:cs="Arial"/>
          <w:color w:val="000000" w:themeColor="text1"/>
          <w:sz w:val="20"/>
          <w:szCs w:val="20"/>
        </w:rPr>
        <w:t xml:space="preserve">) Heat map of lipofuscin load in lateral agranular (top) and dorsal (middle) and ventral (bottom) </w:t>
      </w:r>
      <w:proofErr w:type="spellStart"/>
      <w:r w:rsidRPr="00307FD2">
        <w:rPr>
          <w:rFonts w:ascii="Arial" w:hAnsi="Arial" w:cs="Arial"/>
          <w:color w:val="000000" w:themeColor="text1"/>
          <w:sz w:val="20"/>
          <w:szCs w:val="20"/>
        </w:rPr>
        <w:t>retrosplenial</w:t>
      </w:r>
      <w:proofErr w:type="spellEnd"/>
      <w:r w:rsidRPr="00307FD2">
        <w:rPr>
          <w:rFonts w:ascii="Arial" w:hAnsi="Arial" w:cs="Arial"/>
          <w:color w:val="000000" w:themeColor="text1"/>
          <w:sz w:val="20"/>
          <w:szCs w:val="20"/>
        </w:rPr>
        <w:t xml:space="preserve"> areas by cortical layer (average of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 sex-matched biological replicates/genotype/timepoint;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 alternate sections/replicate). </w:t>
      </w:r>
    </w:p>
    <w:p w14:paraId="151B941E" w14:textId="2DC9AB78"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F</w:t>
      </w:r>
      <w:r w:rsidRPr="00307FD2">
        <w:rPr>
          <w:rFonts w:ascii="Arial" w:hAnsi="Arial" w:cs="Arial"/>
          <w:color w:val="000000" w:themeColor="text1"/>
          <w:sz w:val="20"/>
          <w:szCs w:val="20"/>
        </w:rPr>
        <w:t xml:space="preserve">) Representative images of hippocampus autofluorescence in KO 7-month (top) and WT 24-month (bottom) animals (scale bar, 100 µm). Red dashed lines indicate fine anatomical regions of fields CA1, CA2 and CA3 (so: </w:t>
      </w:r>
      <w:r w:rsidRPr="00307FD2">
        <w:rPr>
          <w:rFonts w:ascii="Arial" w:hAnsi="Arial" w:cs="Arial"/>
          <w:i/>
          <w:iCs/>
          <w:color w:val="000000" w:themeColor="text1"/>
          <w:sz w:val="20"/>
          <w:szCs w:val="20"/>
        </w:rPr>
        <w:t xml:space="preserve">stratum </w:t>
      </w:r>
      <w:proofErr w:type="spellStart"/>
      <w:r w:rsidRPr="00307FD2">
        <w:rPr>
          <w:rFonts w:ascii="Arial" w:hAnsi="Arial" w:cs="Arial"/>
          <w:i/>
          <w:iCs/>
          <w:color w:val="000000" w:themeColor="text1"/>
          <w:sz w:val="20"/>
          <w:szCs w:val="20"/>
        </w:rPr>
        <w:t>oriens</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sp</w:t>
      </w:r>
      <w:proofErr w:type="spellEnd"/>
      <w:r w:rsidRPr="00307FD2">
        <w:rPr>
          <w:rFonts w:ascii="Arial" w:hAnsi="Arial" w:cs="Arial"/>
          <w:color w:val="000000" w:themeColor="text1"/>
          <w:sz w:val="20"/>
          <w:szCs w:val="20"/>
        </w:rPr>
        <w:t xml:space="preserve">: </w:t>
      </w:r>
      <w:r w:rsidRPr="00307FD2">
        <w:rPr>
          <w:rFonts w:ascii="Arial" w:hAnsi="Arial" w:cs="Arial"/>
          <w:i/>
          <w:iCs/>
          <w:color w:val="000000" w:themeColor="text1"/>
          <w:sz w:val="20"/>
          <w:szCs w:val="20"/>
        </w:rPr>
        <w:t xml:space="preserve">stratum </w:t>
      </w:r>
      <w:proofErr w:type="spellStart"/>
      <w:r w:rsidRPr="00307FD2">
        <w:rPr>
          <w:rFonts w:ascii="Arial" w:hAnsi="Arial" w:cs="Arial"/>
          <w:i/>
          <w:iCs/>
          <w:color w:val="000000" w:themeColor="text1"/>
          <w:sz w:val="20"/>
          <w:szCs w:val="20"/>
        </w:rPr>
        <w:t>pyramidale</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sr</w:t>
      </w:r>
      <w:proofErr w:type="spellEnd"/>
      <w:r w:rsidRPr="00307FD2">
        <w:rPr>
          <w:rFonts w:ascii="Arial" w:hAnsi="Arial" w:cs="Arial"/>
          <w:color w:val="000000" w:themeColor="text1"/>
          <w:sz w:val="20"/>
          <w:szCs w:val="20"/>
        </w:rPr>
        <w:t xml:space="preserve">: </w:t>
      </w:r>
      <w:r w:rsidRPr="00307FD2">
        <w:rPr>
          <w:rFonts w:ascii="Arial" w:hAnsi="Arial" w:cs="Arial"/>
          <w:i/>
          <w:iCs/>
          <w:color w:val="000000" w:themeColor="text1"/>
          <w:sz w:val="20"/>
          <w:szCs w:val="20"/>
        </w:rPr>
        <w:t xml:space="preserve">stratum </w:t>
      </w:r>
      <w:proofErr w:type="spellStart"/>
      <w:r w:rsidRPr="00307FD2">
        <w:rPr>
          <w:rFonts w:ascii="Arial" w:hAnsi="Arial" w:cs="Arial"/>
          <w:i/>
          <w:iCs/>
          <w:color w:val="000000" w:themeColor="text1"/>
          <w:sz w:val="20"/>
          <w:szCs w:val="20"/>
        </w:rPr>
        <w:t>radiatum</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slm</w:t>
      </w:r>
      <w:proofErr w:type="spellEnd"/>
      <w:r w:rsidRPr="00307FD2">
        <w:rPr>
          <w:rFonts w:ascii="Arial" w:hAnsi="Arial" w:cs="Arial"/>
          <w:color w:val="000000" w:themeColor="text1"/>
          <w:sz w:val="20"/>
          <w:szCs w:val="20"/>
        </w:rPr>
        <w:t xml:space="preserve">: </w:t>
      </w:r>
      <w:r w:rsidRPr="00307FD2">
        <w:rPr>
          <w:rFonts w:ascii="Arial" w:hAnsi="Arial" w:cs="Arial"/>
          <w:i/>
          <w:iCs/>
          <w:color w:val="000000" w:themeColor="text1"/>
          <w:sz w:val="20"/>
          <w:szCs w:val="20"/>
        </w:rPr>
        <w:t xml:space="preserve">stratum </w:t>
      </w:r>
      <w:proofErr w:type="spellStart"/>
      <w:r w:rsidRPr="00307FD2">
        <w:rPr>
          <w:rFonts w:ascii="Arial" w:hAnsi="Arial" w:cs="Arial"/>
          <w:i/>
          <w:iCs/>
          <w:color w:val="000000" w:themeColor="text1"/>
          <w:sz w:val="20"/>
          <w:szCs w:val="20"/>
        </w:rPr>
        <w:t>lacunosum-moleculare</w:t>
      </w:r>
      <w:proofErr w:type="spellEnd"/>
      <w:r w:rsidRPr="00307FD2">
        <w:rPr>
          <w:rFonts w:ascii="Arial" w:hAnsi="Arial" w:cs="Arial"/>
          <w:color w:val="000000" w:themeColor="text1"/>
          <w:sz w:val="20"/>
          <w:szCs w:val="20"/>
        </w:rPr>
        <w:t xml:space="preserve">). </w:t>
      </w:r>
    </w:p>
    <w:p w14:paraId="5E0DF7CC"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G</w:t>
      </w:r>
      <w:r w:rsidRPr="00307FD2">
        <w:rPr>
          <w:rFonts w:ascii="Arial" w:hAnsi="Arial" w:cs="Arial"/>
          <w:color w:val="000000" w:themeColor="text1"/>
          <w:sz w:val="20"/>
          <w:szCs w:val="20"/>
        </w:rPr>
        <w:t xml:space="preserve">) Heat map of lipofuscin load in hippocampal formation regions. Fields CA1, CA2, CA3 are averaged across fine regions shown in panel F (DG: dentate gyrus; average of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 sex-matched biological replicates/genotype/timepoint;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4 alternate sections/replicate).</w:t>
      </w:r>
    </w:p>
    <w:p w14:paraId="58E83017" w14:textId="26830B1D"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H</w:t>
      </w:r>
      <w:r w:rsidRPr="00307FD2">
        <w:rPr>
          <w:rFonts w:ascii="Arial" w:hAnsi="Arial" w:cs="Arial"/>
          <w:color w:val="000000" w:themeColor="text1"/>
          <w:sz w:val="20"/>
          <w:szCs w:val="20"/>
        </w:rPr>
        <w:t xml:space="preserve">) KO 7-month hippocampus </w:t>
      </w:r>
      <w:r w:rsidRPr="00307FD2">
        <w:rPr>
          <w:rFonts w:ascii="Arial" w:hAnsi="Arial" w:cs="Arial"/>
          <w:i/>
          <w:iCs/>
          <w:color w:val="000000" w:themeColor="text1"/>
          <w:sz w:val="20"/>
          <w:szCs w:val="20"/>
        </w:rPr>
        <w:t xml:space="preserve">stratum </w:t>
      </w:r>
      <w:proofErr w:type="spellStart"/>
      <w:r w:rsidRPr="00307FD2">
        <w:rPr>
          <w:rFonts w:ascii="Arial" w:hAnsi="Arial" w:cs="Arial"/>
          <w:i/>
          <w:iCs/>
          <w:color w:val="000000" w:themeColor="text1"/>
          <w:sz w:val="20"/>
          <w:szCs w:val="20"/>
        </w:rPr>
        <w:t>pyramidale</w:t>
      </w:r>
      <w:proofErr w:type="spellEnd"/>
      <w:r w:rsidRPr="00307FD2">
        <w:rPr>
          <w:rFonts w:ascii="Arial" w:hAnsi="Arial" w:cs="Arial"/>
          <w:color w:val="000000" w:themeColor="text1"/>
          <w:sz w:val="20"/>
          <w:szCs w:val="20"/>
        </w:rPr>
        <w:t xml:space="preserve"> with lipofuscin autofluorescence (AF; green), counterstained with nuclear marker DAPI (blue), and neuronal marker NeuN (magenta) (scale bar, 50 µm). </w:t>
      </w:r>
    </w:p>
    <w:p w14:paraId="5E89BA2B" w14:textId="63DBA051"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I</w:t>
      </w:r>
      <w:r w:rsidRPr="00307FD2">
        <w:rPr>
          <w:rFonts w:ascii="Arial" w:hAnsi="Arial" w:cs="Arial"/>
          <w:color w:val="000000" w:themeColor="text1"/>
          <w:sz w:val="20"/>
          <w:szCs w:val="20"/>
        </w:rPr>
        <w:t xml:space="preserve">) Representative 63X images illustrating accumulation of autofluorescent lipofuscin granules in cells of </w:t>
      </w:r>
      <w:r w:rsidRPr="00307FD2">
        <w:rPr>
          <w:rFonts w:ascii="Arial" w:hAnsi="Arial" w:cs="Arial"/>
          <w:i/>
          <w:iCs/>
          <w:color w:val="000000" w:themeColor="text1"/>
          <w:sz w:val="20"/>
          <w:szCs w:val="20"/>
        </w:rPr>
        <w:t xml:space="preserve">stratum </w:t>
      </w:r>
      <w:proofErr w:type="spellStart"/>
      <w:r w:rsidRPr="00307FD2">
        <w:rPr>
          <w:rFonts w:ascii="Arial" w:hAnsi="Arial" w:cs="Arial"/>
          <w:i/>
          <w:iCs/>
          <w:color w:val="000000" w:themeColor="text1"/>
          <w:sz w:val="20"/>
          <w:szCs w:val="20"/>
        </w:rPr>
        <w:t>pyramidale</w:t>
      </w:r>
      <w:proofErr w:type="spellEnd"/>
      <w:r w:rsidRPr="00307FD2">
        <w:rPr>
          <w:rFonts w:ascii="Arial" w:hAnsi="Arial" w:cs="Arial"/>
          <w:color w:val="000000" w:themeColor="text1"/>
          <w:sz w:val="20"/>
          <w:szCs w:val="20"/>
        </w:rPr>
        <w:t xml:space="preserve"> layer of CA1 of hippocampus in KO and WT mice with </w:t>
      </w:r>
      <w:r w:rsidRPr="00307FD2">
        <w:rPr>
          <w:rFonts w:ascii="Arial" w:hAnsi="Arial" w:cs="Arial"/>
          <w:i/>
          <w:iCs/>
          <w:color w:val="000000" w:themeColor="text1"/>
          <w:sz w:val="20"/>
          <w:szCs w:val="20"/>
        </w:rPr>
        <w:t>CLN1</w:t>
      </w:r>
      <w:r w:rsidRPr="00307FD2">
        <w:rPr>
          <w:rFonts w:ascii="Arial" w:hAnsi="Arial" w:cs="Arial"/>
          <w:color w:val="000000" w:themeColor="text1"/>
          <w:sz w:val="20"/>
          <w:szCs w:val="20"/>
        </w:rPr>
        <w:t xml:space="preserve"> progression and age (scale bar, 15 µm). Inset shows region in red box at lower brightness to illustrate individual granules in saturated areas (scale bar, 5 µm).</w:t>
      </w:r>
    </w:p>
    <w:p w14:paraId="08A6EEA6" w14:textId="77777777" w:rsidR="00180CE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J</w:t>
      </w:r>
      <w:r w:rsidRPr="00307FD2">
        <w:rPr>
          <w:rFonts w:ascii="Arial" w:hAnsi="Arial" w:cs="Arial"/>
          <w:color w:val="000000" w:themeColor="text1"/>
          <w:sz w:val="20"/>
          <w:szCs w:val="20"/>
        </w:rPr>
        <w:t xml:space="preserve">) Representative lipofuscin-positive cell of dorsolateral prefrontal cortex of elderly human control (age = 90 years). </w:t>
      </w:r>
    </w:p>
    <w:p w14:paraId="64B7FF53" w14:textId="44F1368E" w:rsidR="00EE2F48" w:rsidRPr="00307FD2" w:rsidRDefault="00180CE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 xml:space="preserve">KO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00784995" w:rsidRPr="00307FD2">
        <w:rPr>
          <w:rFonts w:ascii="Arial" w:hAnsi="Arial" w:cs="Arial"/>
          <w:color w:val="000000" w:themeColor="text1"/>
          <w:sz w:val="20"/>
          <w:szCs w:val="20"/>
        </w:rPr>
        <w:t xml:space="preserve"> and </w:t>
      </w:r>
      <w:r w:rsidRPr="00307FD2">
        <w:rPr>
          <w:rFonts w:ascii="Arial" w:hAnsi="Arial" w:cs="Arial"/>
          <w:color w:val="000000" w:themeColor="text1"/>
          <w:sz w:val="20"/>
          <w:szCs w:val="20"/>
        </w:rPr>
        <w:t xml:space="preserve">WT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00784995" w:rsidRPr="00307FD2">
        <w:rPr>
          <w:rFonts w:ascii="Arial" w:hAnsi="Arial" w:cs="Arial"/>
          <w:color w:val="000000" w:themeColor="text1"/>
          <w:sz w:val="20"/>
          <w:szCs w:val="20"/>
        </w:rPr>
        <w:t xml:space="preserve">, throughout. </w:t>
      </w:r>
      <w:r w:rsidR="00EE2F48" w:rsidRPr="00307FD2">
        <w:rPr>
          <w:rFonts w:ascii="Arial" w:hAnsi="Arial" w:cs="Arial"/>
          <w:b/>
          <w:bCs/>
          <w:color w:val="000000" w:themeColor="text1"/>
          <w:sz w:val="20"/>
          <w:szCs w:val="20"/>
        </w:rPr>
        <w:br w:type="page"/>
      </w:r>
    </w:p>
    <w:p w14:paraId="01CB0F16" w14:textId="77777777" w:rsidR="00EE2F48" w:rsidRPr="00307FD2" w:rsidRDefault="00EE2F48" w:rsidP="00EE2F48">
      <w:pPr>
        <w:spacing w:line="278" w:lineRule="auto"/>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 xml:space="preserve">Fig. S2.              </w:t>
      </w:r>
    </w:p>
    <w:p w14:paraId="660E831A" w14:textId="7D4FD955" w:rsidR="00EE2F48" w:rsidRPr="00307FD2" w:rsidRDefault="00632EEB" w:rsidP="00EE2F48">
      <w:pPr>
        <w:rPr>
          <w:rFonts w:ascii="Arial" w:hAnsi="Arial" w:cs="Arial"/>
          <w:b/>
          <w:bCs/>
          <w:color w:val="000000" w:themeColor="text1"/>
          <w:sz w:val="20"/>
          <w:szCs w:val="20"/>
        </w:rPr>
      </w:pPr>
      <w:r w:rsidRPr="00307FD2">
        <w:rPr>
          <w:rFonts w:ascii="Arial" w:hAnsi="Arial" w:cs="Arial"/>
          <w:b/>
          <w:bCs/>
          <w:noProof/>
          <w:color w:val="000000" w:themeColor="text1"/>
          <w:sz w:val="20"/>
          <w:szCs w:val="20"/>
          <w14:ligatures w14:val="standardContextual"/>
        </w:rPr>
        <w:drawing>
          <wp:inline distT="0" distB="0" distL="0" distR="0" wp14:anchorId="7B518B69" wp14:editId="19B9D753">
            <wp:extent cx="5943600" cy="6842760"/>
            <wp:effectExtent l="0" t="0" r="0" b="2540"/>
            <wp:docPr id="2050984189" name="Picture 2" descr="A collage of 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4189" name="Picture 2" descr="A collage of a diagram of a test tub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842760"/>
                    </a:xfrm>
                    <a:prstGeom prst="rect">
                      <a:avLst/>
                    </a:prstGeom>
                  </pic:spPr>
                </pic:pic>
              </a:graphicData>
            </a:graphic>
          </wp:inline>
        </w:drawing>
      </w:r>
      <w:r w:rsidR="00EE2F48" w:rsidRPr="00307FD2">
        <w:rPr>
          <w:rFonts w:ascii="Arial" w:hAnsi="Arial" w:cs="Arial"/>
          <w:b/>
          <w:bCs/>
          <w:color w:val="000000" w:themeColor="text1"/>
          <w:sz w:val="20"/>
          <w:szCs w:val="20"/>
        </w:rPr>
        <w:br w:type="page"/>
      </w:r>
    </w:p>
    <w:p w14:paraId="0246EFD4" w14:textId="4D45A211"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Figure S2. Lipofuscin purification and flow-cytometry strategies</w:t>
      </w:r>
      <w:r w:rsidR="00BF43F6" w:rsidRPr="00307FD2">
        <w:rPr>
          <w:rFonts w:ascii="Arial" w:hAnsi="Arial" w:cs="Arial"/>
          <w:b/>
          <w:bCs/>
          <w:color w:val="000000" w:themeColor="text1"/>
          <w:sz w:val="20"/>
          <w:szCs w:val="20"/>
        </w:rPr>
        <w:t>.</w:t>
      </w:r>
    </w:p>
    <w:p w14:paraId="766B3D41"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w:t>
      </w:r>
      <w:r w:rsidRPr="00307FD2">
        <w:rPr>
          <w:rFonts w:ascii="Arial" w:hAnsi="Arial" w:cs="Arial"/>
          <w:color w:val="000000" w:themeColor="text1"/>
          <w:sz w:val="20"/>
          <w:szCs w:val="20"/>
        </w:rPr>
        <w:t xml:space="preserve">) Representative images of crude (left) and pure (right) sucrose gradients following ultracentrifugation. </w:t>
      </w:r>
      <w:proofErr w:type="gramStart"/>
      <w:r w:rsidRPr="00307FD2">
        <w:rPr>
          <w:rFonts w:ascii="Arial" w:hAnsi="Arial" w:cs="Arial"/>
          <w:color w:val="000000" w:themeColor="text1"/>
          <w:sz w:val="20"/>
          <w:szCs w:val="20"/>
        </w:rPr>
        <w:t>Yellow-brown</w:t>
      </w:r>
      <w:proofErr w:type="gramEnd"/>
      <w:r w:rsidRPr="00307FD2">
        <w:rPr>
          <w:rFonts w:ascii="Arial" w:hAnsi="Arial" w:cs="Arial"/>
          <w:color w:val="000000" w:themeColor="text1"/>
          <w:sz w:val="20"/>
          <w:szCs w:val="20"/>
        </w:rPr>
        <w:t xml:space="preserve"> autofluorescent fraction at 1.0-1.2 M sucrose interface is denoted by purple star. “Mito.” indicates density at which healthy mitochondria sediment.  </w:t>
      </w:r>
    </w:p>
    <w:p w14:paraId="0B19CB06" w14:textId="732BDC04"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B</w:t>
      </w:r>
      <w:r w:rsidRPr="00307FD2">
        <w:rPr>
          <w:rFonts w:ascii="Arial" w:hAnsi="Arial" w:cs="Arial"/>
          <w:color w:val="000000" w:themeColor="text1"/>
          <w:sz w:val="20"/>
          <w:szCs w:val="20"/>
        </w:rPr>
        <w:t>) Flow cytometry gating plots of (</w:t>
      </w:r>
      <w:proofErr w:type="spellStart"/>
      <w:r w:rsidRPr="00307FD2">
        <w:rPr>
          <w:rFonts w:ascii="Arial" w:hAnsi="Arial" w:cs="Arial"/>
          <w:b/>
          <w:bCs/>
          <w:color w:val="000000" w:themeColor="text1"/>
          <w:sz w:val="20"/>
          <w:szCs w:val="20"/>
        </w:rPr>
        <w:t>i</w:t>
      </w:r>
      <w:proofErr w:type="spellEnd"/>
      <w:r w:rsidRPr="00307FD2">
        <w:rPr>
          <w:rFonts w:ascii="Arial" w:hAnsi="Arial" w:cs="Arial"/>
          <w:color w:val="000000" w:themeColor="text1"/>
          <w:sz w:val="20"/>
          <w:szCs w:val="20"/>
        </w:rPr>
        <w:t>) sort buffer control, (</w:t>
      </w:r>
      <w:r w:rsidRPr="00307FD2">
        <w:rPr>
          <w:rFonts w:ascii="Arial" w:hAnsi="Arial" w:cs="Arial"/>
          <w:b/>
          <w:bCs/>
          <w:color w:val="000000" w:themeColor="text1"/>
          <w:sz w:val="20"/>
          <w:szCs w:val="20"/>
        </w:rPr>
        <w:t>ii</w:t>
      </w:r>
      <w:r w:rsidRPr="00307FD2">
        <w:rPr>
          <w:rFonts w:ascii="Arial" w:hAnsi="Arial" w:cs="Arial"/>
          <w:color w:val="000000" w:themeColor="text1"/>
          <w:sz w:val="20"/>
          <w:szCs w:val="20"/>
        </w:rPr>
        <w:t>) 1 µm plastic size-standard beads for small-particle gating, (</w:t>
      </w:r>
      <w:r w:rsidRPr="00307FD2">
        <w:rPr>
          <w:rFonts w:ascii="Arial" w:hAnsi="Arial" w:cs="Arial"/>
          <w:b/>
          <w:bCs/>
          <w:color w:val="000000" w:themeColor="text1"/>
          <w:sz w:val="20"/>
          <w:szCs w:val="20"/>
        </w:rPr>
        <w:t>iii</w:t>
      </w:r>
      <w:r w:rsidRPr="00307FD2">
        <w:rPr>
          <w:rFonts w:ascii="Arial" w:hAnsi="Arial" w:cs="Arial"/>
          <w:color w:val="000000" w:themeColor="text1"/>
          <w:sz w:val="20"/>
          <w:szCs w:val="20"/>
        </w:rPr>
        <w:t>) 1 µm plastic size-standard beads approximating lipofuscin granule size excluded by autofluorescence gate, and SB3-stained lipofuscin from (</w:t>
      </w:r>
      <w:r w:rsidRPr="00307FD2">
        <w:rPr>
          <w:rFonts w:ascii="Arial" w:hAnsi="Arial" w:cs="Arial"/>
          <w:b/>
          <w:bCs/>
          <w:color w:val="000000" w:themeColor="text1"/>
          <w:sz w:val="20"/>
          <w:szCs w:val="20"/>
        </w:rPr>
        <w:t>iv</w:t>
      </w:r>
      <w:r w:rsidRPr="00307FD2">
        <w:rPr>
          <w:rFonts w:ascii="Arial" w:hAnsi="Arial" w:cs="Arial"/>
          <w:color w:val="000000" w:themeColor="text1"/>
          <w:sz w:val="20"/>
          <w:szCs w:val="20"/>
        </w:rPr>
        <w:t>) KO 7-month and (</w:t>
      </w:r>
      <w:r w:rsidRPr="00307FD2">
        <w:rPr>
          <w:rFonts w:ascii="Arial" w:hAnsi="Arial" w:cs="Arial"/>
          <w:b/>
          <w:bCs/>
          <w:color w:val="000000" w:themeColor="text1"/>
          <w:sz w:val="20"/>
          <w:szCs w:val="20"/>
        </w:rPr>
        <w:t>v</w:t>
      </w:r>
      <w:r w:rsidRPr="00307FD2">
        <w:rPr>
          <w:rFonts w:ascii="Arial" w:hAnsi="Arial" w:cs="Arial"/>
          <w:color w:val="000000" w:themeColor="text1"/>
          <w:sz w:val="20"/>
          <w:szCs w:val="20"/>
        </w:rPr>
        <w:t xml:space="preserve">) WT 24-month animals illustrating majority of particles falling above 1 µm in diameter. </w:t>
      </w:r>
    </w:p>
    <w:p w14:paraId="7B053A89" w14:textId="77777777" w:rsidR="004D2C86" w:rsidRPr="00307FD2" w:rsidRDefault="00EE2F48" w:rsidP="00CD3A05">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C-D</w:t>
      </w:r>
      <w:r w:rsidRPr="00307FD2">
        <w:rPr>
          <w:rFonts w:ascii="Arial" w:hAnsi="Arial" w:cs="Arial"/>
          <w:color w:val="000000" w:themeColor="text1"/>
          <w:sz w:val="20"/>
          <w:szCs w:val="20"/>
        </w:rPr>
        <w:t>) Quantification of bright field SB3-stained granule images for (C) particle circularity and (D) particle size (Feret’s Diameter)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3 biological replicates/genotype/age;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5 images/replicate). Solid lines = 25</w:t>
      </w:r>
      <w:r w:rsidRPr="00307FD2">
        <w:rPr>
          <w:rFonts w:ascii="Arial" w:hAnsi="Arial" w:cs="Arial"/>
          <w:color w:val="000000" w:themeColor="text1"/>
          <w:sz w:val="20"/>
          <w:szCs w:val="20"/>
          <w:vertAlign w:val="superscript"/>
        </w:rPr>
        <w:t>th</w:t>
      </w:r>
      <w:r w:rsidRPr="00307FD2">
        <w:rPr>
          <w:rFonts w:ascii="Arial" w:hAnsi="Arial" w:cs="Arial"/>
          <w:color w:val="000000" w:themeColor="text1"/>
          <w:sz w:val="20"/>
          <w:szCs w:val="20"/>
        </w:rPr>
        <w:t xml:space="preserve"> and 75</w:t>
      </w:r>
      <w:r w:rsidRPr="00307FD2">
        <w:rPr>
          <w:rFonts w:ascii="Arial" w:hAnsi="Arial" w:cs="Arial"/>
          <w:color w:val="000000" w:themeColor="text1"/>
          <w:sz w:val="20"/>
          <w:szCs w:val="20"/>
          <w:vertAlign w:val="superscript"/>
        </w:rPr>
        <w:t>th</w:t>
      </w:r>
      <w:r w:rsidRPr="00307FD2">
        <w:rPr>
          <w:rFonts w:ascii="Arial" w:hAnsi="Arial" w:cs="Arial"/>
          <w:color w:val="000000" w:themeColor="text1"/>
          <w:sz w:val="20"/>
          <w:szCs w:val="20"/>
        </w:rPr>
        <w:t xml:space="preserve"> percentile and dashed lines = median for summed replicate data. </w:t>
      </w:r>
    </w:p>
    <w:p w14:paraId="2AE636F7" w14:textId="61184C8D" w:rsidR="00EE2F48" w:rsidRPr="00307FD2" w:rsidRDefault="004D2C86" w:rsidP="00CD3A05">
      <w:pPr>
        <w:jc w:val="both"/>
        <w:rPr>
          <w:rFonts w:ascii="Arial" w:hAnsi="Arial" w:cs="Arial"/>
          <w:color w:val="000000" w:themeColor="text1"/>
          <w:sz w:val="20"/>
          <w:szCs w:val="20"/>
        </w:rPr>
      </w:pPr>
      <w:r w:rsidRPr="00307FD2">
        <w:rPr>
          <w:rFonts w:ascii="Arial" w:hAnsi="Arial" w:cs="Arial"/>
          <w:color w:val="000000" w:themeColor="text1"/>
          <w:sz w:val="20"/>
          <w:szCs w:val="20"/>
        </w:rPr>
        <w:t xml:space="preserve">KO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xml:space="preserve"> and WT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xml:space="preserve">, throughout. </w:t>
      </w:r>
      <w:r w:rsidR="00EE2F48" w:rsidRPr="00307FD2">
        <w:rPr>
          <w:rFonts w:ascii="Arial" w:hAnsi="Arial" w:cs="Arial"/>
          <w:b/>
          <w:bCs/>
          <w:color w:val="000000" w:themeColor="text1"/>
          <w:sz w:val="20"/>
          <w:szCs w:val="20"/>
        </w:rPr>
        <w:br w:type="page"/>
      </w:r>
    </w:p>
    <w:p w14:paraId="5CD75CFF" w14:textId="77777777"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S3.</w:t>
      </w:r>
    </w:p>
    <w:p w14:paraId="1CF4991E" w14:textId="704D57F7" w:rsidR="00EE2F48" w:rsidRPr="00307FD2" w:rsidRDefault="00AE6EF5" w:rsidP="00CD3A05">
      <w:pPr>
        <w:jc w:val="both"/>
        <w:rPr>
          <w:rFonts w:ascii="Arial" w:hAnsi="Arial" w:cs="Arial"/>
          <w:b/>
          <w:bCs/>
          <w:color w:val="000000" w:themeColor="text1"/>
          <w:sz w:val="20"/>
          <w:szCs w:val="20"/>
        </w:rPr>
      </w:pPr>
      <w:r w:rsidRPr="00307FD2">
        <w:rPr>
          <w:rFonts w:ascii="Arial" w:hAnsi="Arial" w:cs="Arial"/>
          <w:b/>
          <w:bCs/>
          <w:noProof/>
          <w:color w:val="000000" w:themeColor="text1"/>
          <w:sz w:val="20"/>
          <w:szCs w:val="20"/>
          <w14:ligatures w14:val="standardContextual"/>
        </w:rPr>
        <w:drawing>
          <wp:inline distT="0" distB="0" distL="0" distR="0" wp14:anchorId="6234A4ED" wp14:editId="389F81CF">
            <wp:extent cx="5943600" cy="5385435"/>
            <wp:effectExtent l="0" t="0" r="0" b="0"/>
            <wp:docPr id="453399090" name="Picture 3"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9090" name="Picture 3" descr="A collage of images of cell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385435"/>
                    </a:xfrm>
                    <a:prstGeom prst="rect">
                      <a:avLst/>
                    </a:prstGeom>
                  </pic:spPr>
                </pic:pic>
              </a:graphicData>
            </a:graphic>
          </wp:inline>
        </w:drawing>
      </w:r>
      <w:r w:rsidR="00EE2F48" w:rsidRPr="00307FD2">
        <w:rPr>
          <w:rFonts w:ascii="Arial" w:hAnsi="Arial" w:cs="Arial"/>
          <w:b/>
          <w:bCs/>
          <w:color w:val="000000" w:themeColor="text1"/>
          <w:sz w:val="20"/>
          <w:szCs w:val="20"/>
        </w:rPr>
        <w:br w:type="page"/>
      </w:r>
    </w:p>
    <w:p w14:paraId="79E0B057" w14:textId="34CC7068"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Figure S3. P</w:t>
      </w:r>
      <w:r w:rsidR="008645FB" w:rsidRPr="00307FD2">
        <w:rPr>
          <w:rFonts w:ascii="Arial" w:hAnsi="Arial" w:cs="Arial"/>
          <w:b/>
          <w:bCs/>
          <w:color w:val="000000" w:themeColor="text1"/>
          <w:sz w:val="20"/>
          <w:szCs w:val="20"/>
        </w:rPr>
        <w:t xml:space="preserve">pt1 </w:t>
      </w:r>
      <w:r w:rsidR="00E45F65" w:rsidRPr="00307FD2">
        <w:rPr>
          <w:rFonts w:ascii="Arial" w:hAnsi="Arial" w:cs="Arial"/>
          <w:b/>
          <w:bCs/>
          <w:color w:val="000000" w:themeColor="text1"/>
          <w:sz w:val="20"/>
          <w:szCs w:val="20"/>
        </w:rPr>
        <w:t>deficiency</w:t>
      </w:r>
      <w:r w:rsidRPr="00307FD2">
        <w:rPr>
          <w:rFonts w:ascii="Arial" w:hAnsi="Arial" w:cs="Arial"/>
          <w:b/>
          <w:bCs/>
          <w:color w:val="000000" w:themeColor="text1"/>
          <w:sz w:val="20"/>
          <w:szCs w:val="20"/>
        </w:rPr>
        <w:t xml:space="preserve"> results in lysosome accumulation. </w:t>
      </w:r>
    </w:p>
    <w:p w14:paraId="3BD9F16B" w14:textId="463B0735"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w:t>
      </w:r>
      <w:r w:rsidRPr="00307FD2">
        <w:rPr>
          <w:rFonts w:ascii="Arial" w:hAnsi="Arial" w:cs="Arial"/>
          <w:color w:val="000000" w:themeColor="text1"/>
          <w:sz w:val="20"/>
          <w:szCs w:val="20"/>
        </w:rPr>
        <w:t>) Quantification of cathepsin D (CATD) expression (mean gray value/mm</w:t>
      </w:r>
      <w:r w:rsidRPr="00307FD2">
        <w:rPr>
          <w:rFonts w:ascii="Arial" w:hAnsi="Arial" w:cs="Arial"/>
          <w:color w:val="000000" w:themeColor="text1"/>
          <w:sz w:val="20"/>
          <w:szCs w:val="20"/>
          <w:vertAlign w:val="superscript"/>
        </w:rPr>
        <w:t>2</w:t>
      </w:r>
      <w:r w:rsidRPr="00307FD2">
        <w:rPr>
          <w:rFonts w:ascii="Arial" w:hAnsi="Arial" w:cs="Arial"/>
          <w:color w:val="000000" w:themeColor="text1"/>
          <w:sz w:val="20"/>
          <w:szCs w:val="20"/>
        </w:rPr>
        <w:t xml:space="preserve">) in hippocampal formation of 7-month KO and 24-month WT mice. Data are mean ± SD of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 sex-matched biological </w:t>
      </w:r>
      <w:proofErr w:type="gramStart"/>
      <w:r w:rsidRPr="00307FD2">
        <w:rPr>
          <w:rFonts w:ascii="Arial" w:hAnsi="Arial" w:cs="Arial"/>
          <w:color w:val="000000" w:themeColor="text1"/>
          <w:sz w:val="20"/>
          <w:szCs w:val="20"/>
        </w:rPr>
        <w:t>replicates;</w:t>
      </w:r>
      <w:proofErr w:type="gramEnd"/>
      <w:r w:rsidRPr="00307FD2">
        <w:rPr>
          <w:rFonts w:ascii="Arial" w:hAnsi="Arial" w:cs="Arial"/>
          <w:color w:val="000000" w:themeColor="text1"/>
          <w:sz w:val="20"/>
          <w:szCs w:val="20"/>
        </w:rPr>
        <w:t xml:space="preserve">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 sections/replicate. </w:t>
      </w:r>
    </w:p>
    <w:p w14:paraId="330F5A6E" w14:textId="5A519766"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B</w:t>
      </w:r>
      <w:r w:rsidRPr="00307FD2">
        <w:rPr>
          <w:rFonts w:ascii="Arial" w:hAnsi="Arial" w:cs="Arial"/>
          <w:color w:val="000000" w:themeColor="text1"/>
          <w:sz w:val="20"/>
          <w:szCs w:val="20"/>
        </w:rPr>
        <w:t xml:space="preserve">) Representative images of lipofuscin autofluorescence (yellow) and CATD expression (magenta) in CA1 </w:t>
      </w:r>
      <w:r w:rsidRPr="00307FD2">
        <w:rPr>
          <w:rFonts w:ascii="Arial" w:hAnsi="Arial" w:cs="Arial"/>
          <w:i/>
          <w:iCs/>
          <w:color w:val="000000" w:themeColor="text1"/>
          <w:sz w:val="20"/>
          <w:szCs w:val="20"/>
        </w:rPr>
        <w:t xml:space="preserve">stratum </w:t>
      </w:r>
      <w:proofErr w:type="spellStart"/>
      <w:r w:rsidRPr="00307FD2">
        <w:rPr>
          <w:rFonts w:ascii="Arial" w:hAnsi="Arial" w:cs="Arial"/>
          <w:i/>
          <w:iCs/>
          <w:color w:val="000000" w:themeColor="text1"/>
          <w:sz w:val="20"/>
          <w:szCs w:val="20"/>
        </w:rPr>
        <w:t>pyramidale</w:t>
      </w:r>
      <w:proofErr w:type="spellEnd"/>
      <w:r w:rsidRPr="00307FD2">
        <w:rPr>
          <w:rFonts w:ascii="Arial" w:hAnsi="Arial" w:cs="Arial"/>
          <w:i/>
          <w:iCs/>
          <w:color w:val="000000" w:themeColor="text1"/>
          <w:sz w:val="20"/>
          <w:szCs w:val="20"/>
        </w:rPr>
        <w:t xml:space="preserve"> </w:t>
      </w:r>
      <w:r w:rsidRPr="00307FD2">
        <w:rPr>
          <w:rFonts w:ascii="Arial" w:hAnsi="Arial" w:cs="Arial"/>
          <w:color w:val="000000" w:themeColor="text1"/>
          <w:sz w:val="20"/>
          <w:szCs w:val="20"/>
        </w:rPr>
        <w:t xml:space="preserve">layer of hippocampus in 7-month KO and 24-month WT mice with DAPI counterstain (blue) (scale bars, 50 µm). </w:t>
      </w:r>
    </w:p>
    <w:p w14:paraId="6F0D0F84" w14:textId="5903BCB0"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C</w:t>
      </w:r>
      <w:r w:rsidRPr="00307FD2">
        <w:rPr>
          <w:rFonts w:ascii="Arial" w:hAnsi="Arial" w:cs="Arial"/>
          <w:color w:val="000000" w:themeColor="text1"/>
          <w:sz w:val="20"/>
          <w:szCs w:val="20"/>
        </w:rPr>
        <w:t>) Quantification of LAMP1 lysosomal marker expression (mean gray value/mm</w:t>
      </w:r>
      <w:r w:rsidRPr="00307FD2">
        <w:rPr>
          <w:rFonts w:ascii="Arial" w:hAnsi="Arial" w:cs="Arial"/>
          <w:color w:val="000000" w:themeColor="text1"/>
          <w:sz w:val="20"/>
          <w:szCs w:val="20"/>
          <w:vertAlign w:val="superscript"/>
        </w:rPr>
        <w:t>2</w:t>
      </w:r>
      <w:r w:rsidRPr="00307FD2">
        <w:rPr>
          <w:rFonts w:ascii="Arial" w:hAnsi="Arial" w:cs="Arial"/>
          <w:color w:val="000000" w:themeColor="text1"/>
          <w:sz w:val="20"/>
          <w:szCs w:val="20"/>
        </w:rPr>
        <w:t xml:space="preserve">) in the hippocampal formation of 7-month KO and 24-month WT mice. Data are mean ± SD of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 sex-matched biological </w:t>
      </w:r>
      <w:proofErr w:type="gramStart"/>
      <w:r w:rsidRPr="00307FD2">
        <w:rPr>
          <w:rFonts w:ascii="Arial" w:hAnsi="Arial" w:cs="Arial"/>
          <w:color w:val="000000" w:themeColor="text1"/>
          <w:sz w:val="20"/>
          <w:szCs w:val="20"/>
        </w:rPr>
        <w:t>replicates;</w:t>
      </w:r>
      <w:proofErr w:type="gramEnd"/>
      <w:r w:rsidRPr="00307FD2">
        <w:rPr>
          <w:rFonts w:ascii="Arial" w:hAnsi="Arial" w:cs="Arial"/>
          <w:color w:val="000000" w:themeColor="text1"/>
          <w:sz w:val="20"/>
          <w:szCs w:val="20"/>
        </w:rPr>
        <w:t xml:space="preserve">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 sections/replicate. </w:t>
      </w:r>
    </w:p>
    <w:p w14:paraId="631927D2" w14:textId="6C45338C"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D</w:t>
      </w:r>
      <w:r w:rsidRPr="00307FD2">
        <w:rPr>
          <w:rFonts w:ascii="Arial" w:hAnsi="Arial" w:cs="Arial"/>
          <w:color w:val="000000" w:themeColor="text1"/>
          <w:sz w:val="20"/>
          <w:szCs w:val="20"/>
        </w:rPr>
        <w:t xml:space="preserve">) Representative images of lipofuscin autofluorescence (yellow) and LAMP1 expression (magenta) in CA1 </w:t>
      </w:r>
      <w:r w:rsidRPr="00307FD2">
        <w:rPr>
          <w:rFonts w:ascii="Arial" w:hAnsi="Arial" w:cs="Arial"/>
          <w:i/>
          <w:iCs/>
          <w:color w:val="000000" w:themeColor="text1"/>
          <w:sz w:val="20"/>
          <w:szCs w:val="20"/>
        </w:rPr>
        <w:t xml:space="preserve">stratum </w:t>
      </w:r>
      <w:proofErr w:type="spellStart"/>
      <w:r w:rsidRPr="00307FD2">
        <w:rPr>
          <w:rFonts w:ascii="Arial" w:hAnsi="Arial" w:cs="Arial"/>
          <w:i/>
          <w:iCs/>
          <w:color w:val="000000" w:themeColor="text1"/>
          <w:sz w:val="20"/>
          <w:szCs w:val="20"/>
        </w:rPr>
        <w:t>pyramidale</w:t>
      </w:r>
      <w:proofErr w:type="spellEnd"/>
      <w:r w:rsidRPr="00307FD2">
        <w:rPr>
          <w:rFonts w:ascii="Arial" w:hAnsi="Arial" w:cs="Arial"/>
          <w:color w:val="000000" w:themeColor="text1"/>
          <w:sz w:val="20"/>
          <w:szCs w:val="20"/>
        </w:rPr>
        <w:t xml:space="preserve"> layer of hippocampus in 7-month KO and 24-month WT mice with DAPI counterstain (blue) (scale bars, 50 µm). </w:t>
      </w:r>
    </w:p>
    <w:p w14:paraId="5719A0A5" w14:textId="1A6977EC"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E</w:t>
      </w: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F</w:t>
      </w:r>
      <w:r w:rsidRPr="00307FD2">
        <w:rPr>
          <w:rFonts w:ascii="Arial" w:hAnsi="Arial" w:cs="Arial"/>
          <w:color w:val="000000" w:themeColor="text1"/>
          <w:sz w:val="20"/>
          <w:szCs w:val="20"/>
        </w:rPr>
        <w:t>) Quantification of (E) CATD and (F) LAMP1 expression (mean gray value/mm</w:t>
      </w:r>
      <w:r w:rsidRPr="00307FD2">
        <w:rPr>
          <w:rFonts w:ascii="Arial" w:hAnsi="Arial" w:cs="Arial"/>
          <w:color w:val="000000" w:themeColor="text1"/>
          <w:sz w:val="20"/>
          <w:szCs w:val="20"/>
          <w:vertAlign w:val="superscript"/>
        </w:rPr>
        <w:t>2</w:t>
      </w:r>
      <w:r w:rsidRPr="00307FD2">
        <w:rPr>
          <w:rFonts w:ascii="Arial" w:hAnsi="Arial" w:cs="Arial"/>
          <w:color w:val="000000" w:themeColor="text1"/>
          <w:sz w:val="20"/>
          <w:szCs w:val="20"/>
        </w:rPr>
        <w:t xml:space="preserve">) in MAP2 positive neurons (magenta) in KO and WT primary cortical cultures at DIV14. Data are mean ± SD of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 independent </w:t>
      </w:r>
      <w:proofErr w:type="gramStart"/>
      <w:r w:rsidRPr="00307FD2">
        <w:rPr>
          <w:rFonts w:ascii="Arial" w:hAnsi="Arial" w:cs="Arial"/>
          <w:color w:val="000000" w:themeColor="text1"/>
          <w:sz w:val="20"/>
          <w:szCs w:val="20"/>
        </w:rPr>
        <w:t>cultures;</w:t>
      </w:r>
      <w:proofErr w:type="gramEnd"/>
      <w:r w:rsidRPr="00307FD2">
        <w:rPr>
          <w:rFonts w:ascii="Arial" w:hAnsi="Arial" w:cs="Arial"/>
          <w:color w:val="000000" w:themeColor="text1"/>
          <w:sz w:val="20"/>
          <w:szCs w:val="20"/>
        </w:rPr>
        <w:t xml:space="preserve">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5 neurons/culture. </w:t>
      </w:r>
    </w:p>
    <w:p w14:paraId="4743C158" w14:textId="77777777" w:rsidR="004D2C86" w:rsidRPr="00307FD2" w:rsidRDefault="00EE2F48" w:rsidP="00CD3A05">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G</w:t>
      </w:r>
      <w:r w:rsidRPr="00307FD2">
        <w:rPr>
          <w:rFonts w:ascii="Arial" w:hAnsi="Arial" w:cs="Arial"/>
          <w:color w:val="000000" w:themeColor="text1"/>
          <w:sz w:val="20"/>
          <w:szCs w:val="20"/>
        </w:rPr>
        <w:t xml:space="preserve">) Representative images of CATD (green) and LAMP1 expression (red) in MAP2 positive neurons (magenta) with DAPI counterstain (blue) in KO and WT primary cortical cultures at DIV14 (scale bars, 10 µm). </w:t>
      </w:r>
    </w:p>
    <w:p w14:paraId="51EB4A34" w14:textId="57CAC6B3" w:rsidR="00EE2F48" w:rsidRPr="00307FD2" w:rsidRDefault="004D2C86" w:rsidP="00CD3A05">
      <w:pPr>
        <w:jc w:val="both"/>
        <w:rPr>
          <w:rFonts w:ascii="Arial" w:hAnsi="Arial" w:cs="Arial"/>
          <w:color w:val="000000" w:themeColor="text1"/>
          <w:sz w:val="20"/>
          <w:szCs w:val="20"/>
        </w:rPr>
      </w:pPr>
      <w:r w:rsidRPr="00307FD2">
        <w:rPr>
          <w:rFonts w:ascii="Arial" w:hAnsi="Arial" w:cs="Arial"/>
          <w:color w:val="000000" w:themeColor="text1"/>
          <w:sz w:val="20"/>
          <w:szCs w:val="20"/>
        </w:rPr>
        <w:t xml:space="preserve">KO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xml:space="preserve"> and WT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xml:space="preserve">, throughout. </w:t>
      </w:r>
      <w:r w:rsidR="00EE2F48" w:rsidRPr="00307FD2">
        <w:rPr>
          <w:rFonts w:ascii="Arial" w:hAnsi="Arial" w:cs="Arial"/>
          <w:b/>
          <w:bCs/>
          <w:color w:val="000000" w:themeColor="text1"/>
          <w:sz w:val="20"/>
          <w:szCs w:val="20"/>
        </w:rPr>
        <w:br w:type="page"/>
      </w:r>
    </w:p>
    <w:p w14:paraId="3CEDF55B" w14:textId="7D8E29EC"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S4.</w:t>
      </w:r>
    </w:p>
    <w:p w14:paraId="329EEA36" w14:textId="0E48E4E4" w:rsidR="00EE2F48" w:rsidRPr="00307FD2" w:rsidRDefault="00C872BB" w:rsidP="00CD3A05">
      <w:pPr>
        <w:spacing w:line="278" w:lineRule="auto"/>
        <w:rPr>
          <w:rFonts w:ascii="Arial" w:hAnsi="Arial" w:cs="Arial"/>
          <w:b/>
          <w:bCs/>
          <w:color w:val="000000" w:themeColor="text1"/>
          <w:sz w:val="20"/>
          <w:szCs w:val="20"/>
        </w:rPr>
      </w:pPr>
      <w:r w:rsidRPr="00307FD2">
        <w:rPr>
          <w:rFonts w:ascii="Arial" w:hAnsi="Arial" w:cs="Arial"/>
          <w:b/>
          <w:bCs/>
          <w:noProof/>
          <w:color w:val="000000" w:themeColor="text1"/>
          <w:sz w:val="20"/>
          <w:szCs w:val="20"/>
          <w14:ligatures w14:val="standardContextual"/>
        </w:rPr>
        <w:drawing>
          <wp:inline distT="0" distB="0" distL="0" distR="0" wp14:anchorId="1D81CA6F" wp14:editId="269BA4C1">
            <wp:extent cx="5943600" cy="4697730"/>
            <wp:effectExtent l="0" t="0" r="0" b="1270"/>
            <wp:docPr id="1376031177" name="Picture 4"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31177" name="Picture 4" descr="A collage of images of cell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97730"/>
                    </a:xfrm>
                    <a:prstGeom prst="rect">
                      <a:avLst/>
                    </a:prstGeom>
                  </pic:spPr>
                </pic:pic>
              </a:graphicData>
            </a:graphic>
          </wp:inline>
        </w:drawing>
      </w:r>
      <w:r w:rsidR="00EE2F48" w:rsidRPr="00307FD2">
        <w:rPr>
          <w:rFonts w:ascii="Arial" w:hAnsi="Arial" w:cs="Arial"/>
          <w:b/>
          <w:bCs/>
          <w:color w:val="000000" w:themeColor="text1"/>
          <w:sz w:val="20"/>
          <w:szCs w:val="20"/>
        </w:rPr>
        <w:br w:type="page"/>
      </w:r>
    </w:p>
    <w:p w14:paraId="312ACDAA" w14:textId="1CB1C627"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 xml:space="preserve">Figure S4. Ultrastructure of </w:t>
      </w:r>
      <w:r w:rsidRPr="00307FD2">
        <w:rPr>
          <w:rFonts w:ascii="Arial" w:hAnsi="Arial" w:cs="Arial"/>
          <w:b/>
          <w:bCs/>
          <w:i/>
          <w:iCs/>
          <w:color w:val="000000" w:themeColor="text1"/>
          <w:sz w:val="20"/>
          <w:szCs w:val="20"/>
        </w:rPr>
        <w:t>in situ</w:t>
      </w:r>
      <w:r w:rsidRPr="00307FD2">
        <w:rPr>
          <w:rFonts w:ascii="Arial" w:hAnsi="Arial" w:cs="Arial"/>
          <w:b/>
          <w:bCs/>
          <w:color w:val="000000" w:themeColor="text1"/>
          <w:sz w:val="20"/>
          <w:szCs w:val="20"/>
        </w:rPr>
        <w:t xml:space="preserve"> and purified lipofuscin</w:t>
      </w:r>
      <w:r w:rsidR="00BF43F6" w:rsidRPr="00307FD2">
        <w:rPr>
          <w:rFonts w:ascii="Arial" w:hAnsi="Arial" w:cs="Arial"/>
          <w:b/>
          <w:bCs/>
          <w:color w:val="000000" w:themeColor="text1"/>
          <w:sz w:val="20"/>
          <w:szCs w:val="20"/>
        </w:rPr>
        <w:t>.</w:t>
      </w:r>
    </w:p>
    <w:p w14:paraId="5220CA59" w14:textId="63058853"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w:t>
      </w:r>
      <w:r w:rsidRPr="00307FD2">
        <w:rPr>
          <w:rFonts w:ascii="Arial" w:hAnsi="Arial" w:cs="Arial"/>
          <w:color w:val="000000" w:themeColor="text1"/>
          <w:sz w:val="20"/>
          <w:szCs w:val="20"/>
        </w:rPr>
        <w:t xml:space="preserve">) Additional representative electron micrographs of granular osmiophilic deposit (GROD) structures (G) with associated lipid droplets (L) in purified lipofuscin (top) and </w:t>
      </w:r>
      <w:r w:rsidRPr="00307FD2">
        <w:rPr>
          <w:rFonts w:ascii="Arial" w:hAnsi="Arial" w:cs="Arial"/>
          <w:i/>
          <w:iCs/>
          <w:color w:val="000000" w:themeColor="text1"/>
          <w:sz w:val="20"/>
          <w:szCs w:val="20"/>
        </w:rPr>
        <w:t>in situ</w:t>
      </w:r>
      <w:r w:rsidRPr="00307FD2">
        <w:rPr>
          <w:rFonts w:ascii="Arial" w:hAnsi="Arial" w:cs="Arial"/>
          <w:color w:val="000000" w:themeColor="text1"/>
          <w:sz w:val="20"/>
          <w:szCs w:val="20"/>
        </w:rPr>
        <w:t xml:space="preserve"> in KO 7-month and WT 24-month brain (bottom) (scale bars, 250 or 500 nm).</w:t>
      </w:r>
    </w:p>
    <w:p w14:paraId="4EFF9F22" w14:textId="5CDD2E58"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B</w:t>
      </w:r>
      <w:r w:rsidRPr="00307FD2">
        <w:rPr>
          <w:rFonts w:ascii="Arial" w:hAnsi="Arial" w:cs="Arial"/>
          <w:color w:val="000000" w:themeColor="text1"/>
          <w:sz w:val="20"/>
          <w:szCs w:val="20"/>
        </w:rPr>
        <w:t xml:space="preserve">) Quantification of electron micrographs of cytosolic GROD structures/cell in KO 7-month and WT 24-month motor cortex and CA3 of hippocampus (*** indicates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0.001 by two-tailed t-test; WT: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26 cells; KO: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41 cells). </w:t>
      </w:r>
    </w:p>
    <w:p w14:paraId="3F88BD48" w14:textId="4F851086"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C</w:t>
      </w:r>
      <w:r w:rsidRPr="00307FD2">
        <w:rPr>
          <w:rFonts w:ascii="Arial" w:hAnsi="Arial" w:cs="Arial"/>
          <w:color w:val="000000" w:themeColor="text1"/>
          <w:sz w:val="20"/>
          <w:szCs w:val="20"/>
        </w:rPr>
        <w:t xml:space="preserve">) Quantification of percentage (%) of cytosolic area taken up by GROD structures in KO 7-month and WT 24-month motor cortex and CA3 of hippocampus (** indicates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0.01 by two-tailed t-test; WT: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26 cells; KO: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41 cells). </w:t>
      </w:r>
    </w:p>
    <w:p w14:paraId="7BD25C81" w14:textId="45CFFAAE"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D</w:t>
      </w:r>
      <w:r w:rsidRPr="00307FD2">
        <w:rPr>
          <w:rFonts w:ascii="Arial" w:hAnsi="Arial" w:cs="Arial"/>
          <w:color w:val="000000" w:themeColor="text1"/>
          <w:sz w:val="20"/>
          <w:szCs w:val="20"/>
        </w:rPr>
        <w:t xml:space="preserve">) Quantification of number of lipid droplets per cell in KO 7-month and WT 24-month motor cortex and CA3 of hippocampus (***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0.001 by two-tailed t-test; WT: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26 cells; KO: </w:t>
      </w:r>
      <w:r w:rsidRPr="00307FD2">
        <w:rPr>
          <w:rFonts w:ascii="Arial" w:hAnsi="Arial" w:cs="Arial"/>
          <w:i/>
          <w:color w:val="000000" w:themeColor="text1"/>
          <w:sz w:val="20"/>
          <w:szCs w:val="20"/>
        </w:rPr>
        <w:t xml:space="preserve">n = </w:t>
      </w:r>
      <w:r w:rsidRPr="00307FD2">
        <w:rPr>
          <w:rFonts w:ascii="Arial" w:hAnsi="Arial" w:cs="Arial"/>
          <w:color w:val="000000" w:themeColor="text1"/>
          <w:sz w:val="20"/>
          <w:szCs w:val="20"/>
        </w:rPr>
        <w:t xml:space="preserve">41 cells). </w:t>
      </w:r>
    </w:p>
    <w:p w14:paraId="5033A98A" w14:textId="020F6873"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E</w:t>
      </w:r>
      <w:r w:rsidRPr="00307FD2">
        <w:rPr>
          <w:rFonts w:ascii="Arial" w:hAnsi="Arial" w:cs="Arial"/>
          <w:color w:val="000000" w:themeColor="text1"/>
          <w:sz w:val="20"/>
          <w:szCs w:val="20"/>
        </w:rPr>
        <w:t xml:space="preserve">) Additional representative electron micrographs of putative multilamellar lysosomes (red arrowheads) in purified autofluorescent fractions (top) and KO 7-month and WT 24-month brain (bottom) (scale bars, 250 nm or 500 nm; G, GROD). </w:t>
      </w:r>
    </w:p>
    <w:p w14:paraId="68FBE387" w14:textId="62943A56"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F</w:t>
      </w:r>
      <w:r w:rsidRPr="00307FD2">
        <w:rPr>
          <w:rFonts w:ascii="Arial" w:hAnsi="Arial" w:cs="Arial"/>
          <w:color w:val="000000" w:themeColor="text1"/>
          <w:sz w:val="20"/>
          <w:szCs w:val="20"/>
        </w:rPr>
        <w:t>) Representative electron micrographs of mitochondria (M) with disordered, sparse, or degraded cristae</w:t>
      </w:r>
      <w:r w:rsidRPr="00307FD2">
        <w:rPr>
          <w:rFonts w:ascii="Arial" w:hAnsi="Arial" w:cs="Arial"/>
          <w:b/>
          <w:bCs/>
          <w:color w:val="000000" w:themeColor="text1"/>
          <w:sz w:val="20"/>
          <w:szCs w:val="20"/>
        </w:rPr>
        <w:t xml:space="preserve"> </w:t>
      </w:r>
      <w:r w:rsidRPr="00307FD2">
        <w:rPr>
          <w:rFonts w:ascii="Arial" w:hAnsi="Arial" w:cs="Arial"/>
          <w:color w:val="000000" w:themeColor="text1"/>
          <w:sz w:val="20"/>
          <w:szCs w:val="20"/>
        </w:rPr>
        <w:t xml:space="preserve">in putative multilamellar lysosome structures (red arrows) in purified autofluorescent fraction (top) or near synaptic densities in KO 7-month and WT 24-month brain (bottom) (scale bars, 250 or 500 nm).  </w:t>
      </w:r>
    </w:p>
    <w:p w14:paraId="2254AE6D" w14:textId="641EBA76"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G</w:t>
      </w:r>
      <w:r w:rsidRPr="00307FD2">
        <w:rPr>
          <w:rFonts w:ascii="Arial" w:hAnsi="Arial" w:cs="Arial"/>
          <w:color w:val="000000" w:themeColor="text1"/>
          <w:sz w:val="20"/>
          <w:szCs w:val="20"/>
        </w:rPr>
        <w:t xml:space="preserve">) Quantification of mitochondrial number per cell soma in KO 7-month and WT 24-month motor cortex and CA3 of hippocampus (not significant by two-tailed t-test; WT: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30 cells; KO: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40 cells). </w:t>
      </w:r>
    </w:p>
    <w:p w14:paraId="25B45328" w14:textId="3546FC3F"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H</w:t>
      </w:r>
      <w:r w:rsidRPr="00307FD2">
        <w:rPr>
          <w:rFonts w:ascii="Arial" w:hAnsi="Arial" w:cs="Arial"/>
          <w:color w:val="000000" w:themeColor="text1"/>
          <w:sz w:val="20"/>
          <w:szCs w:val="20"/>
        </w:rPr>
        <w:t xml:space="preserve">) Quantification of mitochondrial area in the soma of cells in KO 7-month and WT 24-month motor cortex and CA3 of hippocampus (*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0.05 by unpaired two-tailed t-test; WT: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309 mitochondria; KO: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447 mitochondria). </w:t>
      </w:r>
    </w:p>
    <w:p w14:paraId="1ED8DED5" w14:textId="0BE8EA96" w:rsidR="004D2C86" w:rsidRPr="00307FD2" w:rsidRDefault="00EE2F48" w:rsidP="004D2C86">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I</w:t>
      </w:r>
      <w:r w:rsidRPr="00307FD2">
        <w:rPr>
          <w:rFonts w:ascii="Arial" w:hAnsi="Arial" w:cs="Arial"/>
          <w:color w:val="000000" w:themeColor="text1"/>
          <w:sz w:val="20"/>
          <w:szCs w:val="20"/>
        </w:rPr>
        <w:t xml:space="preserve">) Simple linear regression of Feret’s diameter (maximum caliper) versus </w:t>
      </w:r>
      <w:proofErr w:type="spellStart"/>
      <w:r w:rsidRPr="00307FD2">
        <w:rPr>
          <w:rFonts w:ascii="Arial" w:hAnsi="Arial" w:cs="Arial"/>
          <w:color w:val="000000" w:themeColor="text1"/>
          <w:sz w:val="20"/>
          <w:szCs w:val="20"/>
        </w:rPr>
        <w:t>minFeret’s</w:t>
      </w:r>
      <w:proofErr w:type="spellEnd"/>
      <w:r w:rsidRPr="00307FD2">
        <w:rPr>
          <w:rFonts w:ascii="Arial" w:hAnsi="Arial" w:cs="Arial"/>
          <w:color w:val="000000" w:themeColor="text1"/>
          <w:sz w:val="20"/>
          <w:szCs w:val="20"/>
        </w:rPr>
        <w:t xml:space="preserve"> diameter (minimum caliper) of mitochondria in KO 7-month and WT 24-month motor cortex and CA3 of hippocampus (</w:t>
      </w:r>
      <w:r w:rsidR="004D2C86" w:rsidRPr="00307FD2">
        <w:rPr>
          <w:rFonts w:ascii="Arial" w:hAnsi="Arial" w:cs="Arial"/>
          <w:color w:val="000000" w:themeColor="text1"/>
          <w:sz w:val="20"/>
          <w:szCs w:val="20"/>
        </w:rPr>
        <w:t>KO</w:t>
      </w:r>
      <w:r w:rsidRPr="00307FD2">
        <w:rPr>
          <w:rFonts w:ascii="Arial" w:hAnsi="Arial" w:cs="Arial"/>
          <w:color w:val="000000" w:themeColor="text1"/>
          <w:sz w:val="20"/>
          <w:szCs w:val="20"/>
        </w:rPr>
        <w:t>-7: y = 1.018*X + 0.2587; R</w:t>
      </w:r>
      <w:r w:rsidRPr="00307FD2">
        <w:rPr>
          <w:rFonts w:ascii="Arial" w:hAnsi="Arial" w:cs="Arial"/>
          <w:color w:val="000000" w:themeColor="text1"/>
          <w:sz w:val="20"/>
          <w:szCs w:val="20"/>
          <w:vertAlign w:val="superscript"/>
        </w:rPr>
        <w:t>2</w:t>
      </w:r>
      <w:r w:rsidRPr="00307FD2">
        <w:rPr>
          <w:rFonts w:ascii="Arial" w:hAnsi="Arial" w:cs="Arial"/>
          <w:color w:val="000000" w:themeColor="text1"/>
          <w:sz w:val="20"/>
          <w:szCs w:val="20"/>
        </w:rPr>
        <w:t xml:space="preserve"> = 0.2582; WT-24:  Y = 1.675*X + 0.07064; R</w:t>
      </w:r>
      <w:r w:rsidRPr="00307FD2">
        <w:rPr>
          <w:rFonts w:ascii="Arial" w:hAnsi="Arial" w:cs="Arial"/>
          <w:color w:val="000000" w:themeColor="text1"/>
          <w:sz w:val="20"/>
          <w:szCs w:val="20"/>
          <w:vertAlign w:val="superscript"/>
        </w:rPr>
        <w:t>2</w:t>
      </w:r>
      <w:r w:rsidRPr="00307FD2">
        <w:rPr>
          <w:rFonts w:ascii="Arial" w:hAnsi="Arial" w:cs="Arial"/>
          <w:color w:val="000000" w:themeColor="text1"/>
          <w:sz w:val="20"/>
          <w:szCs w:val="20"/>
        </w:rPr>
        <w:t xml:space="preserve"> = 0.3524;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0.0001 by F-test; WT: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309 mitochondria; KO: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447 mitochondria). Blue dashed line represents perfect circularity (Y = 1*X). </w:t>
      </w:r>
    </w:p>
    <w:p w14:paraId="62CEF47D" w14:textId="3277FDE4" w:rsidR="004D2C86" w:rsidRPr="00307FD2" w:rsidRDefault="004D2C86" w:rsidP="004D2C86">
      <w:pPr>
        <w:jc w:val="both"/>
        <w:rPr>
          <w:rFonts w:ascii="Arial" w:hAnsi="Arial" w:cs="Arial"/>
          <w:color w:val="000000" w:themeColor="text1"/>
          <w:sz w:val="20"/>
          <w:szCs w:val="20"/>
        </w:rPr>
        <w:sectPr w:rsidR="004D2C86" w:rsidRPr="00307FD2" w:rsidSect="00CD3A05">
          <w:footerReference w:type="even" r:id="rId10"/>
          <w:footerReference w:type="default" r:id="rId11"/>
          <w:pgSz w:w="12240" w:h="15840"/>
          <w:pgMar w:top="1440" w:right="1440" w:bottom="1440" w:left="1440" w:header="720" w:footer="720" w:gutter="0"/>
          <w:lnNumType w:countBy="1" w:restart="continuous"/>
          <w:cols w:space="720"/>
          <w:docGrid w:linePitch="360"/>
        </w:sectPr>
      </w:pPr>
      <w:r w:rsidRPr="00307FD2">
        <w:rPr>
          <w:rFonts w:ascii="Arial" w:hAnsi="Arial" w:cs="Arial"/>
          <w:color w:val="000000" w:themeColor="text1"/>
          <w:sz w:val="20"/>
          <w:szCs w:val="20"/>
        </w:rPr>
        <w:t xml:space="preserve">KO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xml:space="preserve"> and WT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throughout.</w:t>
      </w:r>
    </w:p>
    <w:p w14:paraId="121DE91A" w14:textId="02461F6F"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S5.</w:t>
      </w:r>
    </w:p>
    <w:p w14:paraId="20845886" w14:textId="3BC7EBB9" w:rsidR="00EE2F48" w:rsidRPr="00307FD2" w:rsidRDefault="00C872BB" w:rsidP="00EE2F48">
      <w:pPr>
        <w:spacing w:line="278" w:lineRule="auto"/>
        <w:rPr>
          <w:rFonts w:ascii="Arial" w:hAnsi="Arial" w:cs="Arial"/>
          <w:b/>
          <w:bCs/>
          <w:color w:val="000000" w:themeColor="text1"/>
          <w:sz w:val="20"/>
          <w:szCs w:val="20"/>
          <w:highlight w:val="yellow"/>
        </w:rPr>
      </w:pPr>
      <w:r w:rsidRPr="00307FD2">
        <w:rPr>
          <w:rFonts w:ascii="Arial" w:hAnsi="Arial" w:cs="Arial"/>
          <w:b/>
          <w:bCs/>
          <w:noProof/>
          <w:color w:val="000000" w:themeColor="text1"/>
          <w:sz w:val="20"/>
          <w:szCs w:val="20"/>
          <w14:ligatures w14:val="standardContextual"/>
        </w:rPr>
        <w:drawing>
          <wp:inline distT="0" distB="0" distL="0" distR="0" wp14:anchorId="7FAAF45E" wp14:editId="054A5F68">
            <wp:extent cx="5943600" cy="2967990"/>
            <wp:effectExtent l="0" t="0" r="0" b="3810"/>
            <wp:docPr id="752213149" name="Picture 5"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13149" name="Picture 5" descr="A collage of graphs and diagram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67990"/>
                    </a:xfrm>
                    <a:prstGeom prst="rect">
                      <a:avLst/>
                    </a:prstGeom>
                  </pic:spPr>
                </pic:pic>
              </a:graphicData>
            </a:graphic>
          </wp:inline>
        </w:drawing>
      </w:r>
      <w:r w:rsidR="00EE2F48" w:rsidRPr="00307FD2">
        <w:rPr>
          <w:rFonts w:ascii="Arial" w:hAnsi="Arial" w:cs="Arial"/>
          <w:b/>
          <w:bCs/>
          <w:color w:val="000000" w:themeColor="text1"/>
          <w:sz w:val="20"/>
          <w:szCs w:val="20"/>
          <w:highlight w:val="yellow"/>
        </w:rPr>
        <w:br w:type="page"/>
      </w:r>
    </w:p>
    <w:p w14:paraId="1044CA80" w14:textId="6D4D199F" w:rsidR="00EE2F48" w:rsidRPr="00307FD2" w:rsidRDefault="00EE2F48" w:rsidP="00EE2F48">
      <w:pPr>
        <w:spacing w:line="278" w:lineRule="auto"/>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 xml:space="preserve">Figure S5. PPT1 </w:t>
      </w:r>
      <w:r w:rsidR="00DE3641" w:rsidRPr="00307FD2">
        <w:rPr>
          <w:rFonts w:ascii="Arial" w:hAnsi="Arial" w:cs="Arial"/>
          <w:b/>
          <w:bCs/>
          <w:color w:val="000000" w:themeColor="text1"/>
          <w:sz w:val="20"/>
          <w:szCs w:val="20"/>
        </w:rPr>
        <w:t>deficiency</w:t>
      </w:r>
      <w:r w:rsidRPr="00307FD2">
        <w:rPr>
          <w:rFonts w:ascii="Arial" w:hAnsi="Arial" w:cs="Arial"/>
          <w:b/>
          <w:bCs/>
          <w:color w:val="000000" w:themeColor="text1"/>
          <w:sz w:val="20"/>
          <w:szCs w:val="20"/>
        </w:rPr>
        <w:t xml:space="preserve"> causes aberrant mitochondrial flux</w:t>
      </w:r>
      <w:r w:rsidR="00BF43F6" w:rsidRPr="00307FD2">
        <w:rPr>
          <w:rFonts w:ascii="Arial" w:hAnsi="Arial" w:cs="Arial"/>
          <w:b/>
          <w:bCs/>
          <w:color w:val="000000" w:themeColor="text1"/>
          <w:sz w:val="20"/>
          <w:szCs w:val="20"/>
        </w:rPr>
        <w:t>.</w:t>
      </w:r>
    </w:p>
    <w:p w14:paraId="3A193E5B" w14:textId="24FDEB49"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w:t>
      </w:r>
      <w:r w:rsidRPr="00307FD2">
        <w:rPr>
          <w:rFonts w:ascii="Arial" w:hAnsi="Arial" w:cs="Arial"/>
          <w:color w:val="000000" w:themeColor="text1"/>
          <w:sz w:val="20"/>
          <w:szCs w:val="20"/>
        </w:rPr>
        <w:t xml:space="preserve">) PPT1 enzyme activity in CRISPR-engineered HEK293T </w:t>
      </w:r>
      <w:r w:rsidRPr="00307FD2">
        <w:rPr>
          <w:rFonts w:ascii="Arial" w:hAnsi="Arial" w:cs="Arial"/>
          <w:i/>
          <w:iCs/>
          <w:color w:val="000000" w:themeColor="text1"/>
          <w:sz w:val="20"/>
          <w:szCs w:val="20"/>
        </w:rPr>
        <w:t>PPT1</w:t>
      </w:r>
      <w:r w:rsidR="00DE3641"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xml:space="preserve"> </w:t>
      </w:r>
      <w:r w:rsidR="00DE3641" w:rsidRPr="00307FD2">
        <w:rPr>
          <w:rFonts w:ascii="Arial" w:hAnsi="Arial" w:cs="Arial"/>
          <w:color w:val="000000" w:themeColor="text1"/>
          <w:sz w:val="20"/>
          <w:szCs w:val="20"/>
        </w:rPr>
        <w:t>(</w:t>
      </w:r>
      <w:r w:rsidRPr="00307FD2">
        <w:rPr>
          <w:rFonts w:ascii="Arial" w:hAnsi="Arial" w:cs="Arial"/>
          <w:color w:val="000000" w:themeColor="text1"/>
          <w:sz w:val="20"/>
          <w:szCs w:val="20"/>
        </w:rPr>
        <w:t>KO</w:t>
      </w:r>
      <w:r w:rsidR="00DE3641" w:rsidRPr="00307FD2">
        <w:rPr>
          <w:rFonts w:ascii="Arial" w:hAnsi="Arial" w:cs="Arial"/>
          <w:color w:val="000000" w:themeColor="text1"/>
          <w:sz w:val="20"/>
          <w:szCs w:val="20"/>
        </w:rPr>
        <w:t>)</w:t>
      </w:r>
      <w:r w:rsidRPr="00307FD2">
        <w:rPr>
          <w:rFonts w:ascii="Arial" w:hAnsi="Arial" w:cs="Arial"/>
          <w:color w:val="000000" w:themeColor="text1"/>
          <w:sz w:val="20"/>
          <w:szCs w:val="20"/>
        </w:rPr>
        <w:t xml:space="preserve"> cells and WT controls normalized to protein concentration (µg) determined by BCA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2 independent cultures). </w:t>
      </w:r>
    </w:p>
    <w:p w14:paraId="757A0930"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B</w:t>
      </w:r>
      <w:r w:rsidRPr="00307FD2">
        <w:rPr>
          <w:rFonts w:ascii="Arial" w:hAnsi="Arial" w:cs="Arial"/>
          <w:color w:val="000000" w:themeColor="text1"/>
          <w:sz w:val="20"/>
          <w:szCs w:val="20"/>
        </w:rPr>
        <w:t>) Mitochondrial stress test with nutrient-deprivation performed on control (WT) and CRISPR-engineered PPT1 KO HEK293T cells, with sequential injections of mitochondrial inhibitors, (</w:t>
      </w:r>
      <w:proofErr w:type="spellStart"/>
      <w:r w:rsidRPr="00307FD2">
        <w:rPr>
          <w:rFonts w:ascii="Arial" w:hAnsi="Arial" w:cs="Arial"/>
          <w:color w:val="000000" w:themeColor="text1"/>
          <w:sz w:val="20"/>
          <w:szCs w:val="20"/>
        </w:rPr>
        <w:t>i</w:t>
      </w:r>
      <w:proofErr w:type="spellEnd"/>
      <w:r w:rsidRPr="00307FD2">
        <w:rPr>
          <w:rFonts w:ascii="Arial" w:hAnsi="Arial" w:cs="Arial"/>
          <w:color w:val="000000" w:themeColor="text1"/>
          <w:sz w:val="20"/>
          <w:szCs w:val="20"/>
        </w:rPr>
        <w:t xml:space="preserve">) oligomycin A, (ii) FCCP, and (iii) rotenone/antimycin A (represented by vertical blue dashed lines), to determine effects on oxygen consumption rate (OCR). OCR measurements are normalized to cell number (per thousand cells) in each well. Parameters calculated from this metabolic flux signature are shown in the following panels. </w:t>
      </w:r>
    </w:p>
    <w:p w14:paraId="65BF785C"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C</w:t>
      </w:r>
      <w:r w:rsidRPr="00307FD2">
        <w:rPr>
          <w:rFonts w:ascii="Arial" w:hAnsi="Arial" w:cs="Arial"/>
          <w:color w:val="000000" w:themeColor="text1"/>
          <w:sz w:val="20"/>
          <w:szCs w:val="20"/>
        </w:rPr>
        <w:t xml:space="preserve">) Basal respiration. </w:t>
      </w:r>
    </w:p>
    <w:p w14:paraId="7D796046"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D</w:t>
      </w:r>
      <w:r w:rsidRPr="00307FD2">
        <w:rPr>
          <w:rFonts w:ascii="Arial" w:hAnsi="Arial" w:cs="Arial"/>
          <w:color w:val="000000" w:themeColor="text1"/>
          <w:sz w:val="20"/>
          <w:szCs w:val="20"/>
        </w:rPr>
        <w:t xml:space="preserve">) ATP production. </w:t>
      </w:r>
    </w:p>
    <w:p w14:paraId="346F4B20"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E</w:t>
      </w:r>
      <w:r w:rsidRPr="00307FD2">
        <w:rPr>
          <w:rFonts w:ascii="Arial" w:hAnsi="Arial" w:cs="Arial"/>
          <w:color w:val="000000" w:themeColor="text1"/>
          <w:sz w:val="20"/>
          <w:szCs w:val="20"/>
        </w:rPr>
        <w:t xml:space="preserve">) Coupling efficiency percent (%) (ATP production/basal respiration). </w:t>
      </w:r>
    </w:p>
    <w:p w14:paraId="2CA1E178"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F</w:t>
      </w:r>
      <w:r w:rsidRPr="00307FD2">
        <w:rPr>
          <w:rFonts w:ascii="Arial" w:hAnsi="Arial" w:cs="Arial"/>
          <w:color w:val="000000" w:themeColor="text1"/>
          <w:sz w:val="20"/>
          <w:szCs w:val="20"/>
        </w:rPr>
        <w:t xml:space="preserve">) Extracellular acidification rate (ECAR) with mitochondrial inhibitor injections as in panel A. </w:t>
      </w:r>
    </w:p>
    <w:p w14:paraId="59538013"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G</w:t>
      </w:r>
      <w:r w:rsidRPr="00307FD2">
        <w:rPr>
          <w:rFonts w:ascii="Arial" w:hAnsi="Arial" w:cs="Arial"/>
          <w:color w:val="000000" w:themeColor="text1"/>
          <w:sz w:val="20"/>
          <w:szCs w:val="20"/>
        </w:rPr>
        <w:t xml:space="preserve">) Proton leak. </w:t>
      </w:r>
    </w:p>
    <w:p w14:paraId="73653DAE"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H</w:t>
      </w:r>
      <w:r w:rsidRPr="00307FD2">
        <w:rPr>
          <w:rFonts w:ascii="Arial" w:hAnsi="Arial" w:cs="Arial"/>
          <w:color w:val="000000" w:themeColor="text1"/>
          <w:sz w:val="20"/>
          <w:szCs w:val="20"/>
        </w:rPr>
        <w:t xml:space="preserve">) Maximal respiration. </w:t>
      </w:r>
    </w:p>
    <w:p w14:paraId="1F2D61D0" w14:textId="77777777" w:rsidR="00555EF0" w:rsidRPr="00307FD2" w:rsidRDefault="00EE2F48" w:rsidP="00CD3A05">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I</w:t>
      </w:r>
      <w:r w:rsidRPr="00307FD2">
        <w:rPr>
          <w:rFonts w:ascii="Arial" w:hAnsi="Arial" w:cs="Arial"/>
          <w:color w:val="000000" w:themeColor="text1"/>
          <w:sz w:val="20"/>
          <w:szCs w:val="20"/>
        </w:rPr>
        <w:t xml:space="preserve">) Percentage of spare respiratory capacity (%) (maximal respiration/basal respiration). Data are mean ± SD. *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0.05, **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0.01, ***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0.001, **** </w:t>
      </w:r>
      <w:r w:rsidRPr="00307FD2">
        <w:rPr>
          <w:rFonts w:ascii="Arial" w:hAnsi="Arial" w:cs="Arial"/>
          <w:i/>
          <w:iCs/>
          <w:color w:val="000000" w:themeColor="text1"/>
          <w:sz w:val="20"/>
          <w:szCs w:val="20"/>
        </w:rPr>
        <w:t xml:space="preserve">p </w:t>
      </w:r>
      <w:r w:rsidRPr="00307FD2">
        <w:rPr>
          <w:rFonts w:ascii="Arial" w:hAnsi="Arial" w:cs="Arial"/>
          <w:color w:val="000000" w:themeColor="text1"/>
          <w:sz w:val="20"/>
          <w:szCs w:val="20"/>
        </w:rPr>
        <w:t>&lt; 0.0001 by unpaired two-tailed t-test. Data shown are representative results from one of two independent experiments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9-10 replicate wells/genotype). </w:t>
      </w:r>
    </w:p>
    <w:p w14:paraId="3F5DBB79" w14:textId="7C688C04" w:rsidR="00555EF0" w:rsidRPr="00307FD2" w:rsidRDefault="00555EF0" w:rsidP="00555EF0">
      <w:pPr>
        <w:jc w:val="both"/>
        <w:rPr>
          <w:rFonts w:ascii="Arial" w:hAnsi="Arial" w:cs="Arial"/>
          <w:color w:val="000000" w:themeColor="text1"/>
          <w:sz w:val="20"/>
          <w:szCs w:val="20"/>
        </w:rPr>
        <w:sectPr w:rsidR="00555EF0" w:rsidRPr="00307FD2" w:rsidSect="00555EF0">
          <w:footerReference w:type="even" r:id="rId13"/>
          <w:footerReference w:type="default" r:id="rId14"/>
          <w:pgSz w:w="12240" w:h="15840"/>
          <w:pgMar w:top="1440" w:right="1440" w:bottom="1440" w:left="1440" w:header="720" w:footer="720" w:gutter="0"/>
          <w:lnNumType w:countBy="1" w:restart="continuous"/>
          <w:cols w:space="720"/>
          <w:docGrid w:linePitch="360"/>
        </w:sectPr>
      </w:pPr>
      <w:r w:rsidRPr="00307FD2">
        <w:rPr>
          <w:rFonts w:ascii="Arial" w:hAnsi="Arial" w:cs="Arial"/>
          <w:color w:val="000000" w:themeColor="text1"/>
          <w:sz w:val="20"/>
          <w:szCs w:val="20"/>
        </w:rPr>
        <w:t xml:space="preserve">KO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xml:space="preserve"> and WT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throughou</w:t>
      </w:r>
      <w:r w:rsidR="005E02A9" w:rsidRPr="00307FD2">
        <w:rPr>
          <w:rFonts w:ascii="Arial" w:hAnsi="Arial" w:cs="Arial"/>
          <w:color w:val="000000" w:themeColor="text1"/>
          <w:sz w:val="20"/>
          <w:szCs w:val="20"/>
        </w:rPr>
        <w:t>t.</w:t>
      </w:r>
    </w:p>
    <w:p w14:paraId="36FD9F71" w14:textId="1A7C2534" w:rsidR="00C872BB"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S6.</w:t>
      </w:r>
      <w:r w:rsidR="00C872BB" w:rsidRPr="00307FD2">
        <w:rPr>
          <w:rFonts w:ascii="Arial" w:hAnsi="Arial" w:cs="Arial"/>
          <w:b/>
          <w:bCs/>
          <w:noProof/>
          <w:color w:val="000000" w:themeColor="text1"/>
          <w:sz w:val="20"/>
          <w:szCs w:val="20"/>
          <w14:ligatures w14:val="standardContextual"/>
        </w:rPr>
        <w:t xml:space="preserve"> </w:t>
      </w:r>
    </w:p>
    <w:p w14:paraId="5BD801B0" w14:textId="6090FA35" w:rsidR="00EE2F48" w:rsidRPr="00307FD2" w:rsidRDefault="00C872BB" w:rsidP="004D7FF5">
      <w:pPr>
        <w:jc w:val="center"/>
        <w:rPr>
          <w:rFonts w:ascii="Arial" w:hAnsi="Arial" w:cs="Arial"/>
          <w:b/>
          <w:bCs/>
          <w:color w:val="000000" w:themeColor="text1"/>
          <w:sz w:val="20"/>
          <w:szCs w:val="20"/>
        </w:rPr>
      </w:pPr>
      <w:r w:rsidRPr="00307FD2">
        <w:rPr>
          <w:rFonts w:ascii="Arial" w:hAnsi="Arial" w:cs="Arial"/>
          <w:b/>
          <w:bCs/>
          <w:noProof/>
          <w:color w:val="000000" w:themeColor="text1"/>
          <w:sz w:val="20"/>
          <w:szCs w:val="20"/>
          <w14:ligatures w14:val="standardContextual"/>
        </w:rPr>
        <w:drawing>
          <wp:inline distT="0" distB="0" distL="0" distR="0" wp14:anchorId="66E8D231" wp14:editId="31437E20">
            <wp:extent cx="4583075" cy="7772400"/>
            <wp:effectExtent l="0" t="0" r="1905" b="0"/>
            <wp:docPr id="2107852748" name="Picture 6" descr="A graph of different types of pathw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2748" name="Picture 6" descr="A graph of different types of pathway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3075" cy="7772400"/>
                    </a:xfrm>
                    <a:prstGeom prst="rect">
                      <a:avLst/>
                    </a:prstGeom>
                  </pic:spPr>
                </pic:pic>
              </a:graphicData>
            </a:graphic>
          </wp:inline>
        </w:drawing>
      </w:r>
    </w:p>
    <w:p w14:paraId="207AF35A" w14:textId="78AB09F7"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Figure S6. Ingenuity Pathway Analysis (IPA) of lipofuscin proteins</w:t>
      </w:r>
      <w:r w:rsidR="00BF43F6" w:rsidRPr="00307FD2">
        <w:rPr>
          <w:rFonts w:ascii="Arial" w:hAnsi="Arial" w:cs="Arial"/>
          <w:b/>
          <w:bCs/>
          <w:color w:val="000000" w:themeColor="text1"/>
          <w:sz w:val="20"/>
          <w:szCs w:val="20"/>
        </w:rPr>
        <w:t>.</w:t>
      </w:r>
    </w:p>
    <w:p w14:paraId="27D697C4"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 xml:space="preserve">Top 10 canonical pathways by Ingenuity Pathway Analysis of: </w:t>
      </w:r>
    </w:p>
    <w:p w14:paraId="6E890C66" w14:textId="0F645102"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w:t>
      </w:r>
      <w:r w:rsidRPr="00307FD2">
        <w:rPr>
          <w:rFonts w:ascii="Arial" w:hAnsi="Arial" w:cs="Arial"/>
          <w:color w:val="000000" w:themeColor="text1"/>
          <w:sz w:val="20"/>
          <w:szCs w:val="20"/>
        </w:rPr>
        <w:t>) Consensus KO lipofuscin proteins across timepoints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745) (</w:t>
      </w:r>
      <w:r w:rsidRPr="00307FD2">
        <w:rPr>
          <w:rFonts w:ascii="Arial" w:hAnsi="Arial" w:cs="Arial"/>
          <w:b/>
          <w:bCs/>
          <w:color w:val="000000" w:themeColor="text1"/>
          <w:sz w:val="20"/>
          <w:szCs w:val="20"/>
        </w:rPr>
        <w:t>Fig. 3A</w:t>
      </w:r>
      <w:r w:rsidRPr="00307FD2">
        <w:rPr>
          <w:rFonts w:ascii="Arial" w:hAnsi="Arial" w:cs="Arial"/>
          <w:color w:val="000000" w:themeColor="text1"/>
          <w:sz w:val="20"/>
          <w:szCs w:val="20"/>
        </w:rPr>
        <w:t xml:space="preserve">). </w:t>
      </w:r>
    </w:p>
    <w:p w14:paraId="1AAD88DD"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B</w:t>
      </w: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 xml:space="preserve"> </w:t>
      </w:r>
      <w:r w:rsidRPr="00307FD2">
        <w:rPr>
          <w:rFonts w:ascii="Arial" w:hAnsi="Arial" w:cs="Arial"/>
          <w:color w:val="000000" w:themeColor="text1"/>
          <w:sz w:val="20"/>
          <w:szCs w:val="20"/>
        </w:rPr>
        <w:t>Consensus WT lipofuscin proteins across timepoints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957) (</w:t>
      </w:r>
      <w:r w:rsidRPr="00307FD2">
        <w:rPr>
          <w:rFonts w:ascii="Arial" w:hAnsi="Arial" w:cs="Arial"/>
          <w:b/>
          <w:bCs/>
          <w:color w:val="000000" w:themeColor="text1"/>
          <w:sz w:val="20"/>
          <w:szCs w:val="20"/>
        </w:rPr>
        <w:t>Fig. 3A</w:t>
      </w:r>
      <w:r w:rsidRPr="00307FD2">
        <w:rPr>
          <w:rFonts w:ascii="Arial" w:hAnsi="Arial" w:cs="Arial"/>
          <w:color w:val="000000" w:themeColor="text1"/>
          <w:sz w:val="20"/>
          <w:szCs w:val="20"/>
        </w:rPr>
        <w:t xml:space="preserve">). </w:t>
      </w:r>
    </w:p>
    <w:p w14:paraId="0E6837AB" w14:textId="030FEAFC"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C</w:t>
      </w: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 xml:space="preserve"> </w:t>
      </w:r>
      <w:r w:rsidRPr="00307FD2">
        <w:rPr>
          <w:rFonts w:ascii="Arial" w:hAnsi="Arial" w:cs="Arial"/>
          <w:color w:val="000000" w:themeColor="text1"/>
          <w:sz w:val="20"/>
          <w:szCs w:val="20"/>
        </w:rPr>
        <w:t>Significantly upregulated lipofuscin proteins in KO 7-month/WT 24-month samples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83) (</w:t>
      </w:r>
      <w:r w:rsidRPr="00307FD2">
        <w:rPr>
          <w:rFonts w:ascii="Arial" w:hAnsi="Arial" w:cs="Arial"/>
          <w:b/>
          <w:bCs/>
          <w:color w:val="000000" w:themeColor="text1"/>
          <w:sz w:val="20"/>
          <w:szCs w:val="20"/>
        </w:rPr>
        <w:t>Fig. 3N</w:t>
      </w:r>
      <w:r w:rsidRPr="00307FD2">
        <w:rPr>
          <w:rFonts w:ascii="Arial" w:hAnsi="Arial" w:cs="Arial"/>
          <w:color w:val="000000" w:themeColor="text1"/>
          <w:sz w:val="20"/>
          <w:szCs w:val="20"/>
        </w:rPr>
        <w:t xml:space="preserve">). </w:t>
      </w:r>
    </w:p>
    <w:p w14:paraId="4F2C4322" w14:textId="7D3745AF"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D</w:t>
      </w: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 xml:space="preserve"> </w:t>
      </w:r>
      <w:r w:rsidRPr="00307FD2">
        <w:rPr>
          <w:rFonts w:ascii="Arial" w:hAnsi="Arial" w:cs="Arial"/>
          <w:color w:val="000000" w:themeColor="text1"/>
          <w:sz w:val="20"/>
          <w:szCs w:val="20"/>
        </w:rPr>
        <w:t>Significantly downregulated lipofuscin proteins in KO 7-month/WT 24-month samples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348) (</w:t>
      </w:r>
      <w:r w:rsidRPr="00307FD2">
        <w:rPr>
          <w:rFonts w:ascii="Arial" w:hAnsi="Arial" w:cs="Arial"/>
          <w:b/>
          <w:bCs/>
          <w:color w:val="000000" w:themeColor="text1"/>
          <w:sz w:val="20"/>
          <w:szCs w:val="20"/>
        </w:rPr>
        <w:t>Fig. 3N</w:t>
      </w:r>
      <w:r w:rsidRPr="00307FD2">
        <w:rPr>
          <w:rFonts w:ascii="Arial" w:hAnsi="Arial" w:cs="Arial"/>
          <w:color w:val="000000" w:themeColor="text1"/>
          <w:sz w:val="20"/>
          <w:szCs w:val="20"/>
        </w:rPr>
        <w:t xml:space="preserve">). </w:t>
      </w:r>
    </w:p>
    <w:p w14:paraId="4AD8EDE0" w14:textId="77777777" w:rsidR="00F7667E" w:rsidRPr="00307FD2" w:rsidRDefault="00EE2F48" w:rsidP="00F7667E">
      <w:pPr>
        <w:jc w:val="both"/>
        <w:rPr>
          <w:rFonts w:ascii="Arial" w:hAnsi="Arial" w:cs="Arial"/>
          <w:color w:val="000000" w:themeColor="text1"/>
          <w:sz w:val="20"/>
          <w:szCs w:val="20"/>
        </w:rPr>
        <w:sectPr w:rsidR="00F7667E" w:rsidRPr="00307FD2" w:rsidSect="00F7667E">
          <w:footerReference w:type="even" r:id="rId16"/>
          <w:footerReference w:type="default" r:id="rId17"/>
          <w:pgSz w:w="12240" w:h="15840"/>
          <w:pgMar w:top="1440" w:right="1440" w:bottom="1440" w:left="1440" w:header="720" w:footer="720" w:gutter="0"/>
          <w:lnNumType w:countBy="1" w:restart="continuous"/>
          <w:cols w:space="720"/>
          <w:docGrid w:linePitch="360"/>
        </w:sectPr>
      </w:pPr>
      <w:r w:rsidRPr="00307FD2">
        <w:rPr>
          <w:rFonts w:ascii="Arial" w:hAnsi="Arial" w:cs="Arial"/>
          <w:color w:val="000000" w:themeColor="text1"/>
          <w:sz w:val="20"/>
          <w:szCs w:val="20"/>
        </w:rPr>
        <w:t xml:space="preserve">Blue dashed line indicates significance threshold at p = 0.05, throughout. </w:t>
      </w:r>
      <w:r w:rsidR="00F7667E" w:rsidRPr="00307FD2">
        <w:rPr>
          <w:rFonts w:ascii="Arial" w:hAnsi="Arial" w:cs="Arial"/>
          <w:color w:val="000000" w:themeColor="text1"/>
          <w:sz w:val="20"/>
          <w:szCs w:val="20"/>
        </w:rPr>
        <w:t xml:space="preserve">KO = </w:t>
      </w:r>
      <w:r w:rsidR="00F7667E" w:rsidRPr="00307FD2">
        <w:rPr>
          <w:rFonts w:ascii="Arial" w:hAnsi="Arial" w:cs="Arial"/>
          <w:i/>
          <w:iCs/>
          <w:color w:val="000000" w:themeColor="text1"/>
          <w:sz w:val="20"/>
          <w:szCs w:val="20"/>
        </w:rPr>
        <w:t>Ppt1</w:t>
      </w:r>
      <w:r w:rsidR="00F7667E" w:rsidRPr="00307FD2">
        <w:rPr>
          <w:rFonts w:ascii="Arial" w:hAnsi="Arial" w:cs="Arial"/>
          <w:i/>
          <w:iCs/>
          <w:color w:val="000000" w:themeColor="text1"/>
          <w:sz w:val="20"/>
          <w:szCs w:val="20"/>
          <w:vertAlign w:val="superscript"/>
        </w:rPr>
        <w:t>-/-</w:t>
      </w:r>
      <w:r w:rsidR="00F7667E" w:rsidRPr="00307FD2">
        <w:rPr>
          <w:rFonts w:ascii="Arial" w:hAnsi="Arial" w:cs="Arial"/>
          <w:color w:val="000000" w:themeColor="text1"/>
          <w:sz w:val="20"/>
          <w:szCs w:val="20"/>
        </w:rPr>
        <w:t xml:space="preserve"> and WT = </w:t>
      </w:r>
      <w:r w:rsidR="00F7667E" w:rsidRPr="00307FD2">
        <w:rPr>
          <w:rFonts w:ascii="Arial" w:hAnsi="Arial" w:cs="Arial"/>
          <w:i/>
          <w:iCs/>
          <w:color w:val="000000" w:themeColor="text1"/>
          <w:sz w:val="20"/>
          <w:szCs w:val="20"/>
        </w:rPr>
        <w:t>Ppt1</w:t>
      </w:r>
      <w:r w:rsidR="00F7667E" w:rsidRPr="00307FD2">
        <w:rPr>
          <w:rFonts w:ascii="Arial" w:hAnsi="Arial" w:cs="Arial"/>
          <w:i/>
          <w:iCs/>
          <w:color w:val="000000" w:themeColor="text1"/>
          <w:sz w:val="20"/>
          <w:szCs w:val="20"/>
          <w:vertAlign w:val="superscript"/>
        </w:rPr>
        <w:t>+/+</w:t>
      </w:r>
      <w:r w:rsidR="00F7667E" w:rsidRPr="00307FD2">
        <w:rPr>
          <w:rFonts w:ascii="Arial" w:hAnsi="Arial" w:cs="Arial"/>
          <w:color w:val="000000" w:themeColor="text1"/>
          <w:sz w:val="20"/>
          <w:szCs w:val="20"/>
        </w:rPr>
        <w:t>,</w:t>
      </w:r>
      <w:r w:rsidR="00F7667E" w:rsidRPr="00307FD2">
        <w:rPr>
          <w:rFonts w:ascii="Arial" w:hAnsi="Arial" w:cs="Arial"/>
          <w:i/>
          <w:iCs/>
          <w:color w:val="000000" w:themeColor="text1"/>
          <w:sz w:val="20"/>
          <w:szCs w:val="20"/>
        </w:rPr>
        <w:t xml:space="preserve"> </w:t>
      </w:r>
      <w:r w:rsidR="00F7667E" w:rsidRPr="00307FD2">
        <w:rPr>
          <w:rFonts w:ascii="Arial" w:hAnsi="Arial" w:cs="Arial"/>
          <w:color w:val="000000" w:themeColor="text1"/>
          <w:sz w:val="20"/>
          <w:szCs w:val="20"/>
        </w:rPr>
        <w:t>throughout.</w:t>
      </w:r>
    </w:p>
    <w:p w14:paraId="7AF15D90" w14:textId="77777777" w:rsidR="00EE2F48" w:rsidRPr="00307FD2" w:rsidRDefault="00EE2F48" w:rsidP="00EE2F48">
      <w:pPr>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S7.</w:t>
      </w:r>
    </w:p>
    <w:p w14:paraId="189F513B" w14:textId="306151AD" w:rsidR="00EE2F48" w:rsidRPr="00307FD2" w:rsidRDefault="008513F0" w:rsidP="00EE2F48">
      <w:pPr>
        <w:rPr>
          <w:rFonts w:ascii="Arial" w:hAnsi="Arial" w:cs="Arial"/>
          <w:b/>
          <w:bCs/>
          <w:color w:val="000000" w:themeColor="text1"/>
          <w:sz w:val="20"/>
          <w:szCs w:val="20"/>
        </w:rPr>
      </w:pPr>
      <w:r w:rsidRPr="00307FD2">
        <w:rPr>
          <w:rFonts w:ascii="Arial" w:hAnsi="Arial" w:cs="Arial"/>
          <w:b/>
          <w:bCs/>
          <w:noProof/>
          <w:color w:val="000000" w:themeColor="text1"/>
          <w:sz w:val="20"/>
          <w:szCs w:val="20"/>
          <w14:ligatures w14:val="standardContextual"/>
        </w:rPr>
        <w:drawing>
          <wp:inline distT="0" distB="0" distL="0" distR="0" wp14:anchorId="20873377" wp14:editId="58C24E52">
            <wp:extent cx="5943600" cy="6374765"/>
            <wp:effectExtent l="0" t="0" r="0" b="635"/>
            <wp:docPr id="451641143" name="Picture 7" descr="A collage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41143" name="Picture 7" descr="A collage of a dia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374765"/>
                    </a:xfrm>
                    <a:prstGeom prst="rect">
                      <a:avLst/>
                    </a:prstGeom>
                  </pic:spPr>
                </pic:pic>
              </a:graphicData>
            </a:graphic>
          </wp:inline>
        </w:drawing>
      </w:r>
      <w:r w:rsidR="00EE2F48" w:rsidRPr="00307FD2">
        <w:rPr>
          <w:rFonts w:ascii="Arial" w:hAnsi="Arial" w:cs="Arial"/>
          <w:b/>
          <w:bCs/>
          <w:color w:val="000000" w:themeColor="text1"/>
          <w:sz w:val="20"/>
          <w:szCs w:val="20"/>
        </w:rPr>
        <w:br w:type="page"/>
      </w:r>
    </w:p>
    <w:p w14:paraId="07627752" w14:textId="3B880E1A"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Figure S7. Levels and activity of enzymes implicated in lipofuscin biogenesis</w:t>
      </w:r>
      <w:r w:rsidR="00BF43F6" w:rsidRPr="00307FD2">
        <w:rPr>
          <w:rFonts w:ascii="Arial" w:hAnsi="Arial" w:cs="Arial"/>
          <w:b/>
          <w:bCs/>
          <w:color w:val="000000" w:themeColor="text1"/>
          <w:sz w:val="20"/>
          <w:szCs w:val="20"/>
        </w:rPr>
        <w:t>.</w:t>
      </w:r>
    </w:p>
    <w:p w14:paraId="678837D0"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w:t>
      </w:r>
      <w:r w:rsidRPr="00307FD2">
        <w:rPr>
          <w:rFonts w:ascii="Arial" w:hAnsi="Arial" w:cs="Arial"/>
          <w:color w:val="000000" w:themeColor="text1"/>
          <w:sz w:val="20"/>
          <w:szCs w:val="20"/>
        </w:rPr>
        <w:t xml:space="preserve">) Representative quantitative immunoblots of cathepsin D (CATD) across </w:t>
      </w:r>
      <w:r w:rsidRPr="00307FD2">
        <w:rPr>
          <w:rFonts w:ascii="Arial" w:hAnsi="Arial" w:cs="Arial"/>
          <w:i/>
          <w:iCs/>
          <w:color w:val="000000" w:themeColor="text1"/>
          <w:sz w:val="20"/>
          <w:szCs w:val="20"/>
        </w:rPr>
        <w:t>CLN1</w:t>
      </w:r>
      <w:r w:rsidRPr="00307FD2">
        <w:rPr>
          <w:rFonts w:ascii="Arial" w:hAnsi="Arial" w:cs="Arial"/>
          <w:color w:val="000000" w:themeColor="text1"/>
          <w:sz w:val="20"/>
          <w:szCs w:val="20"/>
        </w:rPr>
        <w:t xml:space="preserve"> and aging conditions with actin (ACTB) loading control in total brain homogenates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5-6 biological replicates/genotype/timepoint; int = intermediate; m = mature; h = heavy chain; l = light chain).</w:t>
      </w:r>
    </w:p>
    <w:p w14:paraId="6FD21B26"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B</w:t>
      </w:r>
      <w:r w:rsidRPr="00307FD2">
        <w:rPr>
          <w:rFonts w:ascii="Arial" w:hAnsi="Arial" w:cs="Arial"/>
          <w:color w:val="000000" w:themeColor="text1"/>
          <w:sz w:val="20"/>
          <w:szCs w:val="20"/>
        </w:rPr>
        <w:t>) Quantification of immunoblots of CATD protein in total brain homogenates (A.U.), normalized to actin loading control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5-6 biological replicates/genotype/timepoint). </w:t>
      </w:r>
    </w:p>
    <w:p w14:paraId="6A6872EB"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C</w:t>
      </w:r>
      <w:r w:rsidRPr="00307FD2">
        <w:rPr>
          <w:rFonts w:ascii="Arial" w:hAnsi="Arial" w:cs="Arial"/>
          <w:color w:val="000000" w:themeColor="text1"/>
          <w:sz w:val="20"/>
          <w:szCs w:val="20"/>
        </w:rPr>
        <w:t>) Bulk CATD enzyme activity (R.F.U.) in total brain fractions normalized to total protein (µg) determined by BCA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4-5 biological replicates/genotype/age). </w:t>
      </w:r>
    </w:p>
    <w:p w14:paraId="440D93C9"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D</w:t>
      </w:r>
      <w:r w:rsidRPr="00307FD2">
        <w:rPr>
          <w:rFonts w:ascii="Arial" w:hAnsi="Arial" w:cs="Arial"/>
          <w:color w:val="000000" w:themeColor="text1"/>
          <w:sz w:val="20"/>
          <w:szCs w:val="20"/>
        </w:rPr>
        <w:t>) Specific enzyme activity of CATD (R.F.U./A.U. total CATD protein) in total brain homogenates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4-5 biological replicates/genotype/age). </w:t>
      </w:r>
    </w:p>
    <w:p w14:paraId="57EB6DDE"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E</w:t>
      </w:r>
      <w:r w:rsidRPr="00307FD2">
        <w:rPr>
          <w:rFonts w:ascii="Arial" w:hAnsi="Arial" w:cs="Arial"/>
          <w:color w:val="000000" w:themeColor="text1"/>
          <w:sz w:val="20"/>
          <w:szCs w:val="20"/>
        </w:rPr>
        <w:t>) Bulk TPP1 enzyme activity (R.F.U.) in total brain fractions normalized to total protein (µg) determined by BCA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4-5 biological replicates/genotype/age). </w:t>
      </w:r>
    </w:p>
    <w:p w14:paraId="7DE2D468" w14:textId="78A7A15D"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F</w:t>
      </w:r>
      <w:r w:rsidRPr="00307FD2">
        <w:rPr>
          <w:rFonts w:ascii="Arial" w:hAnsi="Arial" w:cs="Arial"/>
          <w:color w:val="000000" w:themeColor="text1"/>
          <w:sz w:val="20"/>
          <w:szCs w:val="20"/>
        </w:rPr>
        <w:t>) Bulk CATD, TPP1, and P</w:t>
      </w:r>
      <w:r w:rsidR="00F90768" w:rsidRPr="00307FD2">
        <w:rPr>
          <w:rFonts w:ascii="Arial" w:hAnsi="Arial" w:cs="Arial"/>
          <w:color w:val="000000" w:themeColor="text1"/>
          <w:sz w:val="20"/>
          <w:szCs w:val="20"/>
        </w:rPr>
        <w:t>pt1</w:t>
      </w:r>
      <w:r w:rsidRPr="00307FD2">
        <w:rPr>
          <w:rFonts w:ascii="Arial" w:hAnsi="Arial" w:cs="Arial"/>
          <w:color w:val="000000" w:themeColor="text1"/>
          <w:sz w:val="20"/>
          <w:szCs w:val="20"/>
        </w:rPr>
        <w:t xml:space="preserve"> enzyme activity (R.F.U.) in lipofuscin fractions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3-5 biological replicates/genotype/age;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2 biological replicates for </w:t>
      </w:r>
      <w:r w:rsidR="00F90768" w:rsidRPr="00307FD2">
        <w:rPr>
          <w:rFonts w:ascii="Arial" w:hAnsi="Arial" w:cs="Arial"/>
          <w:color w:val="000000" w:themeColor="text1"/>
          <w:sz w:val="20"/>
          <w:szCs w:val="20"/>
        </w:rPr>
        <w:t>KO</w:t>
      </w:r>
      <w:r w:rsidRPr="00307FD2">
        <w:rPr>
          <w:rFonts w:ascii="Arial" w:hAnsi="Arial" w:cs="Arial"/>
          <w:color w:val="000000" w:themeColor="text1"/>
          <w:sz w:val="20"/>
          <w:szCs w:val="20"/>
        </w:rPr>
        <w:t xml:space="preserve">-4). </w:t>
      </w:r>
    </w:p>
    <w:p w14:paraId="01FB962B" w14:textId="77777777"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G</w:t>
      </w:r>
      <w:r w:rsidRPr="00307FD2">
        <w:rPr>
          <w:rFonts w:ascii="Arial" w:hAnsi="Arial" w:cs="Arial"/>
          <w:color w:val="000000" w:themeColor="text1"/>
          <w:sz w:val="20"/>
          <w:szCs w:val="20"/>
        </w:rPr>
        <w:t>) Bulk GBA1 enzyme activity (R.F.U.) in total brain fractions normalized to total protein (µg) determined by BCA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5-6 biological replicates/genotype/age). </w:t>
      </w:r>
    </w:p>
    <w:p w14:paraId="63881B71" w14:textId="166F660F" w:rsidR="00952EFD" w:rsidRPr="00307FD2" w:rsidRDefault="00EE2F48" w:rsidP="00952EFD">
      <w:pPr>
        <w:jc w:val="both"/>
        <w:rPr>
          <w:rFonts w:ascii="Arial" w:hAnsi="Arial" w:cs="Arial"/>
          <w:color w:val="000000" w:themeColor="text1"/>
          <w:sz w:val="20"/>
          <w:szCs w:val="20"/>
        </w:rPr>
        <w:sectPr w:rsidR="00952EFD" w:rsidRPr="00307FD2" w:rsidSect="00952EFD">
          <w:footerReference w:type="even" r:id="rId19"/>
          <w:footerReference w:type="default" r:id="rId20"/>
          <w:pgSz w:w="12240" w:h="15840"/>
          <w:pgMar w:top="1440" w:right="1440" w:bottom="1440" w:left="1440" w:header="720" w:footer="720" w:gutter="0"/>
          <w:lnNumType w:countBy="1" w:restart="continuous"/>
          <w:cols w:space="720"/>
          <w:docGrid w:linePitch="360"/>
        </w:sectPr>
      </w:pPr>
      <w:r w:rsidRPr="00307FD2">
        <w:rPr>
          <w:rFonts w:ascii="Arial" w:hAnsi="Arial" w:cs="Arial"/>
          <w:color w:val="000000" w:themeColor="text1"/>
          <w:sz w:val="20"/>
          <w:szCs w:val="20"/>
        </w:rPr>
        <w:t>Data are mean ± SD. Horizontal bars represent significant comparisons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0.05) by 2-way ANOVA with Tukey’s multiple comparisons test for immunoblot quantification and by one-way ANOVA with Tukey’s multiple comparisons test for enzyme activity, throughout.</w:t>
      </w:r>
      <w:r w:rsidR="00952EFD" w:rsidRPr="00307FD2">
        <w:rPr>
          <w:rFonts w:ascii="Arial" w:hAnsi="Arial" w:cs="Arial"/>
          <w:color w:val="000000" w:themeColor="text1"/>
          <w:sz w:val="20"/>
          <w:szCs w:val="20"/>
        </w:rPr>
        <w:t xml:space="preserve"> KO = </w:t>
      </w:r>
      <w:r w:rsidR="00952EFD" w:rsidRPr="00307FD2">
        <w:rPr>
          <w:rFonts w:ascii="Arial" w:hAnsi="Arial" w:cs="Arial"/>
          <w:i/>
          <w:iCs/>
          <w:color w:val="000000" w:themeColor="text1"/>
          <w:sz w:val="20"/>
          <w:szCs w:val="20"/>
        </w:rPr>
        <w:t>Ppt1</w:t>
      </w:r>
      <w:r w:rsidR="00952EFD" w:rsidRPr="00307FD2">
        <w:rPr>
          <w:rFonts w:ascii="Arial" w:hAnsi="Arial" w:cs="Arial"/>
          <w:i/>
          <w:iCs/>
          <w:color w:val="000000" w:themeColor="text1"/>
          <w:sz w:val="20"/>
          <w:szCs w:val="20"/>
          <w:vertAlign w:val="superscript"/>
        </w:rPr>
        <w:t>-/-</w:t>
      </w:r>
      <w:r w:rsidR="00952EFD" w:rsidRPr="00307FD2">
        <w:rPr>
          <w:rFonts w:ascii="Arial" w:hAnsi="Arial" w:cs="Arial"/>
          <w:color w:val="000000" w:themeColor="text1"/>
          <w:sz w:val="20"/>
          <w:szCs w:val="20"/>
        </w:rPr>
        <w:t xml:space="preserve"> and WT = </w:t>
      </w:r>
      <w:r w:rsidR="00952EFD" w:rsidRPr="00307FD2">
        <w:rPr>
          <w:rFonts w:ascii="Arial" w:hAnsi="Arial" w:cs="Arial"/>
          <w:i/>
          <w:iCs/>
          <w:color w:val="000000" w:themeColor="text1"/>
          <w:sz w:val="20"/>
          <w:szCs w:val="20"/>
        </w:rPr>
        <w:t>Ppt1</w:t>
      </w:r>
      <w:r w:rsidR="00952EFD" w:rsidRPr="00307FD2">
        <w:rPr>
          <w:rFonts w:ascii="Arial" w:hAnsi="Arial" w:cs="Arial"/>
          <w:i/>
          <w:iCs/>
          <w:color w:val="000000" w:themeColor="text1"/>
          <w:sz w:val="20"/>
          <w:szCs w:val="20"/>
          <w:vertAlign w:val="superscript"/>
        </w:rPr>
        <w:t>+/+</w:t>
      </w:r>
      <w:r w:rsidR="00952EFD" w:rsidRPr="00307FD2">
        <w:rPr>
          <w:rFonts w:ascii="Arial" w:hAnsi="Arial" w:cs="Arial"/>
          <w:color w:val="000000" w:themeColor="text1"/>
          <w:sz w:val="20"/>
          <w:szCs w:val="20"/>
        </w:rPr>
        <w:t>, throughout</w:t>
      </w:r>
    </w:p>
    <w:p w14:paraId="02E43A30" w14:textId="77777777"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S8.</w:t>
      </w:r>
    </w:p>
    <w:p w14:paraId="0898F9EA" w14:textId="17A7A37C" w:rsidR="00EE2F48" w:rsidRPr="00307FD2" w:rsidRDefault="008513F0" w:rsidP="00EE2F48">
      <w:pPr>
        <w:rPr>
          <w:rFonts w:ascii="Arial" w:hAnsi="Arial" w:cs="Arial"/>
          <w:b/>
          <w:bCs/>
          <w:color w:val="000000" w:themeColor="text1"/>
          <w:sz w:val="20"/>
          <w:szCs w:val="20"/>
        </w:rPr>
      </w:pPr>
      <w:r w:rsidRPr="00307FD2">
        <w:rPr>
          <w:rFonts w:ascii="Arial" w:hAnsi="Arial" w:cs="Arial"/>
          <w:b/>
          <w:bCs/>
          <w:noProof/>
          <w:color w:val="000000" w:themeColor="text1"/>
          <w:sz w:val="20"/>
          <w:szCs w:val="20"/>
          <w14:ligatures w14:val="standardContextual"/>
        </w:rPr>
        <w:drawing>
          <wp:inline distT="0" distB="0" distL="0" distR="0" wp14:anchorId="15377CAE" wp14:editId="2C01B67B">
            <wp:extent cx="5943600" cy="2251710"/>
            <wp:effectExtent l="0" t="0" r="0" b="0"/>
            <wp:docPr id="683455860" name="Picture 8"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55860" name="Picture 8" descr="A comparison of a grap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251710"/>
                    </a:xfrm>
                    <a:prstGeom prst="rect">
                      <a:avLst/>
                    </a:prstGeom>
                  </pic:spPr>
                </pic:pic>
              </a:graphicData>
            </a:graphic>
          </wp:inline>
        </w:drawing>
      </w:r>
      <w:r w:rsidR="00EE2F48" w:rsidRPr="00307FD2">
        <w:rPr>
          <w:rFonts w:ascii="Arial" w:hAnsi="Arial" w:cs="Arial"/>
          <w:b/>
          <w:bCs/>
          <w:color w:val="000000" w:themeColor="text1"/>
          <w:sz w:val="20"/>
          <w:szCs w:val="20"/>
        </w:rPr>
        <w:br w:type="page"/>
      </w:r>
    </w:p>
    <w:p w14:paraId="09CFCF39" w14:textId="7F51778F"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 xml:space="preserve">Figure S8. </w:t>
      </w:r>
      <w:proofErr w:type="spellStart"/>
      <w:r w:rsidRPr="00307FD2">
        <w:rPr>
          <w:rFonts w:ascii="Arial" w:hAnsi="Arial" w:cs="Arial"/>
          <w:b/>
          <w:bCs/>
          <w:color w:val="000000" w:themeColor="text1"/>
          <w:sz w:val="20"/>
          <w:szCs w:val="20"/>
        </w:rPr>
        <w:t>ToF</w:t>
      </w:r>
      <w:proofErr w:type="spellEnd"/>
      <w:r w:rsidRPr="00307FD2">
        <w:rPr>
          <w:rFonts w:ascii="Arial" w:hAnsi="Arial" w:cs="Arial"/>
          <w:b/>
          <w:bCs/>
          <w:color w:val="000000" w:themeColor="text1"/>
          <w:sz w:val="20"/>
          <w:szCs w:val="20"/>
        </w:rPr>
        <w:t>-SIMS spectra of purified lipofuscin</w:t>
      </w:r>
      <w:r w:rsidR="00BF43F6" w:rsidRPr="00307FD2">
        <w:rPr>
          <w:rFonts w:ascii="Arial" w:hAnsi="Arial" w:cs="Arial"/>
          <w:b/>
          <w:bCs/>
          <w:color w:val="000000" w:themeColor="text1"/>
          <w:sz w:val="20"/>
          <w:szCs w:val="20"/>
        </w:rPr>
        <w:t>.</w:t>
      </w:r>
    </w:p>
    <w:p w14:paraId="044D8292" w14:textId="5891EBFE"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A-B</w:t>
      </w:r>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ToF</w:t>
      </w:r>
      <w:proofErr w:type="spellEnd"/>
      <w:r w:rsidRPr="00307FD2">
        <w:rPr>
          <w:rFonts w:ascii="Arial" w:hAnsi="Arial" w:cs="Arial"/>
          <w:color w:val="000000" w:themeColor="text1"/>
          <w:sz w:val="20"/>
          <w:szCs w:val="20"/>
        </w:rPr>
        <w:t xml:space="preserve">-SIMS spectra of purified lipofuscin from KO 7-month and WT 12-month mice (average of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 biological replicates) run using a 70 keV Gas Cluster Ion Beam (GCIB) in (A) negative ion mode and (B) positive ion mode with (H</w:t>
      </w:r>
      <w:r w:rsidRPr="00307FD2">
        <w:rPr>
          <w:rFonts w:ascii="Arial" w:hAnsi="Arial" w:cs="Arial"/>
          <w:color w:val="000000" w:themeColor="text1"/>
          <w:sz w:val="20"/>
          <w:szCs w:val="20"/>
          <w:vertAlign w:val="subscript"/>
        </w:rPr>
        <w:t>2</w:t>
      </w:r>
      <w:r w:rsidRPr="00307FD2">
        <w:rPr>
          <w:rFonts w:ascii="Arial" w:hAnsi="Arial" w:cs="Arial"/>
          <w:color w:val="000000" w:themeColor="text1"/>
          <w:sz w:val="20"/>
          <w:szCs w:val="20"/>
        </w:rPr>
        <w:t>O)</w:t>
      </w:r>
      <w:r w:rsidRPr="00307FD2">
        <w:rPr>
          <w:rFonts w:ascii="Arial" w:hAnsi="Arial" w:cs="Arial"/>
          <w:color w:val="000000" w:themeColor="text1"/>
          <w:sz w:val="20"/>
          <w:szCs w:val="20"/>
          <w:vertAlign w:val="subscript"/>
        </w:rPr>
        <w:t>20000</w:t>
      </w:r>
      <w:r w:rsidRPr="00307FD2">
        <w:rPr>
          <w:rFonts w:ascii="Arial" w:hAnsi="Arial" w:cs="Arial"/>
          <w:color w:val="000000" w:themeColor="text1"/>
          <w:sz w:val="20"/>
          <w:szCs w:val="20"/>
        </w:rPr>
        <w:t xml:space="preserve"> clusters with major peak mass-to-charge values (m/z) highlighted.</w:t>
      </w:r>
      <w:r w:rsidR="00952EFD" w:rsidRPr="00307FD2">
        <w:rPr>
          <w:rFonts w:ascii="Arial" w:hAnsi="Arial" w:cs="Arial"/>
          <w:color w:val="000000" w:themeColor="text1"/>
          <w:sz w:val="20"/>
          <w:szCs w:val="20"/>
        </w:rPr>
        <w:t xml:space="preserve"> KO = </w:t>
      </w:r>
      <w:r w:rsidR="00952EFD" w:rsidRPr="00307FD2">
        <w:rPr>
          <w:rFonts w:ascii="Arial" w:hAnsi="Arial" w:cs="Arial"/>
          <w:i/>
          <w:iCs/>
          <w:color w:val="000000" w:themeColor="text1"/>
          <w:sz w:val="20"/>
          <w:szCs w:val="20"/>
        </w:rPr>
        <w:t>Ppt1</w:t>
      </w:r>
      <w:r w:rsidR="00952EFD" w:rsidRPr="00307FD2">
        <w:rPr>
          <w:rFonts w:ascii="Arial" w:hAnsi="Arial" w:cs="Arial"/>
          <w:i/>
          <w:iCs/>
          <w:color w:val="000000" w:themeColor="text1"/>
          <w:sz w:val="20"/>
          <w:szCs w:val="20"/>
          <w:vertAlign w:val="superscript"/>
        </w:rPr>
        <w:t>-/-</w:t>
      </w:r>
      <w:r w:rsidR="00952EFD" w:rsidRPr="00307FD2">
        <w:rPr>
          <w:rFonts w:ascii="Arial" w:hAnsi="Arial" w:cs="Arial"/>
          <w:color w:val="000000" w:themeColor="text1"/>
          <w:sz w:val="20"/>
          <w:szCs w:val="20"/>
        </w:rPr>
        <w:t xml:space="preserve"> and WT = </w:t>
      </w:r>
      <w:r w:rsidR="00952EFD" w:rsidRPr="00307FD2">
        <w:rPr>
          <w:rFonts w:ascii="Arial" w:hAnsi="Arial" w:cs="Arial"/>
          <w:i/>
          <w:iCs/>
          <w:color w:val="000000" w:themeColor="text1"/>
          <w:sz w:val="20"/>
          <w:szCs w:val="20"/>
        </w:rPr>
        <w:t>Ppt1</w:t>
      </w:r>
      <w:r w:rsidR="00952EFD" w:rsidRPr="00307FD2">
        <w:rPr>
          <w:rFonts w:ascii="Arial" w:hAnsi="Arial" w:cs="Arial"/>
          <w:i/>
          <w:iCs/>
          <w:color w:val="000000" w:themeColor="text1"/>
          <w:sz w:val="20"/>
          <w:szCs w:val="20"/>
          <w:vertAlign w:val="superscript"/>
        </w:rPr>
        <w:t>+/+</w:t>
      </w:r>
      <w:r w:rsidR="00952EFD" w:rsidRPr="00307FD2">
        <w:rPr>
          <w:rFonts w:ascii="Arial" w:hAnsi="Arial" w:cs="Arial"/>
          <w:color w:val="000000" w:themeColor="text1"/>
          <w:sz w:val="20"/>
          <w:szCs w:val="20"/>
        </w:rPr>
        <w:t>, throughout.</w:t>
      </w:r>
      <w:r w:rsidRPr="00307FD2">
        <w:rPr>
          <w:rFonts w:ascii="Arial" w:hAnsi="Arial" w:cs="Arial"/>
          <w:b/>
          <w:bCs/>
          <w:color w:val="000000" w:themeColor="text1"/>
          <w:sz w:val="20"/>
          <w:szCs w:val="20"/>
        </w:rPr>
        <w:br w:type="page"/>
      </w:r>
    </w:p>
    <w:p w14:paraId="2C96CBBE" w14:textId="77777777" w:rsidR="00EE2F48" w:rsidRPr="00307FD2" w:rsidRDefault="00EE2F48" w:rsidP="00EE2F48">
      <w:pPr>
        <w:pStyle w:val="ListParagraph"/>
        <w:ind w:left="0"/>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S9.</w:t>
      </w:r>
    </w:p>
    <w:p w14:paraId="6702D88F" w14:textId="5141CA2D" w:rsidR="00EE2F48" w:rsidRPr="00307FD2" w:rsidRDefault="008513F0" w:rsidP="00CD3A05">
      <w:pPr>
        <w:pStyle w:val="ListParagraph"/>
        <w:ind w:left="0"/>
        <w:rPr>
          <w:rFonts w:ascii="Arial" w:hAnsi="Arial" w:cs="Arial"/>
          <w:b/>
          <w:bCs/>
          <w:color w:val="000000" w:themeColor="text1"/>
          <w:sz w:val="20"/>
          <w:szCs w:val="20"/>
        </w:rPr>
      </w:pPr>
      <w:r w:rsidRPr="00307FD2">
        <w:rPr>
          <w:rFonts w:ascii="Arial" w:hAnsi="Arial" w:cs="Arial"/>
          <w:b/>
          <w:bCs/>
          <w:noProof/>
          <w:color w:val="000000" w:themeColor="text1"/>
          <w:sz w:val="20"/>
          <w:szCs w:val="20"/>
        </w:rPr>
        <w:drawing>
          <wp:inline distT="0" distB="0" distL="0" distR="0" wp14:anchorId="63F606C6" wp14:editId="4FE5552E">
            <wp:extent cx="5943600" cy="7780020"/>
            <wp:effectExtent l="0" t="0" r="0" b="5080"/>
            <wp:docPr id="37633358" name="Picture 9" descr="A chart of different colore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3358" name="Picture 9" descr="A chart of different colored graph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80020"/>
                    </a:xfrm>
                    <a:prstGeom prst="rect">
                      <a:avLst/>
                    </a:prstGeom>
                  </pic:spPr>
                </pic:pic>
              </a:graphicData>
            </a:graphic>
          </wp:inline>
        </w:drawing>
      </w:r>
      <w:r w:rsidR="00EE2F48" w:rsidRPr="00307FD2">
        <w:rPr>
          <w:rFonts w:ascii="Arial" w:hAnsi="Arial" w:cs="Arial"/>
          <w:b/>
          <w:bCs/>
          <w:color w:val="000000" w:themeColor="text1"/>
          <w:sz w:val="20"/>
          <w:szCs w:val="20"/>
        </w:rPr>
        <w:br w:type="page"/>
      </w:r>
    </w:p>
    <w:p w14:paraId="31CAE3D0" w14:textId="609259FC" w:rsidR="00EE2F48" w:rsidRPr="00307FD2" w:rsidRDefault="00EE2F48" w:rsidP="00EE2F48">
      <w:pPr>
        <w:pStyle w:val="ListParagraph"/>
        <w:ind w:left="0"/>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Figure S9. Composition of lipofuscin and total brain by lipid class</w:t>
      </w:r>
      <w:r w:rsidR="00BF43F6" w:rsidRPr="00307FD2">
        <w:rPr>
          <w:rFonts w:ascii="Arial" w:hAnsi="Arial" w:cs="Arial"/>
          <w:b/>
          <w:bCs/>
          <w:color w:val="000000" w:themeColor="text1"/>
          <w:sz w:val="20"/>
          <w:szCs w:val="20"/>
        </w:rPr>
        <w:t>.</w:t>
      </w:r>
    </w:p>
    <w:p w14:paraId="4F9269AB" w14:textId="2D52215F"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w:t>
      </w:r>
      <w:r w:rsidRPr="00307FD2">
        <w:rPr>
          <w:rFonts w:ascii="Arial" w:hAnsi="Arial" w:cs="Arial"/>
          <w:color w:val="000000" w:themeColor="text1"/>
          <w:sz w:val="20"/>
          <w:szCs w:val="20"/>
        </w:rPr>
        <w:t xml:space="preserve">) Pie-charts of total mol % by lipid class for lipofuscin (left) and whole brain (right) for KO 7-month samples (top) and WT 24-month samples (bottom). Statistical comparisons for each class are shown in adjacent bar graphs. </w:t>
      </w:r>
    </w:p>
    <w:p w14:paraId="3EECAD6C" w14:textId="3D02CD00"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B</w:t>
      </w: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 xml:space="preserve"> </w:t>
      </w:r>
      <w:r w:rsidRPr="00307FD2">
        <w:rPr>
          <w:rFonts w:ascii="Arial" w:hAnsi="Arial" w:cs="Arial"/>
          <w:color w:val="000000" w:themeColor="text1"/>
          <w:sz w:val="20"/>
          <w:szCs w:val="20"/>
        </w:rPr>
        <w:t xml:space="preserve">Percent (%) contribution of lipid classes to total lipid content of lipofuscin and total brain from </w:t>
      </w:r>
      <w:r w:rsidR="00F90768" w:rsidRPr="00307FD2">
        <w:rPr>
          <w:rFonts w:ascii="Arial" w:hAnsi="Arial" w:cs="Arial"/>
          <w:color w:val="000000" w:themeColor="text1"/>
          <w:sz w:val="20"/>
          <w:szCs w:val="20"/>
        </w:rPr>
        <w:t xml:space="preserve">KO </w:t>
      </w:r>
      <w:r w:rsidRPr="00307FD2">
        <w:rPr>
          <w:rFonts w:ascii="Arial" w:hAnsi="Arial" w:cs="Arial"/>
          <w:color w:val="000000" w:themeColor="text1"/>
          <w:sz w:val="20"/>
          <w:szCs w:val="20"/>
        </w:rPr>
        <w:t>7-month and WT 24-month mice. A-</w:t>
      </w:r>
      <w:proofErr w:type="spellStart"/>
      <w:r w:rsidRPr="00307FD2">
        <w:rPr>
          <w:rFonts w:ascii="Arial" w:hAnsi="Arial" w:cs="Arial"/>
          <w:color w:val="000000" w:themeColor="text1"/>
          <w:sz w:val="20"/>
          <w:szCs w:val="20"/>
        </w:rPr>
        <w:t>CAHexCer</w:t>
      </w:r>
      <w:proofErr w:type="spellEnd"/>
      <w:r w:rsidRPr="00307FD2">
        <w:rPr>
          <w:rFonts w:ascii="Arial" w:hAnsi="Arial" w:cs="Arial"/>
          <w:color w:val="000000" w:themeColor="text1"/>
          <w:sz w:val="20"/>
          <w:szCs w:val="20"/>
        </w:rPr>
        <w:t>: acyl-</w:t>
      </w:r>
      <w:proofErr w:type="spellStart"/>
      <w:r w:rsidRPr="00307FD2">
        <w:rPr>
          <w:rFonts w:ascii="Arial" w:hAnsi="Arial" w:cs="Arial"/>
          <w:color w:val="000000" w:themeColor="text1"/>
          <w:sz w:val="20"/>
          <w:szCs w:val="20"/>
        </w:rPr>
        <w:t>hexosylceramide</w:t>
      </w:r>
      <w:proofErr w:type="spellEnd"/>
      <w:r w:rsidRPr="00307FD2">
        <w:rPr>
          <w:rFonts w:ascii="Arial" w:hAnsi="Arial" w:cs="Arial"/>
          <w:color w:val="000000" w:themeColor="text1"/>
          <w:sz w:val="20"/>
          <w:szCs w:val="20"/>
        </w:rPr>
        <w:t xml:space="preserve">; Cer: ceramide; CL: cardiolipin; DG: diglyceride (diacylglycerol); </w:t>
      </w:r>
      <w:proofErr w:type="spellStart"/>
      <w:r w:rsidRPr="00307FD2">
        <w:rPr>
          <w:rFonts w:ascii="Arial" w:hAnsi="Arial" w:cs="Arial"/>
          <w:color w:val="000000" w:themeColor="text1"/>
          <w:sz w:val="20"/>
          <w:szCs w:val="20"/>
        </w:rPr>
        <w:t>EtherDG</w:t>
      </w:r>
      <w:proofErr w:type="spellEnd"/>
      <w:r w:rsidRPr="00307FD2">
        <w:rPr>
          <w:rFonts w:ascii="Arial" w:hAnsi="Arial" w:cs="Arial"/>
          <w:color w:val="000000" w:themeColor="text1"/>
          <w:sz w:val="20"/>
          <w:szCs w:val="20"/>
        </w:rPr>
        <w:t xml:space="preserve">: ether-linked diglyceride; </w:t>
      </w:r>
      <w:proofErr w:type="spellStart"/>
      <w:r w:rsidRPr="00307FD2">
        <w:rPr>
          <w:rFonts w:ascii="Arial" w:hAnsi="Arial" w:cs="Arial"/>
          <w:color w:val="000000" w:themeColor="text1"/>
          <w:sz w:val="20"/>
          <w:szCs w:val="20"/>
        </w:rPr>
        <w:t>EtherLPC</w:t>
      </w:r>
      <w:proofErr w:type="spellEnd"/>
      <w:r w:rsidRPr="00307FD2">
        <w:rPr>
          <w:rFonts w:ascii="Arial" w:hAnsi="Arial" w:cs="Arial"/>
          <w:color w:val="000000" w:themeColor="text1"/>
          <w:sz w:val="20"/>
          <w:szCs w:val="20"/>
        </w:rPr>
        <w:t xml:space="preserve">: ether-linked </w:t>
      </w:r>
      <w:proofErr w:type="spellStart"/>
      <w:r w:rsidRPr="00307FD2">
        <w:rPr>
          <w:rFonts w:ascii="Arial" w:hAnsi="Arial" w:cs="Arial"/>
          <w:color w:val="000000" w:themeColor="text1"/>
          <w:sz w:val="20"/>
          <w:szCs w:val="20"/>
        </w:rPr>
        <w:t>lysophosphatidylcholine</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EtherLPE</w:t>
      </w:r>
      <w:proofErr w:type="spellEnd"/>
      <w:r w:rsidRPr="00307FD2">
        <w:rPr>
          <w:rFonts w:ascii="Arial" w:hAnsi="Arial" w:cs="Arial"/>
          <w:color w:val="000000" w:themeColor="text1"/>
          <w:sz w:val="20"/>
          <w:szCs w:val="20"/>
        </w:rPr>
        <w:t xml:space="preserve">: ether-linked </w:t>
      </w:r>
      <w:proofErr w:type="spellStart"/>
      <w:r w:rsidRPr="00307FD2">
        <w:rPr>
          <w:rFonts w:ascii="Arial" w:hAnsi="Arial" w:cs="Arial"/>
          <w:color w:val="000000" w:themeColor="text1"/>
          <w:sz w:val="20"/>
          <w:szCs w:val="20"/>
        </w:rPr>
        <w:t>lysophosphatidylethanolamine</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EtherLPG</w:t>
      </w:r>
      <w:proofErr w:type="spellEnd"/>
      <w:r w:rsidRPr="00307FD2">
        <w:rPr>
          <w:rFonts w:ascii="Arial" w:hAnsi="Arial" w:cs="Arial"/>
          <w:color w:val="000000" w:themeColor="text1"/>
          <w:sz w:val="20"/>
          <w:szCs w:val="20"/>
        </w:rPr>
        <w:t xml:space="preserve">: ether-linked </w:t>
      </w:r>
      <w:proofErr w:type="spellStart"/>
      <w:r w:rsidRPr="00307FD2">
        <w:rPr>
          <w:rFonts w:ascii="Arial" w:hAnsi="Arial" w:cs="Arial"/>
          <w:color w:val="000000" w:themeColor="text1"/>
          <w:sz w:val="20"/>
          <w:szCs w:val="20"/>
        </w:rPr>
        <w:t>lysophosphatidylglycerol</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EtherPC</w:t>
      </w:r>
      <w:proofErr w:type="spellEnd"/>
      <w:r w:rsidRPr="00307FD2">
        <w:rPr>
          <w:rFonts w:ascii="Arial" w:hAnsi="Arial" w:cs="Arial"/>
          <w:color w:val="000000" w:themeColor="text1"/>
          <w:sz w:val="20"/>
          <w:szCs w:val="20"/>
        </w:rPr>
        <w:t xml:space="preserve">: ether-linked phosphatidylcholine; </w:t>
      </w:r>
      <w:proofErr w:type="spellStart"/>
      <w:r w:rsidRPr="00307FD2">
        <w:rPr>
          <w:rFonts w:ascii="Arial" w:hAnsi="Arial" w:cs="Arial"/>
          <w:color w:val="000000" w:themeColor="text1"/>
          <w:sz w:val="20"/>
          <w:szCs w:val="20"/>
        </w:rPr>
        <w:t>EtherPE</w:t>
      </w:r>
      <w:proofErr w:type="spellEnd"/>
      <w:r w:rsidRPr="00307FD2">
        <w:rPr>
          <w:rFonts w:ascii="Arial" w:hAnsi="Arial" w:cs="Arial"/>
          <w:color w:val="000000" w:themeColor="text1"/>
          <w:sz w:val="20"/>
          <w:szCs w:val="20"/>
        </w:rPr>
        <w:t xml:space="preserve">: ether-linked phosphatidylethanolamine; </w:t>
      </w:r>
      <w:proofErr w:type="spellStart"/>
      <w:r w:rsidRPr="00307FD2">
        <w:rPr>
          <w:rFonts w:ascii="Arial" w:hAnsi="Arial" w:cs="Arial"/>
          <w:color w:val="000000" w:themeColor="text1"/>
          <w:sz w:val="20"/>
          <w:szCs w:val="20"/>
        </w:rPr>
        <w:t>EtherPG</w:t>
      </w:r>
      <w:proofErr w:type="spellEnd"/>
      <w:r w:rsidRPr="00307FD2">
        <w:rPr>
          <w:rFonts w:ascii="Arial" w:hAnsi="Arial" w:cs="Arial"/>
          <w:color w:val="000000" w:themeColor="text1"/>
          <w:sz w:val="20"/>
          <w:szCs w:val="20"/>
        </w:rPr>
        <w:t xml:space="preserve">: ether-linked phosphatidylglycerol; </w:t>
      </w:r>
      <w:proofErr w:type="spellStart"/>
      <w:r w:rsidRPr="00307FD2">
        <w:rPr>
          <w:rFonts w:ascii="Arial" w:hAnsi="Arial" w:cs="Arial"/>
          <w:color w:val="000000" w:themeColor="text1"/>
          <w:sz w:val="20"/>
          <w:szCs w:val="20"/>
        </w:rPr>
        <w:t>EtherPI</w:t>
      </w:r>
      <w:proofErr w:type="spellEnd"/>
      <w:r w:rsidRPr="00307FD2">
        <w:rPr>
          <w:rFonts w:ascii="Arial" w:hAnsi="Arial" w:cs="Arial"/>
          <w:color w:val="000000" w:themeColor="text1"/>
          <w:sz w:val="20"/>
          <w:szCs w:val="20"/>
        </w:rPr>
        <w:t xml:space="preserve">: ether-linked phosphatidylinositol; </w:t>
      </w:r>
      <w:proofErr w:type="spellStart"/>
      <w:r w:rsidRPr="00307FD2">
        <w:rPr>
          <w:rFonts w:ascii="Arial" w:hAnsi="Arial" w:cs="Arial"/>
          <w:color w:val="000000" w:themeColor="text1"/>
          <w:sz w:val="20"/>
          <w:szCs w:val="20"/>
        </w:rPr>
        <w:t>HexCer</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hexosylceramide</w:t>
      </w:r>
      <w:proofErr w:type="spellEnd"/>
      <w:r w:rsidRPr="00307FD2">
        <w:rPr>
          <w:rFonts w:ascii="Arial" w:hAnsi="Arial" w:cs="Arial"/>
          <w:color w:val="000000" w:themeColor="text1"/>
          <w:sz w:val="20"/>
          <w:szCs w:val="20"/>
        </w:rPr>
        <w:t xml:space="preserve">; LPC: </w:t>
      </w:r>
      <w:proofErr w:type="spellStart"/>
      <w:r w:rsidRPr="00307FD2">
        <w:rPr>
          <w:rFonts w:ascii="Arial" w:hAnsi="Arial" w:cs="Arial"/>
          <w:color w:val="000000" w:themeColor="text1"/>
          <w:sz w:val="20"/>
          <w:szCs w:val="20"/>
        </w:rPr>
        <w:t>lysophosphatidylcholine</w:t>
      </w:r>
      <w:proofErr w:type="spellEnd"/>
      <w:r w:rsidRPr="00307FD2">
        <w:rPr>
          <w:rFonts w:ascii="Arial" w:hAnsi="Arial" w:cs="Arial"/>
          <w:color w:val="000000" w:themeColor="text1"/>
          <w:sz w:val="20"/>
          <w:szCs w:val="20"/>
        </w:rPr>
        <w:t xml:space="preserve">; LPE: </w:t>
      </w:r>
      <w:proofErr w:type="spellStart"/>
      <w:r w:rsidRPr="00307FD2">
        <w:rPr>
          <w:rFonts w:ascii="Arial" w:hAnsi="Arial" w:cs="Arial"/>
          <w:color w:val="000000" w:themeColor="text1"/>
          <w:sz w:val="20"/>
          <w:szCs w:val="20"/>
        </w:rPr>
        <w:t>lysophosphatidylethanolamine</w:t>
      </w:r>
      <w:proofErr w:type="spellEnd"/>
      <w:r w:rsidRPr="00307FD2">
        <w:rPr>
          <w:rFonts w:ascii="Arial" w:hAnsi="Arial" w:cs="Arial"/>
          <w:color w:val="000000" w:themeColor="text1"/>
          <w:sz w:val="20"/>
          <w:szCs w:val="20"/>
        </w:rPr>
        <w:t xml:space="preserve">; LPG: </w:t>
      </w:r>
      <w:proofErr w:type="spellStart"/>
      <w:r w:rsidRPr="00307FD2">
        <w:rPr>
          <w:rFonts w:ascii="Arial" w:hAnsi="Arial" w:cs="Arial"/>
          <w:color w:val="000000" w:themeColor="text1"/>
          <w:sz w:val="20"/>
          <w:szCs w:val="20"/>
        </w:rPr>
        <w:t>lysophosphatidylglycerol</w:t>
      </w:r>
      <w:proofErr w:type="spellEnd"/>
      <w:r w:rsidRPr="00307FD2">
        <w:rPr>
          <w:rFonts w:ascii="Arial" w:hAnsi="Arial" w:cs="Arial"/>
          <w:color w:val="000000" w:themeColor="text1"/>
          <w:sz w:val="20"/>
          <w:szCs w:val="20"/>
        </w:rPr>
        <w:t xml:space="preserve">; LPI: </w:t>
      </w:r>
      <w:proofErr w:type="spellStart"/>
      <w:r w:rsidRPr="00307FD2">
        <w:rPr>
          <w:rFonts w:ascii="Arial" w:hAnsi="Arial" w:cs="Arial"/>
          <w:color w:val="000000" w:themeColor="text1"/>
          <w:sz w:val="20"/>
          <w:szCs w:val="20"/>
        </w:rPr>
        <w:t>lysophosphatidylinositol</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OxPE</w:t>
      </w:r>
      <w:proofErr w:type="spellEnd"/>
      <w:r w:rsidRPr="00307FD2">
        <w:rPr>
          <w:rFonts w:ascii="Arial" w:hAnsi="Arial" w:cs="Arial"/>
          <w:color w:val="000000" w:themeColor="text1"/>
          <w:sz w:val="20"/>
          <w:szCs w:val="20"/>
        </w:rPr>
        <w:t xml:space="preserve">: oxidized phosphatidylethanolamine; </w:t>
      </w:r>
      <w:proofErr w:type="spellStart"/>
      <w:r w:rsidRPr="00307FD2">
        <w:rPr>
          <w:rFonts w:ascii="Arial" w:hAnsi="Arial" w:cs="Arial"/>
          <w:color w:val="000000" w:themeColor="text1"/>
          <w:sz w:val="20"/>
          <w:szCs w:val="20"/>
        </w:rPr>
        <w:t>OxPI</w:t>
      </w:r>
      <w:proofErr w:type="spellEnd"/>
      <w:r w:rsidRPr="00307FD2">
        <w:rPr>
          <w:rFonts w:ascii="Arial" w:hAnsi="Arial" w:cs="Arial"/>
          <w:color w:val="000000" w:themeColor="text1"/>
          <w:sz w:val="20"/>
          <w:szCs w:val="20"/>
        </w:rPr>
        <w:t>: oxidized phosphatidylinositol; PC: phosphatidylcholine; PE: phosphatidylethanolamine; PG/BMP: phosphatidylglycerol/bis(</w:t>
      </w:r>
      <w:proofErr w:type="spellStart"/>
      <w:r w:rsidRPr="00307FD2">
        <w:rPr>
          <w:rFonts w:ascii="Arial" w:hAnsi="Arial" w:cs="Arial"/>
          <w:color w:val="000000" w:themeColor="text1"/>
          <w:sz w:val="20"/>
          <w:szCs w:val="20"/>
        </w:rPr>
        <w:t>monoacylglycero</w:t>
      </w:r>
      <w:proofErr w:type="spellEnd"/>
      <w:r w:rsidRPr="00307FD2">
        <w:rPr>
          <w:rFonts w:ascii="Arial" w:hAnsi="Arial" w:cs="Arial"/>
          <w:color w:val="000000" w:themeColor="text1"/>
          <w:sz w:val="20"/>
          <w:szCs w:val="20"/>
        </w:rPr>
        <w:t xml:space="preserve">)phosphate; PI: phosphatidylinositol; </w:t>
      </w:r>
      <w:proofErr w:type="spellStart"/>
      <w:r w:rsidRPr="00307FD2">
        <w:rPr>
          <w:rFonts w:ascii="Arial" w:hAnsi="Arial" w:cs="Arial"/>
          <w:color w:val="000000" w:themeColor="text1"/>
          <w:sz w:val="20"/>
          <w:szCs w:val="20"/>
        </w:rPr>
        <w:t>SHexCer</w:t>
      </w:r>
      <w:proofErr w:type="spellEnd"/>
      <w:r w:rsidRPr="00307FD2">
        <w:rPr>
          <w:rFonts w:ascii="Arial" w:hAnsi="Arial" w:cs="Arial"/>
          <w:color w:val="000000" w:themeColor="text1"/>
          <w:sz w:val="20"/>
          <w:szCs w:val="20"/>
        </w:rPr>
        <w:t xml:space="preserve">: sulfatide; SM: sphingomyelin; TG: triglyceride (triacylglycerol). </w:t>
      </w:r>
    </w:p>
    <w:p w14:paraId="7998CEEB" w14:textId="27B064F8" w:rsidR="00EE2F48" w:rsidRPr="00307FD2" w:rsidRDefault="00EE2F48" w:rsidP="00CD3A05">
      <w:pPr>
        <w:jc w:val="both"/>
        <w:rPr>
          <w:rFonts w:ascii="Arial" w:hAnsi="Arial" w:cs="Arial"/>
          <w:color w:val="000000" w:themeColor="text1"/>
          <w:sz w:val="20"/>
          <w:szCs w:val="20"/>
        </w:rPr>
      </w:pPr>
      <w:r w:rsidRPr="00307FD2">
        <w:rPr>
          <w:rFonts w:ascii="Arial" w:hAnsi="Arial" w:cs="Arial"/>
          <w:color w:val="000000" w:themeColor="text1"/>
          <w:sz w:val="20"/>
          <w:szCs w:val="20"/>
        </w:rPr>
        <w:t xml:space="preserve">Data are mean ± SD. *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0.05, **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0.01, *** </w:t>
      </w:r>
      <w:r w:rsidRPr="00307FD2">
        <w:rPr>
          <w:rFonts w:ascii="Arial" w:hAnsi="Arial" w:cs="Arial"/>
          <w:i/>
          <w:iCs/>
          <w:color w:val="000000" w:themeColor="text1"/>
          <w:sz w:val="20"/>
          <w:szCs w:val="20"/>
        </w:rPr>
        <w:t>p</w:t>
      </w:r>
      <w:r w:rsidRPr="00307FD2">
        <w:rPr>
          <w:rFonts w:ascii="Arial" w:hAnsi="Arial" w:cs="Arial"/>
          <w:color w:val="000000" w:themeColor="text1"/>
          <w:sz w:val="20"/>
          <w:szCs w:val="20"/>
        </w:rPr>
        <w:t xml:space="preserve"> &lt; 0.001 by one-way ANOVA with Tukey’s multiple comparisons test. </w:t>
      </w:r>
      <w:r w:rsidR="00613181" w:rsidRPr="00307FD2">
        <w:rPr>
          <w:rFonts w:ascii="Arial" w:hAnsi="Arial" w:cs="Arial"/>
          <w:color w:val="000000" w:themeColor="text1"/>
          <w:sz w:val="20"/>
          <w:szCs w:val="20"/>
        </w:rPr>
        <w:t xml:space="preserve">KO = </w:t>
      </w:r>
      <w:r w:rsidR="00613181" w:rsidRPr="00307FD2">
        <w:rPr>
          <w:rFonts w:ascii="Arial" w:hAnsi="Arial" w:cs="Arial"/>
          <w:i/>
          <w:iCs/>
          <w:color w:val="000000" w:themeColor="text1"/>
          <w:sz w:val="20"/>
          <w:szCs w:val="20"/>
        </w:rPr>
        <w:t>Ppt1</w:t>
      </w:r>
      <w:r w:rsidR="00613181" w:rsidRPr="00307FD2">
        <w:rPr>
          <w:rFonts w:ascii="Arial" w:hAnsi="Arial" w:cs="Arial"/>
          <w:i/>
          <w:iCs/>
          <w:color w:val="000000" w:themeColor="text1"/>
          <w:sz w:val="20"/>
          <w:szCs w:val="20"/>
          <w:vertAlign w:val="superscript"/>
        </w:rPr>
        <w:t>-/-</w:t>
      </w:r>
      <w:r w:rsidR="00613181" w:rsidRPr="00307FD2">
        <w:rPr>
          <w:rFonts w:ascii="Arial" w:hAnsi="Arial" w:cs="Arial"/>
          <w:color w:val="000000" w:themeColor="text1"/>
          <w:sz w:val="20"/>
          <w:szCs w:val="20"/>
        </w:rPr>
        <w:t xml:space="preserve"> and WT = </w:t>
      </w:r>
      <w:r w:rsidR="00613181" w:rsidRPr="00307FD2">
        <w:rPr>
          <w:rFonts w:ascii="Arial" w:hAnsi="Arial" w:cs="Arial"/>
          <w:i/>
          <w:iCs/>
          <w:color w:val="000000" w:themeColor="text1"/>
          <w:sz w:val="20"/>
          <w:szCs w:val="20"/>
        </w:rPr>
        <w:t>Ppt1</w:t>
      </w:r>
      <w:r w:rsidR="00613181" w:rsidRPr="00307FD2">
        <w:rPr>
          <w:rFonts w:ascii="Arial" w:hAnsi="Arial" w:cs="Arial"/>
          <w:i/>
          <w:iCs/>
          <w:color w:val="000000" w:themeColor="text1"/>
          <w:sz w:val="20"/>
          <w:szCs w:val="20"/>
          <w:vertAlign w:val="superscript"/>
        </w:rPr>
        <w:t>+/+</w:t>
      </w:r>
      <w:r w:rsidR="00613181" w:rsidRPr="00307FD2">
        <w:rPr>
          <w:rFonts w:ascii="Arial" w:hAnsi="Arial" w:cs="Arial"/>
          <w:color w:val="000000" w:themeColor="text1"/>
          <w:sz w:val="20"/>
          <w:szCs w:val="20"/>
        </w:rPr>
        <w:t>, throughout.</w:t>
      </w:r>
      <w:r w:rsidRPr="00307FD2">
        <w:rPr>
          <w:rFonts w:ascii="Arial" w:hAnsi="Arial" w:cs="Arial"/>
          <w:b/>
          <w:bCs/>
          <w:color w:val="000000" w:themeColor="text1"/>
          <w:sz w:val="20"/>
          <w:szCs w:val="20"/>
        </w:rPr>
        <w:br w:type="page"/>
      </w:r>
    </w:p>
    <w:p w14:paraId="7646FD89" w14:textId="77777777"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 S10.</w:t>
      </w:r>
    </w:p>
    <w:p w14:paraId="797717A2" w14:textId="31D62CF0" w:rsidR="00EE2F48" w:rsidRPr="00307FD2" w:rsidRDefault="008513F0" w:rsidP="00CD3A05">
      <w:pPr>
        <w:jc w:val="both"/>
        <w:rPr>
          <w:rFonts w:ascii="Arial" w:hAnsi="Arial" w:cs="Arial"/>
          <w:b/>
          <w:bCs/>
          <w:color w:val="000000" w:themeColor="text1"/>
          <w:sz w:val="20"/>
          <w:szCs w:val="20"/>
        </w:rPr>
      </w:pPr>
      <w:r w:rsidRPr="00307FD2">
        <w:rPr>
          <w:rFonts w:ascii="Arial" w:hAnsi="Arial" w:cs="Arial"/>
          <w:b/>
          <w:bCs/>
          <w:noProof/>
          <w:color w:val="000000" w:themeColor="text1"/>
          <w:sz w:val="20"/>
          <w:szCs w:val="20"/>
          <w14:ligatures w14:val="standardContextual"/>
        </w:rPr>
        <w:drawing>
          <wp:inline distT="0" distB="0" distL="0" distR="0" wp14:anchorId="0086C038" wp14:editId="76073A11">
            <wp:extent cx="5943600" cy="7616190"/>
            <wp:effectExtent l="0" t="0" r="0" b="3810"/>
            <wp:docPr id="1016427658" name="Picture 10"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27658" name="Picture 10" descr="A close-up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16190"/>
                    </a:xfrm>
                    <a:prstGeom prst="rect">
                      <a:avLst/>
                    </a:prstGeom>
                  </pic:spPr>
                </pic:pic>
              </a:graphicData>
            </a:graphic>
          </wp:inline>
        </w:drawing>
      </w:r>
      <w:r w:rsidR="00EE2F48" w:rsidRPr="00307FD2">
        <w:rPr>
          <w:rFonts w:ascii="Arial" w:hAnsi="Arial" w:cs="Arial"/>
          <w:b/>
          <w:bCs/>
          <w:color w:val="000000" w:themeColor="text1"/>
          <w:sz w:val="20"/>
          <w:szCs w:val="20"/>
        </w:rPr>
        <w:br w:type="page"/>
      </w:r>
    </w:p>
    <w:p w14:paraId="71CB39D6" w14:textId="716B4C8D" w:rsidR="00EE2F48" w:rsidRPr="00307FD2" w:rsidRDefault="00EE2F48" w:rsidP="00EE2F48">
      <w:pPr>
        <w:jc w:val="both"/>
        <w:rPr>
          <w:rFonts w:ascii="Arial" w:hAnsi="Arial" w:cs="Arial"/>
          <w:b/>
          <w:bCs/>
          <w:color w:val="000000" w:themeColor="text1"/>
          <w:sz w:val="20"/>
          <w:szCs w:val="20"/>
        </w:rPr>
      </w:pPr>
      <w:r w:rsidRPr="00307FD2">
        <w:rPr>
          <w:rFonts w:ascii="Arial" w:hAnsi="Arial" w:cs="Arial"/>
          <w:b/>
          <w:bCs/>
          <w:color w:val="000000" w:themeColor="text1"/>
          <w:sz w:val="20"/>
          <w:szCs w:val="20"/>
        </w:rPr>
        <w:lastRenderedPageBreak/>
        <w:t>Figure S10. Lipofuscin-enriched lipids and PG/BMP fatty acyl composition</w:t>
      </w:r>
      <w:r w:rsidR="00BF43F6" w:rsidRPr="00307FD2">
        <w:rPr>
          <w:rFonts w:ascii="Arial" w:hAnsi="Arial" w:cs="Arial"/>
          <w:b/>
          <w:bCs/>
          <w:color w:val="000000" w:themeColor="text1"/>
          <w:sz w:val="20"/>
          <w:szCs w:val="20"/>
        </w:rPr>
        <w:t>.</w:t>
      </w:r>
    </w:p>
    <w:p w14:paraId="1C76B3B1" w14:textId="0ECA7520" w:rsidR="00EE2F48" w:rsidRPr="00307FD2" w:rsidRDefault="00EE2F48" w:rsidP="00EE2F48">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A-D</w:t>
      </w:r>
      <w:r w:rsidRPr="00307FD2">
        <w:rPr>
          <w:rFonts w:ascii="Arial" w:hAnsi="Arial" w:cs="Arial"/>
          <w:color w:val="000000" w:themeColor="text1"/>
          <w:sz w:val="20"/>
          <w:szCs w:val="20"/>
        </w:rPr>
        <w:t>) Lipid metabolite fold-change comparisons between (A)</w:t>
      </w:r>
      <w:r w:rsidRPr="00307FD2">
        <w:rPr>
          <w:rFonts w:ascii="Arial" w:hAnsi="Arial" w:cs="Arial"/>
          <w:b/>
          <w:bCs/>
          <w:color w:val="000000" w:themeColor="text1"/>
          <w:sz w:val="20"/>
          <w:szCs w:val="20"/>
        </w:rPr>
        <w:t xml:space="preserve"> </w:t>
      </w:r>
      <w:r w:rsidRPr="00307FD2">
        <w:rPr>
          <w:rFonts w:ascii="Arial" w:hAnsi="Arial" w:cs="Arial"/>
          <w:color w:val="000000" w:themeColor="text1"/>
          <w:sz w:val="20"/>
          <w:szCs w:val="20"/>
        </w:rPr>
        <w:t>WT 24-month and KO 7-month lipofuscin, (B) WT 24-month and KO 7-month total brain, (</w:t>
      </w:r>
      <w:r w:rsidRPr="00307FD2">
        <w:rPr>
          <w:rFonts w:ascii="Arial" w:hAnsi="Arial" w:cs="Arial"/>
          <w:b/>
          <w:bCs/>
          <w:color w:val="000000" w:themeColor="text1"/>
          <w:sz w:val="20"/>
          <w:szCs w:val="20"/>
        </w:rPr>
        <w:t>C</w:t>
      </w:r>
      <w:r w:rsidRPr="00307FD2">
        <w:rPr>
          <w:rFonts w:ascii="Arial" w:hAnsi="Arial" w:cs="Arial"/>
          <w:color w:val="000000" w:themeColor="text1"/>
          <w:sz w:val="20"/>
          <w:szCs w:val="20"/>
        </w:rPr>
        <w:t>) KO 7-month lipofuscin and total brain, (D) WT 24-month lipofuscin and total brain. Colors represent lipid classes. Blue dashed lines indicate significant thresholds at 1.5-fold-change and p = 0.05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 biological replicates/genotype). </w:t>
      </w:r>
      <w:proofErr w:type="spellStart"/>
      <w:r w:rsidRPr="00307FD2">
        <w:rPr>
          <w:rFonts w:ascii="Arial" w:hAnsi="Arial" w:cs="Arial"/>
          <w:color w:val="000000" w:themeColor="text1"/>
          <w:sz w:val="20"/>
          <w:szCs w:val="20"/>
        </w:rPr>
        <w:t>AHexCer</w:t>
      </w:r>
      <w:proofErr w:type="spellEnd"/>
      <w:r w:rsidRPr="00307FD2">
        <w:rPr>
          <w:rFonts w:ascii="Arial" w:hAnsi="Arial" w:cs="Arial"/>
          <w:color w:val="000000" w:themeColor="text1"/>
          <w:sz w:val="20"/>
          <w:szCs w:val="20"/>
        </w:rPr>
        <w:t>: acyl-</w:t>
      </w:r>
      <w:proofErr w:type="spellStart"/>
      <w:r w:rsidRPr="00307FD2">
        <w:rPr>
          <w:rFonts w:ascii="Arial" w:hAnsi="Arial" w:cs="Arial"/>
          <w:color w:val="000000" w:themeColor="text1"/>
          <w:sz w:val="20"/>
          <w:szCs w:val="20"/>
        </w:rPr>
        <w:t>hexosylceramide</w:t>
      </w:r>
      <w:proofErr w:type="spellEnd"/>
      <w:r w:rsidRPr="00307FD2">
        <w:rPr>
          <w:rFonts w:ascii="Arial" w:hAnsi="Arial" w:cs="Arial"/>
          <w:color w:val="000000" w:themeColor="text1"/>
          <w:sz w:val="20"/>
          <w:szCs w:val="20"/>
        </w:rPr>
        <w:t xml:space="preserve">; Cer: ceramide; CL: cardiolipin; DG: diglyceride (diacylglycerol); </w:t>
      </w:r>
      <w:proofErr w:type="spellStart"/>
      <w:r w:rsidRPr="00307FD2">
        <w:rPr>
          <w:rFonts w:ascii="Arial" w:hAnsi="Arial" w:cs="Arial"/>
          <w:color w:val="000000" w:themeColor="text1"/>
          <w:sz w:val="20"/>
          <w:szCs w:val="20"/>
        </w:rPr>
        <w:t>EtherDG</w:t>
      </w:r>
      <w:proofErr w:type="spellEnd"/>
      <w:r w:rsidRPr="00307FD2">
        <w:rPr>
          <w:rFonts w:ascii="Arial" w:hAnsi="Arial" w:cs="Arial"/>
          <w:color w:val="000000" w:themeColor="text1"/>
          <w:sz w:val="20"/>
          <w:szCs w:val="20"/>
        </w:rPr>
        <w:t xml:space="preserve">: ether-linked diglyceride; </w:t>
      </w:r>
      <w:proofErr w:type="spellStart"/>
      <w:r w:rsidRPr="00307FD2">
        <w:rPr>
          <w:rFonts w:ascii="Arial" w:hAnsi="Arial" w:cs="Arial"/>
          <w:color w:val="000000" w:themeColor="text1"/>
          <w:sz w:val="20"/>
          <w:szCs w:val="20"/>
        </w:rPr>
        <w:t>EtherLPC</w:t>
      </w:r>
      <w:proofErr w:type="spellEnd"/>
      <w:r w:rsidRPr="00307FD2">
        <w:rPr>
          <w:rFonts w:ascii="Arial" w:hAnsi="Arial" w:cs="Arial"/>
          <w:color w:val="000000" w:themeColor="text1"/>
          <w:sz w:val="20"/>
          <w:szCs w:val="20"/>
        </w:rPr>
        <w:t xml:space="preserve">: ether-linked </w:t>
      </w:r>
      <w:proofErr w:type="spellStart"/>
      <w:r w:rsidRPr="00307FD2">
        <w:rPr>
          <w:rFonts w:ascii="Arial" w:hAnsi="Arial" w:cs="Arial"/>
          <w:color w:val="000000" w:themeColor="text1"/>
          <w:sz w:val="20"/>
          <w:szCs w:val="20"/>
        </w:rPr>
        <w:t>lysophosphatidylcholine</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EtherLPE</w:t>
      </w:r>
      <w:proofErr w:type="spellEnd"/>
      <w:r w:rsidRPr="00307FD2">
        <w:rPr>
          <w:rFonts w:ascii="Arial" w:hAnsi="Arial" w:cs="Arial"/>
          <w:color w:val="000000" w:themeColor="text1"/>
          <w:sz w:val="20"/>
          <w:szCs w:val="20"/>
        </w:rPr>
        <w:t xml:space="preserve">: ether-linked </w:t>
      </w:r>
      <w:proofErr w:type="spellStart"/>
      <w:r w:rsidRPr="00307FD2">
        <w:rPr>
          <w:rFonts w:ascii="Arial" w:hAnsi="Arial" w:cs="Arial"/>
          <w:color w:val="000000" w:themeColor="text1"/>
          <w:sz w:val="20"/>
          <w:szCs w:val="20"/>
        </w:rPr>
        <w:t>lysophosphatidylethanolamine</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EtherLPG</w:t>
      </w:r>
      <w:proofErr w:type="spellEnd"/>
      <w:r w:rsidRPr="00307FD2">
        <w:rPr>
          <w:rFonts w:ascii="Arial" w:hAnsi="Arial" w:cs="Arial"/>
          <w:color w:val="000000" w:themeColor="text1"/>
          <w:sz w:val="20"/>
          <w:szCs w:val="20"/>
        </w:rPr>
        <w:t xml:space="preserve">: ether-linked </w:t>
      </w:r>
      <w:proofErr w:type="spellStart"/>
      <w:r w:rsidRPr="00307FD2">
        <w:rPr>
          <w:rFonts w:ascii="Arial" w:hAnsi="Arial" w:cs="Arial"/>
          <w:color w:val="000000" w:themeColor="text1"/>
          <w:sz w:val="20"/>
          <w:szCs w:val="20"/>
        </w:rPr>
        <w:t>lysophosphatidylglycerol</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EtherPC</w:t>
      </w:r>
      <w:proofErr w:type="spellEnd"/>
      <w:r w:rsidRPr="00307FD2">
        <w:rPr>
          <w:rFonts w:ascii="Arial" w:hAnsi="Arial" w:cs="Arial"/>
          <w:color w:val="000000" w:themeColor="text1"/>
          <w:sz w:val="20"/>
          <w:szCs w:val="20"/>
        </w:rPr>
        <w:t xml:space="preserve">: ether-linked phosphatidylcholine; </w:t>
      </w:r>
      <w:proofErr w:type="spellStart"/>
      <w:r w:rsidRPr="00307FD2">
        <w:rPr>
          <w:rFonts w:ascii="Arial" w:hAnsi="Arial" w:cs="Arial"/>
          <w:color w:val="000000" w:themeColor="text1"/>
          <w:sz w:val="20"/>
          <w:szCs w:val="20"/>
        </w:rPr>
        <w:t>EtherPE</w:t>
      </w:r>
      <w:proofErr w:type="spellEnd"/>
      <w:r w:rsidRPr="00307FD2">
        <w:rPr>
          <w:rFonts w:ascii="Arial" w:hAnsi="Arial" w:cs="Arial"/>
          <w:color w:val="000000" w:themeColor="text1"/>
          <w:sz w:val="20"/>
          <w:szCs w:val="20"/>
        </w:rPr>
        <w:t xml:space="preserve">: ether-linked phosphatidylethanolamine; </w:t>
      </w:r>
      <w:proofErr w:type="spellStart"/>
      <w:r w:rsidRPr="00307FD2">
        <w:rPr>
          <w:rFonts w:ascii="Arial" w:hAnsi="Arial" w:cs="Arial"/>
          <w:color w:val="000000" w:themeColor="text1"/>
          <w:sz w:val="20"/>
          <w:szCs w:val="20"/>
        </w:rPr>
        <w:t>EtherPG</w:t>
      </w:r>
      <w:proofErr w:type="spellEnd"/>
      <w:r w:rsidRPr="00307FD2">
        <w:rPr>
          <w:rFonts w:ascii="Arial" w:hAnsi="Arial" w:cs="Arial"/>
          <w:color w:val="000000" w:themeColor="text1"/>
          <w:sz w:val="20"/>
          <w:szCs w:val="20"/>
        </w:rPr>
        <w:t xml:space="preserve">: ether-linked phosphatidylglycerol; </w:t>
      </w:r>
      <w:proofErr w:type="spellStart"/>
      <w:r w:rsidRPr="00307FD2">
        <w:rPr>
          <w:rFonts w:ascii="Arial" w:hAnsi="Arial" w:cs="Arial"/>
          <w:color w:val="000000" w:themeColor="text1"/>
          <w:sz w:val="20"/>
          <w:szCs w:val="20"/>
        </w:rPr>
        <w:t>EtherPI</w:t>
      </w:r>
      <w:proofErr w:type="spellEnd"/>
      <w:r w:rsidRPr="00307FD2">
        <w:rPr>
          <w:rFonts w:ascii="Arial" w:hAnsi="Arial" w:cs="Arial"/>
          <w:color w:val="000000" w:themeColor="text1"/>
          <w:sz w:val="20"/>
          <w:szCs w:val="20"/>
        </w:rPr>
        <w:t xml:space="preserve">: ether-linked phosphatidylinositol; </w:t>
      </w:r>
      <w:proofErr w:type="spellStart"/>
      <w:r w:rsidRPr="00307FD2">
        <w:rPr>
          <w:rFonts w:ascii="Arial" w:hAnsi="Arial" w:cs="Arial"/>
          <w:color w:val="000000" w:themeColor="text1"/>
          <w:sz w:val="20"/>
          <w:szCs w:val="20"/>
        </w:rPr>
        <w:t>HexCer</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hexosylceramide</w:t>
      </w:r>
      <w:proofErr w:type="spellEnd"/>
      <w:r w:rsidRPr="00307FD2">
        <w:rPr>
          <w:rFonts w:ascii="Arial" w:hAnsi="Arial" w:cs="Arial"/>
          <w:color w:val="000000" w:themeColor="text1"/>
          <w:sz w:val="20"/>
          <w:szCs w:val="20"/>
        </w:rPr>
        <w:t xml:space="preserve">; LPC: </w:t>
      </w:r>
      <w:proofErr w:type="spellStart"/>
      <w:r w:rsidRPr="00307FD2">
        <w:rPr>
          <w:rFonts w:ascii="Arial" w:hAnsi="Arial" w:cs="Arial"/>
          <w:color w:val="000000" w:themeColor="text1"/>
          <w:sz w:val="20"/>
          <w:szCs w:val="20"/>
        </w:rPr>
        <w:t>lysophosphatidylcholine</w:t>
      </w:r>
      <w:proofErr w:type="spellEnd"/>
      <w:r w:rsidRPr="00307FD2">
        <w:rPr>
          <w:rFonts w:ascii="Arial" w:hAnsi="Arial" w:cs="Arial"/>
          <w:color w:val="000000" w:themeColor="text1"/>
          <w:sz w:val="20"/>
          <w:szCs w:val="20"/>
        </w:rPr>
        <w:t xml:space="preserve">; LPE: </w:t>
      </w:r>
      <w:proofErr w:type="spellStart"/>
      <w:r w:rsidRPr="00307FD2">
        <w:rPr>
          <w:rFonts w:ascii="Arial" w:hAnsi="Arial" w:cs="Arial"/>
          <w:color w:val="000000" w:themeColor="text1"/>
          <w:sz w:val="20"/>
          <w:szCs w:val="20"/>
        </w:rPr>
        <w:t>lysophosphatidylethanolamine</w:t>
      </w:r>
      <w:proofErr w:type="spellEnd"/>
      <w:r w:rsidRPr="00307FD2">
        <w:rPr>
          <w:rFonts w:ascii="Arial" w:hAnsi="Arial" w:cs="Arial"/>
          <w:color w:val="000000" w:themeColor="text1"/>
          <w:sz w:val="20"/>
          <w:szCs w:val="20"/>
        </w:rPr>
        <w:t xml:space="preserve">; LPG: </w:t>
      </w:r>
      <w:proofErr w:type="spellStart"/>
      <w:r w:rsidRPr="00307FD2">
        <w:rPr>
          <w:rFonts w:ascii="Arial" w:hAnsi="Arial" w:cs="Arial"/>
          <w:color w:val="000000" w:themeColor="text1"/>
          <w:sz w:val="20"/>
          <w:szCs w:val="20"/>
        </w:rPr>
        <w:t>lysophosphatidylglycerol</w:t>
      </w:r>
      <w:proofErr w:type="spellEnd"/>
      <w:r w:rsidRPr="00307FD2">
        <w:rPr>
          <w:rFonts w:ascii="Arial" w:hAnsi="Arial" w:cs="Arial"/>
          <w:color w:val="000000" w:themeColor="text1"/>
          <w:sz w:val="20"/>
          <w:szCs w:val="20"/>
        </w:rPr>
        <w:t xml:space="preserve">; LPI: </w:t>
      </w:r>
      <w:proofErr w:type="spellStart"/>
      <w:r w:rsidRPr="00307FD2">
        <w:rPr>
          <w:rFonts w:ascii="Arial" w:hAnsi="Arial" w:cs="Arial"/>
          <w:color w:val="000000" w:themeColor="text1"/>
          <w:sz w:val="20"/>
          <w:szCs w:val="20"/>
        </w:rPr>
        <w:t>lysophosphatidylinositol</w:t>
      </w:r>
      <w:proofErr w:type="spellEnd"/>
      <w:r w:rsidRPr="00307FD2">
        <w:rPr>
          <w:rFonts w:ascii="Arial" w:hAnsi="Arial" w:cs="Arial"/>
          <w:color w:val="000000" w:themeColor="text1"/>
          <w:sz w:val="20"/>
          <w:szCs w:val="20"/>
        </w:rPr>
        <w:t xml:space="preserve">; </w:t>
      </w:r>
      <w:proofErr w:type="spellStart"/>
      <w:r w:rsidRPr="00307FD2">
        <w:rPr>
          <w:rFonts w:ascii="Arial" w:hAnsi="Arial" w:cs="Arial"/>
          <w:color w:val="000000" w:themeColor="text1"/>
          <w:sz w:val="20"/>
          <w:szCs w:val="20"/>
        </w:rPr>
        <w:t>OxPE</w:t>
      </w:r>
      <w:proofErr w:type="spellEnd"/>
      <w:r w:rsidRPr="00307FD2">
        <w:rPr>
          <w:rFonts w:ascii="Arial" w:hAnsi="Arial" w:cs="Arial"/>
          <w:color w:val="000000" w:themeColor="text1"/>
          <w:sz w:val="20"/>
          <w:szCs w:val="20"/>
        </w:rPr>
        <w:t xml:space="preserve">: oxidized phosphatidylethanolamine; </w:t>
      </w:r>
      <w:proofErr w:type="spellStart"/>
      <w:r w:rsidRPr="00307FD2">
        <w:rPr>
          <w:rFonts w:ascii="Arial" w:hAnsi="Arial" w:cs="Arial"/>
          <w:color w:val="000000" w:themeColor="text1"/>
          <w:sz w:val="20"/>
          <w:szCs w:val="20"/>
        </w:rPr>
        <w:t>OxPI</w:t>
      </w:r>
      <w:proofErr w:type="spellEnd"/>
      <w:r w:rsidRPr="00307FD2">
        <w:rPr>
          <w:rFonts w:ascii="Arial" w:hAnsi="Arial" w:cs="Arial"/>
          <w:color w:val="000000" w:themeColor="text1"/>
          <w:sz w:val="20"/>
          <w:szCs w:val="20"/>
        </w:rPr>
        <w:t>: oxidized phosphatidylinositol; PC: phosphatidylcholine; PE: phosphatidylethanolamine; PG/BMP: phosphatidylglycerol/bis(</w:t>
      </w:r>
      <w:proofErr w:type="spellStart"/>
      <w:r w:rsidRPr="00307FD2">
        <w:rPr>
          <w:rFonts w:ascii="Arial" w:hAnsi="Arial" w:cs="Arial"/>
          <w:color w:val="000000" w:themeColor="text1"/>
          <w:sz w:val="20"/>
          <w:szCs w:val="20"/>
        </w:rPr>
        <w:t>monoacylglycero</w:t>
      </w:r>
      <w:proofErr w:type="spellEnd"/>
      <w:r w:rsidRPr="00307FD2">
        <w:rPr>
          <w:rFonts w:ascii="Arial" w:hAnsi="Arial" w:cs="Arial"/>
          <w:color w:val="000000" w:themeColor="text1"/>
          <w:sz w:val="20"/>
          <w:szCs w:val="20"/>
        </w:rPr>
        <w:t xml:space="preserve">)phosphate; PI: phosphatidylinositol; </w:t>
      </w:r>
      <w:proofErr w:type="spellStart"/>
      <w:r w:rsidRPr="00307FD2">
        <w:rPr>
          <w:rFonts w:ascii="Arial" w:hAnsi="Arial" w:cs="Arial"/>
          <w:color w:val="000000" w:themeColor="text1"/>
          <w:sz w:val="20"/>
          <w:szCs w:val="20"/>
        </w:rPr>
        <w:t>SHexCer</w:t>
      </w:r>
      <w:proofErr w:type="spellEnd"/>
      <w:r w:rsidRPr="00307FD2">
        <w:rPr>
          <w:rFonts w:ascii="Arial" w:hAnsi="Arial" w:cs="Arial"/>
          <w:color w:val="000000" w:themeColor="text1"/>
          <w:sz w:val="20"/>
          <w:szCs w:val="20"/>
        </w:rPr>
        <w:t xml:space="preserve">: sulfatide; SM: sphingomyelin; TG: triglyceride (triacylglycerol). </w:t>
      </w:r>
    </w:p>
    <w:p w14:paraId="3EA94446" w14:textId="77777777" w:rsidR="000D2D25" w:rsidRPr="00307FD2" w:rsidRDefault="00EE2F48" w:rsidP="00CD3A05">
      <w:pPr>
        <w:jc w:val="both"/>
        <w:rPr>
          <w:rFonts w:ascii="Arial" w:hAnsi="Arial" w:cs="Arial"/>
          <w:color w:val="000000" w:themeColor="text1"/>
          <w:sz w:val="20"/>
          <w:szCs w:val="20"/>
        </w:rPr>
      </w:pP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E</w:t>
      </w:r>
      <w:r w:rsidRPr="00307FD2">
        <w:rPr>
          <w:rFonts w:ascii="Arial" w:hAnsi="Arial" w:cs="Arial"/>
          <w:color w:val="000000" w:themeColor="text1"/>
          <w:sz w:val="20"/>
          <w:szCs w:val="20"/>
        </w:rPr>
        <w:t>)</w:t>
      </w:r>
      <w:r w:rsidRPr="00307FD2">
        <w:rPr>
          <w:rFonts w:ascii="Arial" w:hAnsi="Arial" w:cs="Arial"/>
          <w:b/>
          <w:bCs/>
          <w:color w:val="000000" w:themeColor="text1"/>
          <w:sz w:val="20"/>
          <w:szCs w:val="20"/>
        </w:rPr>
        <w:t xml:space="preserve"> </w:t>
      </w:r>
      <w:r w:rsidRPr="00307FD2">
        <w:rPr>
          <w:rFonts w:ascii="Arial" w:hAnsi="Arial" w:cs="Arial"/>
          <w:color w:val="000000" w:themeColor="text1"/>
          <w:sz w:val="20"/>
          <w:szCs w:val="20"/>
        </w:rPr>
        <w:t>Percent (%) contribution (&gt;1%) of fatty acyl chain species to PG/BMP isomer composition in KO 7-month and WT 24-month lipofuscin and total brain (</w:t>
      </w:r>
      <w:r w:rsidRPr="00307FD2">
        <w:rPr>
          <w:rFonts w:ascii="Arial" w:hAnsi="Arial" w:cs="Arial"/>
          <w:i/>
          <w:color w:val="000000" w:themeColor="text1"/>
          <w:sz w:val="20"/>
          <w:szCs w:val="20"/>
        </w:rPr>
        <w:t>n =</w:t>
      </w:r>
      <w:r w:rsidRPr="00307FD2">
        <w:rPr>
          <w:rFonts w:ascii="Arial" w:hAnsi="Arial" w:cs="Arial"/>
          <w:color w:val="000000" w:themeColor="text1"/>
          <w:sz w:val="20"/>
          <w:szCs w:val="20"/>
        </w:rPr>
        <w:t xml:space="preserve"> 3 biological replicates). </w:t>
      </w:r>
    </w:p>
    <w:p w14:paraId="0338F71C" w14:textId="3B5ECB47" w:rsidR="00533F0D" w:rsidRPr="00307FD2" w:rsidRDefault="000D2D25" w:rsidP="00CD3A05">
      <w:pPr>
        <w:jc w:val="both"/>
        <w:rPr>
          <w:rFonts w:ascii="Arial" w:hAnsi="Arial" w:cs="Arial"/>
          <w:color w:val="000000" w:themeColor="text1"/>
          <w:sz w:val="20"/>
          <w:szCs w:val="20"/>
        </w:rPr>
      </w:pPr>
      <w:r w:rsidRPr="00307FD2">
        <w:rPr>
          <w:rFonts w:ascii="Arial" w:hAnsi="Arial" w:cs="Arial"/>
          <w:color w:val="000000" w:themeColor="text1"/>
          <w:sz w:val="20"/>
          <w:szCs w:val="20"/>
        </w:rPr>
        <w:t xml:space="preserve">KO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xml:space="preserve"> and WT = </w:t>
      </w:r>
      <w:r w:rsidRPr="00307FD2">
        <w:rPr>
          <w:rFonts w:ascii="Arial" w:hAnsi="Arial" w:cs="Arial"/>
          <w:i/>
          <w:iCs/>
          <w:color w:val="000000" w:themeColor="text1"/>
          <w:sz w:val="20"/>
          <w:szCs w:val="20"/>
        </w:rPr>
        <w:t>Ppt1</w:t>
      </w:r>
      <w:r w:rsidRPr="00307FD2">
        <w:rPr>
          <w:rFonts w:ascii="Arial" w:hAnsi="Arial" w:cs="Arial"/>
          <w:i/>
          <w:iCs/>
          <w:color w:val="000000" w:themeColor="text1"/>
          <w:sz w:val="20"/>
          <w:szCs w:val="20"/>
          <w:vertAlign w:val="superscript"/>
        </w:rPr>
        <w:t>+/+</w:t>
      </w:r>
      <w:r w:rsidRPr="00307FD2">
        <w:rPr>
          <w:rFonts w:ascii="Arial" w:hAnsi="Arial" w:cs="Arial"/>
          <w:color w:val="000000" w:themeColor="text1"/>
          <w:sz w:val="20"/>
          <w:szCs w:val="20"/>
        </w:rPr>
        <w:t>, throughout.</w:t>
      </w:r>
    </w:p>
    <w:sectPr w:rsidR="00533F0D" w:rsidRPr="00307FD2" w:rsidSect="00CD3A0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FF6EC" w14:textId="77777777" w:rsidR="00796C08" w:rsidRDefault="00796C08">
      <w:pPr>
        <w:spacing w:after="0" w:line="240" w:lineRule="auto"/>
      </w:pPr>
      <w:r>
        <w:separator/>
      </w:r>
    </w:p>
  </w:endnote>
  <w:endnote w:type="continuationSeparator" w:id="0">
    <w:p w14:paraId="1DA9CF8B" w14:textId="77777777" w:rsidR="00796C08" w:rsidRDefault="00796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4437136"/>
      <w:docPartObj>
        <w:docPartGallery w:val="Page Numbers (Bottom of Page)"/>
        <w:docPartUnique/>
      </w:docPartObj>
    </w:sdtPr>
    <w:sdtContent>
      <w:p w14:paraId="23CC1A62" w14:textId="77777777" w:rsidR="00C50741" w:rsidRDefault="00000000" w:rsidP="0085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681CEC27" w14:textId="77777777" w:rsidR="00C50741" w:rsidRDefault="00C50741" w:rsidP="008E59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2479218"/>
      <w:docPartObj>
        <w:docPartGallery w:val="Page Numbers (Bottom of Page)"/>
        <w:docPartUnique/>
      </w:docPartObj>
    </w:sdtPr>
    <w:sdtContent>
      <w:p w14:paraId="686B03E6" w14:textId="77777777" w:rsidR="00C50741" w:rsidRDefault="00000000" w:rsidP="0085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818371" w14:textId="77777777" w:rsidR="00C50741" w:rsidRDefault="00C50741" w:rsidP="008E594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3123673"/>
      <w:docPartObj>
        <w:docPartGallery w:val="Page Numbers (Bottom of Page)"/>
        <w:docPartUnique/>
      </w:docPartObj>
    </w:sdtPr>
    <w:sdtContent>
      <w:p w14:paraId="40CF88D9" w14:textId="77777777" w:rsidR="00555EF0" w:rsidRDefault="00555EF0" w:rsidP="0085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74C1B0CA" w14:textId="77777777" w:rsidR="00555EF0" w:rsidRDefault="00555EF0" w:rsidP="008E594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5137975"/>
      <w:docPartObj>
        <w:docPartGallery w:val="Page Numbers (Bottom of Page)"/>
        <w:docPartUnique/>
      </w:docPartObj>
    </w:sdtPr>
    <w:sdtContent>
      <w:p w14:paraId="25810D60" w14:textId="77777777" w:rsidR="00555EF0" w:rsidRDefault="00555EF0" w:rsidP="0085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AE18E" w14:textId="77777777" w:rsidR="00555EF0" w:rsidRDefault="00555EF0" w:rsidP="008E594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0925428"/>
      <w:docPartObj>
        <w:docPartGallery w:val="Page Numbers (Bottom of Page)"/>
        <w:docPartUnique/>
      </w:docPartObj>
    </w:sdtPr>
    <w:sdtContent>
      <w:p w14:paraId="47414C64" w14:textId="77777777" w:rsidR="00F7667E" w:rsidRDefault="00F7667E" w:rsidP="0085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2F1C61FC" w14:textId="77777777" w:rsidR="00F7667E" w:rsidRDefault="00F7667E" w:rsidP="008E594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7171852"/>
      <w:docPartObj>
        <w:docPartGallery w:val="Page Numbers (Bottom of Page)"/>
        <w:docPartUnique/>
      </w:docPartObj>
    </w:sdtPr>
    <w:sdtContent>
      <w:p w14:paraId="53A9F8F8" w14:textId="77777777" w:rsidR="00F7667E" w:rsidRDefault="00F7667E" w:rsidP="0085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C130EA" w14:textId="77777777" w:rsidR="00F7667E" w:rsidRDefault="00F7667E" w:rsidP="008E594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5646162"/>
      <w:docPartObj>
        <w:docPartGallery w:val="Page Numbers (Bottom of Page)"/>
        <w:docPartUnique/>
      </w:docPartObj>
    </w:sdtPr>
    <w:sdtContent>
      <w:p w14:paraId="72D8A428" w14:textId="77777777" w:rsidR="00952EFD" w:rsidRDefault="00952EFD" w:rsidP="0085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7C1E8F6F" w14:textId="77777777" w:rsidR="00952EFD" w:rsidRDefault="00952EFD" w:rsidP="008E594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1199888"/>
      <w:docPartObj>
        <w:docPartGallery w:val="Page Numbers (Bottom of Page)"/>
        <w:docPartUnique/>
      </w:docPartObj>
    </w:sdtPr>
    <w:sdtContent>
      <w:p w14:paraId="65C1740A" w14:textId="77777777" w:rsidR="00952EFD" w:rsidRDefault="00952EFD" w:rsidP="0085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8D84BD" w14:textId="77777777" w:rsidR="00952EFD" w:rsidRDefault="00952EFD" w:rsidP="008E59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9DB6C" w14:textId="77777777" w:rsidR="00796C08" w:rsidRDefault="00796C08">
      <w:pPr>
        <w:spacing w:after="0" w:line="240" w:lineRule="auto"/>
      </w:pPr>
      <w:r>
        <w:separator/>
      </w:r>
    </w:p>
  </w:footnote>
  <w:footnote w:type="continuationSeparator" w:id="0">
    <w:p w14:paraId="50591B97" w14:textId="77777777" w:rsidR="00796C08" w:rsidRDefault="00796C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F0D"/>
    <w:rsid w:val="000361B7"/>
    <w:rsid w:val="000657EC"/>
    <w:rsid w:val="000B0410"/>
    <w:rsid w:val="000D2D25"/>
    <w:rsid w:val="0010594A"/>
    <w:rsid w:val="00180CE8"/>
    <w:rsid w:val="001F7371"/>
    <w:rsid w:val="00236029"/>
    <w:rsid w:val="00251D10"/>
    <w:rsid w:val="00307FD2"/>
    <w:rsid w:val="0035651B"/>
    <w:rsid w:val="00374F5B"/>
    <w:rsid w:val="003A3B6D"/>
    <w:rsid w:val="003E35DA"/>
    <w:rsid w:val="004D2C86"/>
    <w:rsid w:val="004D7FF5"/>
    <w:rsid w:val="00533F0D"/>
    <w:rsid w:val="00555EF0"/>
    <w:rsid w:val="00560130"/>
    <w:rsid w:val="00591EBF"/>
    <w:rsid w:val="005E02A9"/>
    <w:rsid w:val="00613181"/>
    <w:rsid w:val="00632EEB"/>
    <w:rsid w:val="00637A36"/>
    <w:rsid w:val="006E0537"/>
    <w:rsid w:val="00724397"/>
    <w:rsid w:val="00732344"/>
    <w:rsid w:val="007775B7"/>
    <w:rsid w:val="00784995"/>
    <w:rsid w:val="00786A9D"/>
    <w:rsid w:val="00796C08"/>
    <w:rsid w:val="00820070"/>
    <w:rsid w:val="008513F0"/>
    <w:rsid w:val="008620BF"/>
    <w:rsid w:val="008645FB"/>
    <w:rsid w:val="008D3E95"/>
    <w:rsid w:val="00907455"/>
    <w:rsid w:val="00934753"/>
    <w:rsid w:val="00952EFD"/>
    <w:rsid w:val="009B6920"/>
    <w:rsid w:val="00A700C6"/>
    <w:rsid w:val="00AB38F2"/>
    <w:rsid w:val="00AC5A0F"/>
    <w:rsid w:val="00AE6EF5"/>
    <w:rsid w:val="00B37408"/>
    <w:rsid w:val="00B67DBA"/>
    <w:rsid w:val="00B833A7"/>
    <w:rsid w:val="00BC1B98"/>
    <w:rsid w:val="00BF43F6"/>
    <w:rsid w:val="00C172A9"/>
    <w:rsid w:val="00C34BB1"/>
    <w:rsid w:val="00C50741"/>
    <w:rsid w:val="00C75BD0"/>
    <w:rsid w:val="00C872BB"/>
    <w:rsid w:val="00CD3A05"/>
    <w:rsid w:val="00D129AB"/>
    <w:rsid w:val="00D84B88"/>
    <w:rsid w:val="00DB4985"/>
    <w:rsid w:val="00DE3641"/>
    <w:rsid w:val="00E27DD1"/>
    <w:rsid w:val="00E45F65"/>
    <w:rsid w:val="00EA20E8"/>
    <w:rsid w:val="00ED20A3"/>
    <w:rsid w:val="00ED6287"/>
    <w:rsid w:val="00EE2F48"/>
    <w:rsid w:val="00F167F6"/>
    <w:rsid w:val="00F3003A"/>
    <w:rsid w:val="00F31842"/>
    <w:rsid w:val="00F7667E"/>
    <w:rsid w:val="00F90768"/>
    <w:rsid w:val="00F95BC2"/>
    <w:rsid w:val="00FC3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C08DD3"/>
  <w15:chartTrackingRefBased/>
  <w15:docId w15:val="{4372BAB4-EFD4-C849-B7F7-F4042B67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F0D"/>
    <w:pPr>
      <w:spacing w:line="259" w:lineRule="auto"/>
    </w:pPr>
    <w:rPr>
      <w:kern w:val="0"/>
      <w:sz w:val="22"/>
      <w:szCs w:val="22"/>
      <w14:ligatures w14:val="none"/>
    </w:rPr>
  </w:style>
  <w:style w:type="paragraph" w:styleId="Heading1">
    <w:name w:val="heading 1"/>
    <w:basedOn w:val="Normal"/>
    <w:next w:val="Normal"/>
    <w:link w:val="Heading1Char"/>
    <w:uiPriority w:val="9"/>
    <w:qFormat/>
    <w:rsid w:val="00533F0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33F0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33F0D"/>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33F0D"/>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33F0D"/>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33F0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33F0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33F0D"/>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33F0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F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3F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3F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3F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3F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3F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3F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3F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3F0D"/>
    <w:rPr>
      <w:rFonts w:eastAsiaTheme="majorEastAsia" w:cstheme="majorBidi"/>
      <w:color w:val="272727" w:themeColor="text1" w:themeTint="D8"/>
    </w:rPr>
  </w:style>
  <w:style w:type="paragraph" w:styleId="Title">
    <w:name w:val="Title"/>
    <w:basedOn w:val="Normal"/>
    <w:next w:val="Normal"/>
    <w:link w:val="TitleChar"/>
    <w:uiPriority w:val="10"/>
    <w:qFormat/>
    <w:rsid w:val="00533F0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33F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3F0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33F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3F0D"/>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33F0D"/>
    <w:rPr>
      <w:i/>
      <w:iCs/>
      <w:color w:val="404040" w:themeColor="text1" w:themeTint="BF"/>
    </w:rPr>
  </w:style>
  <w:style w:type="paragraph" w:styleId="ListParagraph">
    <w:name w:val="List Paragraph"/>
    <w:basedOn w:val="Normal"/>
    <w:uiPriority w:val="99"/>
    <w:qFormat/>
    <w:rsid w:val="00533F0D"/>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533F0D"/>
    <w:rPr>
      <w:i/>
      <w:iCs/>
      <w:color w:val="0F4761" w:themeColor="accent1" w:themeShade="BF"/>
    </w:rPr>
  </w:style>
  <w:style w:type="paragraph" w:styleId="IntenseQuote">
    <w:name w:val="Intense Quote"/>
    <w:basedOn w:val="Normal"/>
    <w:next w:val="Normal"/>
    <w:link w:val="IntenseQuoteChar"/>
    <w:uiPriority w:val="30"/>
    <w:qFormat/>
    <w:rsid w:val="00533F0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33F0D"/>
    <w:rPr>
      <w:i/>
      <w:iCs/>
      <w:color w:val="0F4761" w:themeColor="accent1" w:themeShade="BF"/>
    </w:rPr>
  </w:style>
  <w:style w:type="character" w:styleId="IntenseReference">
    <w:name w:val="Intense Reference"/>
    <w:basedOn w:val="DefaultParagraphFont"/>
    <w:uiPriority w:val="32"/>
    <w:qFormat/>
    <w:rsid w:val="00533F0D"/>
    <w:rPr>
      <w:b/>
      <w:bCs/>
      <w:smallCaps/>
      <w:color w:val="0F4761" w:themeColor="accent1" w:themeShade="BF"/>
      <w:spacing w:val="5"/>
    </w:rPr>
  </w:style>
  <w:style w:type="paragraph" w:customStyle="1" w:styleId="Body">
    <w:name w:val="Body"/>
    <w:rsid w:val="00533F0D"/>
    <w:pPr>
      <w:pBdr>
        <w:top w:val="nil"/>
        <w:left w:val="nil"/>
        <w:bottom w:val="nil"/>
        <w:right w:val="nil"/>
        <w:between w:val="nil"/>
        <w:bar w:val="nil"/>
      </w:pBdr>
      <w:spacing w:after="0" w:line="240" w:lineRule="auto"/>
    </w:pPr>
    <w:rPr>
      <w:rFonts w:ascii="Cambria" w:eastAsia="Cambria" w:hAnsi="Cambria" w:cs="Cambria"/>
      <w:color w:val="000000"/>
      <w:kern w:val="0"/>
      <w:u w:color="000000"/>
      <w:bdr w:val="nil"/>
      <w14:ligatures w14:val="none"/>
    </w:rPr>
  </w:style>
  <w:style w:type="paragraph" w:styleId="Footer">
    <w:name w:val="footer"/>
    <w:basedOn w:val="Normal"/>
    <w:link w:val="FooterChar"/>
    <w:uiPriority w:val="99"/>
    <w:unhideWhenUsed/>
    <w:rsid w:val="00EE2F48"/>
    <w:pPr>
      <w:tabs>
        <w:tab w:val="center" w:pos="4680"/>
        <w:tab w:val="right" w:pos="9360"/>
      </w:tabs>
      <w:spacing w:after="0" w:line="240" w:lineRule="auto"/>
    </w:pPr>
    <w:rPr>
      <w:kern w:val="2"/>
      <w:sz w:val="24"/>
      <w:szCs w:val="24"/>
      <w14:ligatures w14:val="standardContextual"/>
    </w:rPr>
  </w:style>
  <w:style w:type="character" w:customStyle="1" w:styleId="FooterChar">
    <w:name w:val="Footer Char"/>
    <w:basedOn w:val="DefaultParagraphFont"/>
    <w:link w:val="Footer"/>
    <w:uiPriority w:val="99"/>
    <w:rsid w:val="00EE2F48"/>
  </w:style>
  <w:style w:type="character" w:styleId="PageNumber">
    <w:name w:val="page number"/>
    <w:basedOn w:val="DefaultParagraphFont"/>
    <w:uiPriority w:val="99"/>
    <w:semiHidden/>
    <w:unhideWhenUsed/>
    <w:rsid w:val="00EE2F48"/>
  </w:style>
  <w:style w:type="character" w:styleId="LineNumber">
    <w:name w:val="line number"/>
    <w:basedOn w:val="DefaultParagraphFont"/>
    <w:uiPriority w:val="99"/>
    <w:semiHidden/>
    <w:unhideWhenUsed/>
    <w:rsid w:val="00CD3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2422</Words>
  <Characters>13808</Characters>
  <Application>Microsoft Office Word</Application>
  <DocSecurity>0</DocSecurity>
  <Lines>115</Lines>
  <Paragraphs>32</Paragraphs>
  <ScaleCrop>false</ScaleCrop>
  <Company/>
  <LinksUpToDate>false</LinksUpToDate>
  <CharactersWithSpaces>16198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Tieze, Sofia</dc:creator>
  <cp:keywords/>
  <dc:description/>
  <cp:lastModifiedBy>Tieze, Sofia</cp:lastModifiedBy>
  <cp:revision>2</cp:revision>
  <dcterms:created xsi:type="dcterms:W3CDTF">2026-01-29T21:24:00Z</dcterms:created>
  <dcterms:modified xsi:type="dcterms:W3CDTF">2026-01-29T21:24:00Z</dcterms:modified>
</cp:coreProperties>
</file>