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B7DA64" w14:textId="77777777" w:rsidR="005972F0" w:rsidRDefault="005972F0" w:rsidP="005972F0">
      <w:pPr>
        <w:suppressLineNumbers/>
        <w:spacing w:after="0" w:line="360" w:lineRule="auto"/>
        <w:jc w:val="both"/>
        <w:rPr>
          <w:rFonts w:ascii="Times New Roman" w:eastAsia="SimSun" w:hAnsi="Times New Roman" w:cs="Times New Roman"/>
          <w:b/>
          <w:bCs/>
          <w:sz w:val="20"/>
          <w:szCs w:val="20"/>
        </w:rPr>
      </w:pPr>
      <w:r>
        <w:rPr>
          <w:rFonts w:ascii="Times New Roman" w:eastAsia="SimSun" w:hAnsi="Times New Roman" w:cs="Times New Roman"/>
          <w:b/>
          <w:bCs/>
          <w:sz w:val="20"/>
          <w:szCs w:val="20"/>
        </w:rPr>
        <w:t>Supplementary Material</w:t>
      </w:r>
    </w:p>
    <w:p w14:paraId="7E421F3E" w14:textId="77777777" w:rsidR="005972F0" w:rsidRDefault="005972F0" w:rsidP="005972F0">
      <w:pPr>
        <w:suppressLineNumbers/>
        <w:spacing w:after="0" w:line="360" w:lineRule="auto"/>
        <w:jc w:val="center"/>
        <w:rPr>
          <w:rFonts w:ascii="Times New Roman" w:eastAsia="SimSun" w:hAnsi="Times New Roman" w:cs="Times New Roman"/>
          <w:b/>
          <w:bCs/>
          <w:sz w:val="20"/>
          <w:szCs w:val="20"/>
        </w:rPr>
      </w:pPr>
      <w:r>
        <w:rPr>
          <w:rFonts w:ascii="Times New Roman" w:eastAsia="SimSun" w:hAnsi="Times New Roman" w:cs="Times New Roman"/>
          <w:b/>
          <w:bCs/>
          <w:noProof/>
          <w:sz w:val="20"/>
          <w:szCs w:val="20"/>
          <w14:ligatures w14:val="none"/>
        </w:rPr>
        <w:drawing>
          <wp:inline distT="0" distB="0" distL="0" distR="0" wp14:anchorId="411EA10D" wp14:editId="4F155720">
            <wp:extent cx="3110230" cy="2907665"/>
            <wp:effectExtent l="0" t="0" r="0" b="698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10484" cy="2907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B58376" w14:textId="77777777" w:rsidR="005972F0" w:rsidRDefault="005972F0" w:rsidP="005972F0">
      <w:pPr>
        <w:suppressLineNumbers/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Fig.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S1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Soil microbial abundance and structure in different treatments.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Stacked bars show mean phospholipid fatty acid (PLFA) abundance (nmol g</w:t>
      </w: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 xml:space="preserve">-1 </w:t>
      </w:r>
      <w:r>
        <w:rPr>
          <w:rFonts w:ascii="Times New Roman" w:hAnsi="Times New Roman" w:cs="Times New Roman"/>
          <w:sz w:val="20"/>
          <w:szCs w:val="20"/>
        </w:rPr>
        <w:t>soil) for major microbial groups in unplanted controls, NF, and non-NF treatments. Segments represent total bacteria, Gram-negative bacteria (G</w:t>
      </w:r>
      <w:r>
        <w:rPr>
          <w:rFonts w:ascii="Times New Roman" w:hAnsi="Times New Roman" w:cs="Times New Roman" w:hint="eastAsia"/>
          <w:sz w:val="20"/>
          <w:szCs w:val="20"/>
        </w:rPr>
        <w:t>-</w:t>
      </w:r>
      <w:r>
        <w:rPr>
          <w:rFonts w:ascii="Times New Roman" w:hAnsi="Times New Roman" w:cs="Times New Roman"/>
          <w:sz w:val="20"/>
          <w:szCs w:val="20"/>
        </w:rPr>
        <w:t>neg), Gram-positive bacteria (G</w:t>
      </w:r>
      <w:r>
        <w:rPr>
          <w:rFonts w:ascii="Times New Roman" w:hAnsi="Times New Roman" w:cs="Times New Roman" w:hint="eastAsia"/>
          <w:sz w:val="20"/>
          <w:szCs w:val="20"/>
        </w:rPr>
        <w:t>-</w:t>
      </w:r>
      <w:r>
        <w:rPr>
          <w:rFonts w:ascii="Times New Roman" w:hAnsi="Times New Roman" w:cs="Times New Roman"/>
          <w:sz w:val="20"/>
          <w:szCs w:val="20"/>
        </w:rPr>
        <w:t>pos), actinomycetes, fungi, arbuscular mycorrhizal fungi (AM), and ectomycorrhizal fungi (EM). Letters within each microbial group denote significant differences among treatments for that group (</w:t>
      </w:r>
      <w:r>
        <w:rPr>
          <w:rFonts w:ascii="Times New Roman" w:hAnsi="Times New Roman" w:cs="Times New Roman" w:hint="eastAsia"/>
          <w:i/>
          <w:iCs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 xml:space="preserve"> &lt; 0.05; post hoc pairwise comparisons)</w:t>
      </w:r>
    </w:p>
    <w:p w14:paraId="53811C1C" w14:textId="77777777" w:rsidR="005972F0" w:rsidRDefault="005972F0" w:rsidP="005972F0">
      <w:pPr>
        <w:suppressLineNumbers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14:ligatures w14:val="none"/>
        </w:rPr>
        <w:lastRenderedPageBreak/>
        <w:drawing>
          <wp:inline distT="0" distB="0" distL="0" distR="0" wp14:anchorId="00BC3395" wp14:editId="4F137D25">
            <wp:extent cx="5274310" cy="3566795"/>
            <wp:effectExtent l="0" t="0" r="2540" b="0"/>
            <wp:docPr id="7" name="图片 7" descr="图形用户界面,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形用户界面, 图示&#10;&#10;描述已自动生成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66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203AA3" w14:textId="77777777" w:rsidR="005972F0" w:rsidRDefault="005972F0" w:rsidP="005972F0">
      <w:pPr>
        <w:suppressLineNumbers/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Fig.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S2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Mantel-based network </w:t>
      </w:r>
      <w:r>
        <w:rPr>
          <w:rFonts w:ascii="Times New Roman" w:hAnsi="Times New Roman" w:cs="Times New Roman" w:hint="eastAsia"/>
          <w:sz w:val="20"/>
          <w:szCs w:val="20"/>
        </w:rPr>
        <w:t xml:space="preserve">of </w:t>
      </w:r>
      <w:r>
        <w:rPr>
          <w:rFonts w:ascii="Times New Roman" w:hAnsi="Times New Roman" w:cs="Times New Roman"/>
          <w:sz w:val="20"/>
          <w:szCs w:val="20"/>
        </w:rPr>
        <w:t>associations linking weathering indices to root</w:t>
      </w:r>
      <w:r>
        <w:rPr>
          <w:rFonts w:ascii="Times New Roman" w:hAnsi="Times New Roman" w:cs="Times New Roman" w:hint="eastAsia"/>
          <w:sz w:val="20"/>
          <w:szCs w:val="20"/>
        </w:rPr>
        <w:t>–</w:t>
      </w:r>
      <w:r>
        <w:rPr>
          <w:rFonts w:ascii="Times New Roman" w:hAnsi="Times New Roman" w:cs="Times New Roman"/>
          <w:sz w:val="20"/>
          <w:szCs w:val="20"/>
        </w:rPr>
        <w:t>soil</w:t>
      </w:r>
      <w:r>
        <w:rPr>
          <w:rFonts w:ascii="Times New Roman" w:hAnsi="Times New Roman" w:cs="Times New Roman" w:hint="eastAsia"/>
          <w:sz w:val="20"/>
          <w:szCs w:val="20"/>
        </w:rPr>
        <w:t>–</w:t>
      </w:r>
      <w:r>
        <w:rPr>
          <w:rFonts w:ascii="Times New Roman" w:hAnsi="Times New Roman" w:cs="Times New Roman"/>
          <w:sz w:val="20"/>
          <w:szCs w:val="20"/>
        </w:rPr>
        <w:t>microbial variables.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AP, available phosphorus; SOC, soil organic carbon; TN, total nitrogen; TP, total phosphorus; MBC, microbial biomass carbon; MBN, microbial biomass nitrogen; MBC:MBN, microbial biomass C:N ratio;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 w:hint="eastAsia"/>
          <w:sz w:val="20"/>
          <w:szCs w:val="20"/>
        </w:rPr>
        <w:t>-</w:t>
      </w:r>
      <w:r>
        <w:rPr>
          <w:rFonts w:ascii="Times New Roman" w:hAnsi="Times New Roman" w:cs="Times New Roman"/>
          <w:sz w:val="20"/>
          <w:szCs w:val="20"/>
        </w:rPr>
        <w:t>enz, C-acquiring enzyme activity; N</w:t>
      </w:r>
      <w:r>
        <w:rPr>
          <w:rFonts w:ascii="Times New Roman" w:hAnsi="Times New Roman" w:cs="Times New Roman" w:hint="eastAsia"/>
          <w:sz w:val="20"/>
          <w:szCs w:val="20"/>
        </w:rPr>
        <w:t>-</w:t>
      </w:r>
      <w:r>
        <w:rPr>
          <w:rFonts w:ascii="Times New Roman" w:hAnsi="Times New Roman" w:cs="Times New Roman"/>
          <w:sz w:val="20"/>
          <w:szCs w:val="20"/>
        </w:rPr>
        <w:t>enz, N-acquiring enzyme activity; P</w:t>
      </w:r>
      <w:r>
        <w:rPr>
          <w:rFonts w:ascii="Times New Roman" w:hAnsi="Times New Roman" w:cs="Times New Roman" w:hint="eastAsia"/>
          <w:sz w:val="20"/>
          <w:szCs w:val="20"/>
        </w:rPr>
        <w:t>-</w:t>
      </w:r>
      <w:r>
        <w:rPr>
          <w:rFonts w:ascii="Times New Roman" w:hAnsi="Times New Roman" w:cs="Times New Roman"/>
          <w:sz w:val="20"/>
          <w:szCs w:val="20"/>
        </w:rPr>
        <w:t>enz, P-acquiring enzyme activity; SRL, specific root length; SSA, specific surface area; RTD, root tissue density; Root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N, fine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root N concentration; Root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P, fine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root P concentration;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Total</w:t>
      </w:r>
      <w:r>
        <w:rPr>
          <w:rFonts w:ascii="Times New Roman" w:hAnsi="Times New Roman" w:cs="Times New Roman" w:hint="eastAsia"/>
          <w:sz w:val="20"/>
          <w:szCs w:val="20"/>
        </w:rPr>
        <w:t xml:space="preserve"> PLFA</w:t>
      </w:r>
      <w:r>
        <w:rPr>
          <w:rFonts w:ascii="Times New Roman" w:hAnsi="Times New Roman" w:cs="Times New Roman"/>
          <w:sz w:val="20"/>
          <w:szCs w:val="20"/>
        </w:rPr>
        <w:t>, total PLFA abundance; F</w:t>
      </w:r>
      <w:r>
        <w:rPr>
          <w:rFonts w:ascii="Times New Roman" w:hAnsi="Times New Roman" w:cs="Times New Roman" w:hint="eastAsia"/>
          <w:sz w:val="20"/>
          <w:szCs w:val="20"/>
        </w:rPr>
        <w:t>:</w:t>
      </w:r>
      <w:r>
        <w:rPr>
          <w:rFonts w:ascii="Times New Roman" w:hAnsi="Times New Roman" w:cs="Times New Roman"/>
          <w:sz w:val="20"/>
          <w:szCs w:val="20"/>
        </w:rPr>
        <w:t>B, fungal:bacterial PLFA ratio; PLFA, phospholipid fatty acids; Actinomycetes, actinomycete PLFA abundance; W</w:t>
      </w:r>
      <w:r>
        <w:rPr>
          <w:rFonts w:ascii="Times New Roman" w:hAnsi="Times New Roman" w:cs="Times New Roman"/>
          <w:sz w:val="20"/>
          <w:szCs w:val="20"/>
          <w:vertAlign w:val="subscript"/>
        </w:rPr>
        <w:t>Ca</w:t>
      </w:r>
      <w:r>
        <w:rPr>
          <w:rFonts w:ascii="Times New Roman" w:hAnsi="Times New Roman" w:cs="Times New Roman"/>
          <w:sz w:val="20"/>
          <w:szCs w:val="20"/>
        </w:rPr>
        <w:t xml:space="preserve"> and W</w:t>
      </w:r>
      <w:r>
        <w:rPr>
          <w:rFonts w:ascii="Times New Roman" w:hAnsi="Times New Roman" w:cs="Times New Roman"/>
          <w:sz w:val="20"/>
          <w:szCs w:val="20"/>
          <w:vertAlign w:val="subscript"/>
        </w:rPr>
        <w:t>Na</w:t>
      </w:r>
      <w:r>
        <w:rPr>
          <w:rFonts w:ascii="Times New Roman" w:hAnsi="Times New Roman" w:cs="Times New Roman"/>
          <w:sz w:val="20"/>
          <w:szCs w:val="20"/>
        </w:rPr>
        <w:t>, Al-normalised depletion indices for Ca and Na</w:t>
      </w:r>
    </w:p>
    <w:p w14:paraId="3E76383C" w14:textId="77777777" w:rsidR="005972F0" w:rsidRDefault="005972F0" w:rsidP="005972F0">
      <w:pPr>
        <w:suppressLineNumbers/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14:ligatures w14:val="none"/>
        </w:rPr>
        <w:lastRenderedPageBreak/>
        <w:drawing>
          <wp:inline distT="0" distB="0" distL="0" distR="0" wp14:anchorId="39B4E01E" wp14:editId="6B069E83">
            <wp:extent cx="3084195" cy="3936365"/>
            <wp:effectExtent l="0" t="0" r="1905" b="6985"/>
            <wp:docPr id="8" name="图片 8" descr="图表, 条形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表, 条形图&#10;&#10;描述已自动生成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84576" cy="3936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583867" w14:textId="77777777" w:rsidR="005972F0" w:rsidRDefault="005972F0" w:rsidP="005972F0">
      <w:pPr>
        <w:suppressLineNumbers/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Fig.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S3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Random forest ranking of predictors for the composite weathering axis</w:t>
      </w:r>
      <w:r>
        <w:rPr>
          <w:rFonts w:ascii="Times New Roman" w:hAnsi="Times New Roman" w:cs="Times New Roman" w:hint="eastAsia"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>Variable importance for predicting Weathering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PC1 (the first principal component derived from W</w:t>
      </w:r>
      <w:r>
        <w:rPr>
          <w:rFonts w:ascii="Times New Roman" w:hAnsi="Times New Roman" w:cs="Times New Roman"/>
          <w:sz w:val="20"/>
          <w:szCs w:val="20"/>
          <w:vertAlign w:val="subscript"/>
        </w:rPr>
        <w:t>Ca</w:t>
      </w:r>
      <w:r>
        <w:rPr>
          <w:rFonts w:ascii="Times New Roman" w:hAnsi="Times New Roman" w:cs="Times New Roman"/>
          <w:sz w:val="20"/>
          <w:szCs w:val="20"/>
        </w:rPr>
        <w:t xml:space="preserve"> and W</w:t>
      </w:r>
      <w:r>
        <w:rPr>
          <w:rFonts w:ascii="Times New Roman" w:hAnsi="Times New Roman" w:cs="Times New Roman"/>
          <w:sz w:val="20"/>
          <w:szCs w:val="20"/>
          <w:vertAlign w:val="subscript"/>
        </w:rPr>
        <w:t>Na</w:t>
      </w:r>
      <w:r>
        <w:rPr>
          <w:rFonts w:ascii="Times New Roman" w:hAnsi="Times New Roman" w:cs="Times New Roman"/>
          <w:sz w:val="20"/>
          <w:szCs w:val="20"/>
        </w:rPr>
        <w:t>) using random forest models. Importance is expressed as the percent increase in mean squared error (%IncMSE) when each predictor is permuted; larger values indicate stronger predictive contribution. RTD</w:t>
      </w:r>
      <w:r>
        <w:rPr>
          <w:rFonts w:ascii="Times New Roman" w:hAnsi="Times New Roman" w:cs="Times New Roman" w:hint="eastAsia"/>
          <w:sz w:val="20"/>
          <w:szCs w:val="20"/>
        </w:rPr>
        <w:t>-</w:t>
      </w:r>
      <w:r>
        <w:rPr>
          <w:rFonts w:ascii="Times New Roman" w:hAnsi="Times New Roman" w:cs="Times New Roman"/>
          <w:sz w:val="20"/>
          <w:szCs w:val="20"/>
        </w:rPr>
        <w:t>inv denotes inverse root tissue density (1/RTD)</w:t>
      </w:r>
      <w:r>
        <w:rPr>
          <w:rFonts w:ascii="Times New Roman" w:hAnsi="Times New Roman" w:cs="Times New Roman" w:hint="eastAsia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Asterisks indicate predictors with significant importance based on permutation tests (*</w:t>
      </w:r>
      <w:r>
        <w:rPr>
          <w:rFonts w:ascii="Times New Roman" w:hAnsi="Times New Roman" w:cs="Times New Roman" w:hint="eastAsia"/>
          <w:i/>
          <w:iCs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 xml:space="preserve"> &lt; 0.05, **</w:t>
      </w:r>
      <w:r>
        <w:rPr>
          <w:rFonts w:ascii="Times New Roman" w:hAnsi="Times New Roman" w:cs="Times New Roman" w:hint="eastAsia"/>
          <w:i/>
          <w:iCs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 xml:space="preserve"> &lt; 0.01)</w:t>
      </w:r>
    </w:p>
    <w:p w14:paraId="4B78A2C1" w14:textId="77777777" w:rsidR="005972F0" w:rsidRDefault="005972F0" w:rsidP="005972F0">
      <w:pPr>
        <w:suppressLineNumbers/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vertAlign w:val="subscript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Table S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1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PCA results for the composite weathering index derived from W</w:t>
      </w:r>
      <w:r>
        <w:rPr>
          <w:rFonts w:ascii="Times New Roman" w:hAnsi="Times New Roman" w:cs="Times New Roman"/>
          <w:sz w:val="20"/>
          <w:szCs w:val="20"/>
          <w:vertAlign w:val="subscript"/>
        </w:rPr>
        <w:t>Ca</w:t>
      </w:r>
      <w:r>
        <w:rPr>
          <w:rFonts w:ascii="Times New Roman" w:hAnsi="Times New Roman" w:cs="Times New Roman"/>
          <w:sz w:val="20"/>
          <w:szCs w:val="20"/>
        </w:rPr>
        <w:t xml:space="preserve"> and W</w:t>
      </w:r>
      <w:r>
        <w:rPr>
          <w:rFonts w:ascii="Times New Roman" w:hAnsi="Times New Roman" w:cs="Times New Roman"/>
          <w:sz w:val="20"/>
          <w:szCs w:val="20"/>
          <w:vertAlign w:val="subscript"/>
        </w:rPr>
        <w:t>Na</w:t>
      </w:r>
    </w:p>
    <w:tbl>
      <w:tblPr>
        <w:tblStyle w:val="1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078"/>
        <w:gridCol w:w="2088"/>
        <w:gridCol w:w="2070"/>
        <w:gridCol w:w="2070"/>
      </w:tblGrid>
      <w:tr w:rsidR="005972F0" w14:paraId="45955B20" w14:textId="77777777" w:rsidTr="00D42810"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08B00F" w14:textId="77777777" w:rsidR="005972F0" w:rsidRDefault="005972F0" w:rsidP="00D42810">
            <w:pPr>
              <w:rPr>
                <w:rFonts w:eastAsia="SimSun"/>
                <w:sz w:val="20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572982" w14:textId="77777777" w:rsidR="005972F0" w:rsidRDefault="005972F0" w:rsidP="00D42810">
            <w:pPr>
              <w:rPr>
                <w:rFonts w:eastAsia="Times New Roman"/>
                <w:sz w:val="20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E03605" w14:textId="77777777" w:rsidR="005972F0" w:rsidRDefault="005972F0" w:rsidP="00D42810">
            <w:pPr>
              <w:rPr>
                <w:rFonts w:eastAsia="Times New Roman"/>
                <w:sz w:val="20"/>
              </w:rPr>
            </w:pPr>
            <w:r>
              <w:rPr>
                <w:rFonts w:eastAsia="Times New Roman"/>
                <w:b/>
                <w:bCs/>
                <w:sz w:val="20"/>
              </w:rPr>
              <w:t>PC1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8536D5" w14:textId="77777777" w:rsidR="005972F0" w:rsidRDefault="005972F0" w:rsidP="00D42810">
            <w:pPr>
              <w:rPr>
                <w:rFonts w:eastAsia="Times New Roman"/>
                <w:sz w:val="20"/>
              </w:rPr>
            </w:pPr>
            <w:r>
              <w:rPr>
                <w:rFonts w:eastAsia="Times New Roman"/>
                <w:b/>
                <w:bCs/>
                <w:sz w:val="20"/>
              </w:rPr>
              <w:t>PC2</w:t>
            </w:r>
          </w:p>
        </w:tc>
      </w:tr>
      <w:tr w:rsidR="005972F0" w14:paraId="1A71B5F5" w14:textId="77777777" w:rsidTr="00D42810">
        <w:tc>
          <w:tcPr>
            <w:tcW w:w="21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D5BAFC" w14:textId="77777777" w:rsidR="005972F0" w:rsidRDefault="005972F0" w:rsidP="00D42810">
            <w:pPr>
              <w:rPr>
                <w:rFonts w:eastAsia="Times New Roman"/>
                <w:sz w:val="20"/>
              </w:rPr>
            </w:pPr>
            <w:r>
              <w:rPr>
                <w:rFonts w:eastAsia="Times New Roman"/>
                <w:sz w:val="20"/>
              </w:rPr>
              <w:t>All samples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731FA6" w14:textId="77777777" w:rsidR="005972F0" w:rsidRDefault="005972F0" w:rsidP="00D42810">
            <w:pPr>
              <w:rPr>
                <w:rFonts w:eastAsia="Times New Roman"/>
                <w:sz w:val="20"/>
              </w:rPr>
            </w:pPr>
            <w:r>
              <w:rPr>
                <w:rFonts w:eastAsia="Times New Roman"/>
                <w:sz w:val="20"/>
              </w:rPr>
              <w:t>Eigenvalue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9215CB" w14:textId="77777777" w:rsidR="005972F0" w:rsidRDefault="005972F0" w:rsidP="00D42810">
            <w:pPr>
              <w:rPr>
                <w:rFonts w:eastAsia="Times New Roman"/>
                <w:sz w:val="20"/>
              </w:rPr>
            </w:pPr>
            <w:r>
              <w:rPr>
                <w:rFonts w:eastAsia="Times New Roman"/>
                <w:sz w:val="20"/>
              </w:rPr>
              <w:t>1.568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5AFB92" w14:textId="77777777" w:rsidR="005972F0" w:rsidRDefault="005972F0" w:rsidP="00D42810">
            <w:pPr>
              <w:rPr>
                <w:rFonts w:eastAsia="Times New Roman"/>
                <w:sz w:val="20"/>
              </w:rPr>
            </w:pPr>
            <w:r>
              <w:rPr>
                <w:rFonts w:eastAsia="Times New Roman"/>
                <w:sz w:val="20"/>
              </w:rPr>
              <w:t>0.432</w:t>
            </w:r>
          </w:p>
        </w:tc>
      </w:tr>
      <w:tr w:rsidR="005972F0" w14:paraId="55EFAF3A" w14:textId="77777777" w:rsidTr="00D42810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175E2809" w14:textId="77777777" w:rsidR="005972F0" w:rsidRDefault="005972F0" w:rsidP="00D42810">
            <w:pPr>
              <w:rPr>
                <w:rFonts w:eastAsia="Times New Roman"/>
                <w:sz w:val="20"/>
              </w:rPr>
            </w:pPr>
            <w:r>
              <w:rPr>
                <w:rFonts w:eastAsia="Times New Roman"/>
                <w:sz w:val="20"/>
              </w:rPr>
              <w:t>n=24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32B0CF" w14:textId="77777777" w:rsidR="005972F0" w:rsidRDefault="005972F0" w:rsidP="00D42810">
            <w:pPr>
              <w:rPr>
                <w:rFonts w:eastAsia="Times New Roman"/>
                <w:sz w:val="20"/>
              </w:rPr>
            </w:pPr>
            <w:r>
              <w:rPr>
                <w:rFonts w:eastAsia="Times New Roman"/>
                <w:sz w:val="20"/>
              </w:rPr>
              <w:t>Variance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B5B4A0" w14:textId="77777777" w:rsidR="005972F0" w:rsidRDefault="005972F0" w:rsidP="00D42810">
            <w:pPr>
              <w:rPr>
                <w:rFonts w:eastAsia="Times New Roman"/>
                <w:sz w:val="20"/>
              </w:rPr>
            </w:pPr>
            <w:r>
              <w:rPr>
                <w:rFonts w:eastAsia="Times New Roman"/>
                <w:sz w:val="20"/>
              </w:rPr>
              <w:t>0.784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DF41E3" w14:textId="77777777" w:rsidR="005972F0" w:rsidRDefault="005972F0" w:rsidP="00D42810">
            <w:pPr>
              <w:rPr>
                <w:rFonts w:eastAsia="Times New Roman"/>
                <w:sz w:val="20"/>
              </w:rPr>
            </w:pPr>
            <w:r>
              <w:rPr>
                <w:rFonts w:eastAsia="Times New Roman"/>
                <w:sz w:val="20"/>
              </w:rPr>
              <w:t>0.216</w:t>
            </w:r>
          </w:p>
        </w:tc>
      </w:tr>
      <w:tr w:rsidR="005972F0" w14:paraId="64758261" w14:textId="77777777" w:rsidTr="00D42810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67223762" w14:textId="77777777" w:rsidR="005972F0" w:rsidRDefault="005972F0" w:rsidP="00D42810">
            <w:pPr>
              <w:rPr>
                <w:rFonts w:eastAsia="Times New Roman"/>
                <w:sz w:val="20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B39959" w14:textId="77777777" w:rsidR="005972F0" w:rsidRDefault="005972F0" w:rsidP="00D42810">
            <w:pPr>
              <w:rPr>
                <w:rFonts w:eastAsia="Times New Roman"/>
                <w:sz w:val="20"/>
              </w:rPr>
            </w:pPr>
            <w:r>
              <w:rPr>
                <w:rFonts w:eastAsia="Times New Roman"/>
                <w:sz w:val="20"/>
              </w:rPr>
              <w:t>W</w:t>
            </w:r>
            <w:r>
              <w:rPr>
                <w:rFonts w:eastAsia="Times New Roman"/>
                <w:sz w:val="20"/>
                <w:vertAlign w:val="subscript"/>
              </w:rPr>
              <w:t>Ca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0EB0A4" w14:textId="77777777" w:rsidR="005972F0" w:rsidRDefault="005972F0" w:rsidP="00D42810">
            <w:pPr>
              <w:rPr>
                <w:rFonts w:eastAsia="Times New Roman"/>
                <w:sz w:val="20"/>
              </w:rPr>
            </w:pPr>
            <w:r>
              <w:rPr>
                <w:rFonts w:eastAsia="Times New Roman"/>
                <w:sz w:val="20"/>
              </w:rPr>
              <w:t>0.707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9B5E17" w14:textId="77777777" w:rsidR="005972F0" w:rsidRDefault="005972F0" w:rsidP="00D42810">
            <w:pPr>
              <w:rPr>
                <w:rFonts w:eastAsia="Times New Roman"/>
                <w:sz w:val="20"/>
              </w:rPr>
            </w:pPr>
            <w:r>
              <w:rPr>
                <w:rFonts w:eastAsia="Times New Roman"/>
                <w:sz w:val="20"/>
              </w:rPr>
              <w:t>0.707</w:t>
            </w:r>
          </w:p>
        </w:tc>
      </w:tr>
      <w:tr w:rsidR="005972F0" w14:paraId="0AD8B075" w14:textId="77777777" w:rsidTr="00D42810"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179DFB" w14:textId="77777777" w:rsidR="005972F0" w:rsidRDefault="005972F0" w:rsidP="00D42810">
            <w:pPr>
              <w:rPr>
                <w:rFonts w:eastAsia="Times New Roman"/>
                <w:sz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145863" w14:textId="77777777" w:rsidR="005972F0" w:rsidRDefault="005972F0" w:rsidP="00D42810">
            <w:pPr>
              <w:rPr>
                <w:rFonts w:eastAsia="Times New Roman"/>
                <w:sz w:val="20"/>
              </w:rPr>
            </w:pPr>
            <w:r>
              <w:rPr>
                <w:rFonts w:eastAsia="Times New Roman"/>
                <w:sz w:val="20"/>
              </w:rPr>
              <w:t>W</w:t>
            </w:r>
            <w:r>
              <w:rPr>
                <w:rFonts w:eastAsia="Times New Roman"/>
                <w:sz w:val="20"/>
                <w:vertAlign w:val="subscript"/>
              </w:rPr>
              <w:t>Na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8F9C44" w14:textId="77777777" w:rsidR="005972F0" w:rsidRDefault="005972F0" w:rsidP="00D42810">
            <w:pPr>
              <w:rPr>
                <w:rFonts w:eastAsia="Times New Roman"/>
                <w:sz w:val="20"/>
              </w:rPr>
            </w:pPr>
            <w:r>
              <w:rPr>
                <w:rFonts w:eastAsia="Times New Roman"/>
                <w:sz w:val="20"/>
              </w:rPr>
              <w:t>0.707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6AAF6D" w14:textId="77777777" w:rsidR="005972F0" w:rsidRDefault="005972F0" w:rsidP="00D42810">
            <w:pPr>
              <w:rPr>
                <w:rFonts w:eastAsia="Times New Roman"/>
                <w:sz w:val="20"/>
              </w:rPr>
            </w:pPr>
            <w:r>
              <w:rPr>
                <w:rFonts w:eastAsia="Times New Roman"/>
                <w:sz w:val="20"/>
              </w:rPr>
              <w:t>-0.707</w:t>
            </w:r>
          </w:p>
        </w:tc>
      </w:tr>
    </w:tbl>
    <w:p w14:paraId="35F63366" w14:textId="77777777" w:rsidR="005972F0" w:rsidRDefault="005972F0" w:rsidP="005972F0">
      <w:pPr>
        <w:suppressLineNumbers/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50428F6" w14:textId="77777777" w:rsidR="00EB4A2D" w:rsidRDefault="00EB4A2D"/>
    <w:sectPr w:rsidR="00EB4A2D" w:rsidSect="005972F0">
      <w:footerReference w:type="default" r:id="rId7"/>
      <w:pgSz w:w="11906" w:h="16838"/>
      <w:pgMar w:top="1440" w:right="1800" w:bottom="1440" w:left="1800" w:header="851" w:footer="992" w:gutter="0"/>
      <w:lnNumType w:countBy="1" w:restart="continuous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19156579"/>
    </w:sdtPr>
    <w:sdtContent>
      <w:p w14:paraId="77FBE998" w14:textId="77777777" w:rsidR="005972F0" w:rsidRDefault="005972F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63D5C8A" w14:textId="77777777" w:rsidR="005972F0" w:rsidRDefault="005972F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2F0"/>
    <w:rsid w:val="002C7D54"/>
    <w:rsid w:val="0033371E"/>
    <w:rsid w:val="005972F0"/>
    <w:rsid w:val="005C0D39"/>
    <w:rsid w:val="0070406C"/>
    <w:rsid w:val="00724754"/>
    <w:rsid w:val="00A84B6E"/>
    <w:rsid w:val="00C321FA"/>
    <w:rsid w:val="00C97210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993A66"/>
  <w15:chartTrackingRefBased/>
  <w15:docId w15:val="{70D01FD3-D72C-4AA3-9A9F-864CA388A7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72F0"/>
    <w:pPr>
      <w:widowControl w:val="0"/>
    </w:pPr>
    <w:rPr>
      <w:rFonts w:eastAsiaTheme="minorEastAsia"/>
      <w:sz w:val="22"/>
      <w:lang w:val="en-US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5972F0"/>
    <w:pPr>
      <w:keepNext/>
      <w:keepLines/>
      <w:widowControl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72F0"/>
    <w:pPr>
      <w:keepNext/>
      <w:keepLines/>
      <w:widowControl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72F0"/>
    <w:pPr>
      <w:keepNext/>
      <w:keepLines/>
      <w:widowControl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72F0"/>
    <w:pPr>
      <w:keepNext/>
      <w:keepLines/>
      <w:widowControl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IN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72F0"/>
    <w:pPr>
      <w:keepNext/>
      <w:keepLines/>
      <w:widowControl/>
      <w:spacing w:before="80" w:after="40"/>
      <w:outlineLvl w:val="4"/>
    </w:pPr>
    <w:rPr>
      <w:rFonts w:eastAsiaTheme="majorEastAsia" w:cstheme="majorBidi"/>
      <w:color w:val="0F4761" w:themeColor="accent1" w:themeShade="BF"/>
      <w:sz w:val="24"/>
      <w:lang w:val="en-IN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72F0"/>
    <w:pPr>
      <w:keepNext/>
      <w:keepLines/>
      <w:widowControl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IN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72F0"/>
    <w:pPr>
      <w:keepNext/>
      <w:keepLines/>
      <w:widowControl/>
      <w:spacing w:before="40" w:after="0"/>
      <w:outlineLvl w:val="6"/>
    </w:pPr>
    <w:rPr>
      <w:rFonts w:eastAsiaTheme="majorEastAsia" w:cstheme="majorBidi"/>
      <w:color w:val="595959" w:themeColor="text1" w:themeTint="A6"/>
      <w:sz w:val="24"/>
      <w:lang w:val="en-IN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72F0"/>
    <w:pPr>
      <w:keepNext/>
      <w:keepLines/>
      <w:widowControl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IN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72F0"/>
    <w:pPr>
      <w:keepNext/>
      <w:keepLines/>
      <w:widowControl/>
      <w:spacing w:after="0"/>
      <w:outlineLvl w:val="8"/>
    </w:pPr>
    <w:rPr>
      <w:rFonts w:eastAsiaTheme="majorEastAsia" w:cstheme="majorBidi"/>
      <w:color w:val="272727" w:themeColor="text1" w:themeTint="D8"/>
      <w:sz w:val="24"/>
      <w:lang w:val="en-IN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72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72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72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72F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72F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72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72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72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72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72F0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</w:rPr>
  </w:style>
  <w:style w:type="character" w:customStyle="1" w:styleId="TitleChar">
    <w:name w:val="Title Char"/>
    <w:basedOn w:val="DefaultParagraphFont"/>
    <w:link w:val="Title"/>
    <w:uiPriority w:val="10"/>
    <w:rsid w:val="005972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72F0"/>
    <w:pPr>
      <w:widowControl/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5972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72F0"/>
    <w:pPr>
      <w:widowControl/>
      <w:spacing w:before="160"/>
      <w:jc w:val="center"/>
    </w:pPr>
    <w:rPr>
      <w:rFonts w:eastAsiaTheme="minorHAnsi"/>
      <w:i/>
      <w:iCs/>
      <w:color w:val="404040" w:themeColor="text1" w:themeTint="BF"/>
      <w:sz w:val="24"/>
      <w:lang w:val="en-IN" w:eastAsia="en-US"/>
    </w:rPr>
  </w:style>
  <w:style w:type="character" w:customStyle="1" w:styleId="QuoteChar">
    <w:name w:val="Quote Char"/>
    <w:basedOn w:val="DefaultParagraphFont"/>
    <w:link w:val="Quote"/>
    <w:uiPriority w:val="29"/>
    <w:rsid w:val="005972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72F0"/>
    <w:pPr>
      <w:widowControl/>
      <w:ind w:left="720"/>
      <w:contextualSpacing/>
    </w:pPr>
    <w:rPr>
      <w:rFonts w:eastAsiaTheme="minorHAnsi"/>
      <w:sz w:val="24"/>
      <w:lang w:val="en-IN" w:eastAsia="en-US"/>
    </w:rPr>
  </w:style>
  <w:style w:type="character" w:styleId="IntenseEmphasis">
    <w:name w:val="Intense Emphasis"/>
    <w:basedOn w:val="DefaultParagraphFont"/>
    <w:uiPriority w:val="21"/>
    <w:qFormat/>
    <w:rsid w:val="005972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72F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val="en-IN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72F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72F0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qFormat/>
    <w:rsid w:val="005972F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5972F0"/>
    <w:rPr>
      <w:rFonts w:eastAsiaTheme="minorEastAsia"/>
      <w:sz w:val="18"/>
      <w:szCs w:val="18"/>
      <w:lang w:val="en-US" w:eastAsia="zh-CN"/>
    </w:rPr>
  </w:style>
  <w:style w:type="table" w:customStyle="1" w:styleId="1">
    <w:name w:val="网格型1"/>
    <w:basedOn w:val="TableNormal"/>
    <w:uiPriority w:val="99"/>
    <w:qFormat/>
    <w:rsid w:val="005972F0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0"/>
      <w:szCs w:val="20"/>
      <w:lang w:eastAsia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5972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299</Words>
  <Characters>1792</Characters>
  <Application>Microsoft Office Word</Application>
  <DocSecurity>0</DocSecurity>
  <Lines>28</Lines>
  <Paragraphs>10</Paragraphs>
  <ScaleCrop>false</ScaleCrop>
  <Company/>
  <LinksUpToDate>false</LinksUpToDate>
  <CharactersWithSpaces>2081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2026-02-20T10:14:00Z</dcterms:created>
  <dcterms:modified xsi:type="dcterms:W3CDTF">2026-02-20T10:15:00Z</dcterms:modified>
</cp:coreProperties>
</file>