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ABD" w:rsidRDefault="00980ABD" w:rsidP="00980ABD">
      <w:pPr>
        <w:pStyle w:val="1"/>
        <w:rPr>
          <w:sz w:val="32"/>
          <w:szCs w:val="32"/>
        </w:rPr>
      </w:pPr>
      <w:r w:rsidRPr="3666DCC0">
        <w:rPr>
          <w:sz w:val="32"/>
          <w:szCs w:val="32"/>
        </w:rPr>
        <w:t>Appendix</w:t>
      </w:r>
    </w:p>
    <w:p w:rsidR="00CB6F82" w:rsidRPr="005E2A1F" w:rsidRDefault="00CB6F82" w:rsidP="005E2A1F">
      <w:pPr>
        <w:pStyle w:val="2"/>
        <w:spacing w:before="0" w:after="0" w:line="240" w:lineRule="auto"/>
        <w:rPr>
          <w:rFonts w:ascii="Times New Roman" w:hAnsi="Times New Roman" w:cs="Times New Roman"/>
          <w:sz w:val="28"/>
          <w:szCs w:val="28"/>
        </w:rPr>
      </w:pPr>
      <w:r w:rsidRPr="005E2A1F">
        <w:rPr>
          <w:rFonts w:ascii="Times New Roman" w:hAnsi="Times New Roman" w:cs="Times New Roman"/>
          <w:sz w:val="28"/>
          <w:szCs w:val="28"/>
        </w:rPr>
        <w:t>Table A1 Overview of NLP causality extraction methods</w:t>
      </w:r>
    </w:p>
    <w:tbl>
      <w:tblPr>
        <w:tblStyle w:val="a7"/>
        <w:tblW w:w="9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131"/>
        <w:gridCol w:w="2121"/>
        <w:gridCol w:w="1554"/>
        <w:gridCol w:w="1720"/>
      </w:tblGrid>
      <w:tr w:rsidR="00CB6F82" w:rsidTr="00732979">
        <w:trPr>
          <w:trHeight w:val="285"/>
        </w:trPr>
        <w:tc>
          <w:tcPr>
            <w:tcW w:w="1555" w:type="dxa"/>
            <w:vMerge w:val="restart"/>
            <w:tcBorders>
              <w:top w:val="single" w:sz="8" w:space="0" w:color="auto"/>
            </w:tcBorders>
            <w:tcMar>
              <w:left w:w="108" w:type="dxa"/>
              <w:right w:w="108" w:type="dxa"/>
            </w:tcMar>
            <w:vAlign w:val="center"/>
          </w:tcPr>
          <w:p w:rsidR="00CB6F82" w:rsidRPr="005828DC" w:rsidRDefault="00CB6F82" w:rsidP="00732979">
            <w:pPr>
              <w:spacing w:line="240" w:lineRule="auto"/>
              <w:jc w:val="center"/>
              <w:rPr>
                <w:b/>
                <w:sz w:val="20"/>
                <w:szCs w:val="20"/>
              </w:rPr>
            </w:pPr>
            <w:r w:rsidRPr="005828DC">
              <w:rPr>
                <w:rFonts w:eastAsia="Times New Roman"/>
                <w:b/>
                <w:sz w:val="20"/>
                <w:szCs w:val="20"/>
              </w:rPr>
              <w:t>Methods</w:t>
            </w:r>
          </w:p>
        </w:tc>
        <w:tc>
          <w:tcPr>
            <w:tcW w:w="2131" w:type="dxa"/>
            <w:vMerge w:val="restart"/>
            <w:tcBorders>
              <w:top w:val="single" w:sz="8" w:space="0" w:color="auto"/>
            </w:tcBorders>
            <w:tcMar>
              <w:left w:w="108" w:type="dxa"/>
              <w:right w:w="108" w:type="dxa"/>
            </w:tcMar>
            <w:vAlign w:val="center"/>
          </w:tcPr>
          <w:p w:rsidR="00CB6F82" w:rsidRPr="005828DC" w:rsidRDefault="00CB6F82" w:rsidP="00732979">
            <w:pPr>
              <w:spacing w:line="240" w:lineRule="auto"/>
              <w:jc w:val="center"/>
              <w:rPr>
                <w:rFonts w:eastAsia="Times New Roman"/>
                <w:sz w:val="20"/>
                <w:szCs w:val="20"/>
              </w:rPr>
            </w:pPr>
            <w:r w:rsidRPr="005828DC">
              <w:rPr>
                <w:rFonts w:eastAsia="Times New Roman"/>
                <w:b/>
                <w:sz w:val="20"/>
                <w:szCs w:val="20"/>
              </w:rPr>
              <w:t>Rules and linguistics-based</w:t>
            </w:r>
          </w:p>
        </w:tc>
        <w:tc>
          <w:tcPr>
            <w:tcW w:w="2121" w:type="dxa"/>
            <w:vMerge w:val="restart"/>
            <w:tcBorders>
              <w:top w:val="single" w:sz="8" w:space="0" w:color="auto"/>
            </w:tcBorders>
            <w:tcMar>
              <w:left w:w="108" w:type="dxa"/>
              <w:right w:w="108" w:type="dxa"/>
            </w:tcMar>
            <w:vAlign w:val="center"/>
          </w:tcPr>
          <w:p w:rsidR="00CB6F82" w:rsidRPr="005828DC" w:rsidRDefault="00CB6F82" w:rsidP="00732979">
            <w:pPr>
              <w:spacing w:line="240" w:lineRule="auto"/>
              <w:jc w:val="center"/>
              <w:rPr>
                <w:rFonts w:eastAsia="Times New Roman"/>
                <w:sz w:val="20"/>
                <w:szCs w:val="20"/>
              </w:rPr>
            </w:pPr>
            <w:r w:rsidRPr="005828DC">
              <w:rPr>
                <w:rFonts w:eastAsia="Times New Roman"/>
                <w:b/>
                <w:sz w:val="20"/>
                <w:szCs w:val="20"/>
              </w:rPr>
              <w:t>Traditional machine learning-based</w:t>
            </w:r>
          </w:p>
        </w:tc>
        <w:tc>
          <w:tcPr>
            <w:tcW w:w="3274" w:type="dxa"/>
            <w:gridSpan w:val="2"/>
            <w:tcBorders>
              <w:top w:val="single" w:sz="8" w:space="0" w:color="auto"/>
            </w:tcBorders>
            <w:tcMar>
              <w:left w:w="108" w:type="dxa"/>
              <w:right w:w="108" w:type="dxa"/>
            </w:tcMar>
            <w:vAlign w:val="center"/>
          </w:tcPr>
          <w:p w:rsidR="00CB6F82" w:rsidRPr="005828DC" w:rsidRDefault="00CB6F82" w:rsidP="00732979">
            <w:pPr>
              <w:spacing w:line="240" w:lineRule="auto"/>
              <w:jc w:val="center"/>
              <w:rPr>
                <w:b/>
                <w:sz w:val="20"/>
                <w:szCs w:val="20"/>
              </w:rPr>
            </w:pPr>
            <w:r w:rsidRPr="005828DC">
              <w:rPr>
                <w:rFonts w:eastAsia="Times New Roman"/>
                <w:b/>
                <w:sz w:val="20"/>
                <w:szCs w:val="20"/>
              </w:rPr>
              <w:t>Deep learning-based</w:t>
            </w:r>
          </w:p>
        </w:tc>
      </w:tr>
      <w:tr w:rsidR="00CB6F82" w:rsidTr="00732979">
        <w:trPr>
          <w:trHeight w:val="74"/>
        </w:trPr>
        <w:tc>
          <w:tcPr>
            <w:tcW w:w="1555" w:type="dxa"/>
            <w:vMerge/>
            <w:tcBorders>
              <w:bottom w:val="single" w:sz="4" w:space="0" w:color="auto"/>
            </w:tcBorders>
            <w:vAlign w:val="center"/>
          </w:tcPr>
          <w:p w:rsidR="00CB6F82" w:rsidRPr="005828DC" w:rsidRDefault="00CB6F82" w:rsidP="00732979">
            <w:pPr>
              <w:spacing w:line="240" w:lineRule="auto"/>
              <w:rPr>
                <w:b/>
                <w:sz w:val="20"/>
                <w:szCs w:val="20"/>
              </w:rPr>
            </w:pPr>
          </w:p>
        </w:tc>
        <w:tc>
          <w:tcPr>
            <w:tcW w:w="2131" w:type="dxa"/>
            <w:vMerge/>
            <w:tcBorders>
              <w:bottom w:val="single" w:sz="4" w:space="0" w:color="auto"/>
            </w:tcBorders>
            <w:vAlign w:val="center"/>
          </w:tcPr>
          <w:p w:rsidR="00CB6F82" w:rsidRPr="005828DC" w:rsidRDefault="00CB6F82" w:rsidP="00732979">
            <w:pPr>
              <w:spacing w:line="240" w:lineRule="auto"/>
              <w:rPr>
                <w:sz w:val="20"/>
                <w:szCs w:val="20"/>
              </w:rPr>
            </w:pPr>
          </w:p>
        </w:tc>
        <w:tc>
          <w:tcPr>
            <w:tcW w:w="2121" w:type="dxa"/>
            <w:vMerge/>
            <w:tcBorders>
              <w:bottom w:val="single" w:sz="4" w:space="0" w:color="auto"/>
            </w:tcBorders>
            <w:vAlign w:val="center"/>
          </w:tcPr>
          <w:p w:rsidR="00CB6F82" w:rsidRPr="005828DC" w:rsidRDefault="00CB6F82" w:rsidP="00732979">
            <w:pPr>
              <w:spacing w:line="240" w:lineRule="auto"/>
              <w:rPr>
                <w:sz w:val="20"/>
                <w:szCs w:val="20"/>
              </w:rPr>
            </w:pPr>
          </w:p>
        </w:tc>
        <w:tc>
          <w:tcPr>
            <w:tcW w:w="1554" w:type="dxa"/>
            <w:tcBorders>
              <w:bottom w:val="single" w:sz="4" w:space="0" w:color="auto"/>
            </w:tcBorders>
            <w:tcMar>
              <w:left w:w="108" w:type="dxa"/>
              <w:right w:w="108" w:type="dxa"/>
            </w:tcMar>
            <w:vAlign w:val="center"/>
          </w:tcPr>
          <w:p w:rsidR="00CB6F82" w:rsidRPr="005828DC" w:rsidRDefault="00CB6F82" w:rsidP="00732979">
            <w:pPr>
              <w:spacing w:line="240" w:lineRule="auto"/>
              <w:jc w:val="center"/>
              <w:rPr>
                <w:rFonts w:eastAsia="Times New Roman"/>
                <w:sz w:val="20"/>
                <w:szCs w:val="20"/>
              </w:rPr>
            </w:pPr>
            <w:r w:rsidRPr="005828DC">
              <w:rPr>
                <w:rFonts w:eastAsia="Times New Roman"/>
                <w:b/>
                <w:sz w:val="20"/>
                <w:szCs w:val="20"/>
              </w:rPr>
              <w:t>Common deep neural model</w:t>
            </w:r>
          </w:p>
        </w:tc>
        <w:tc>
          <w:tcPr>
            <w:tcW w:w="1720" w:type="dxa"/>
            <w:tcMar>
              <w:left w:w="108" w:type="dxa"/>
              <w:right w:w="108" w:type="dxa"/>
            </w:tcMar>
            <w:vAlign w:val="center"/>
          </w:tcPr>
          <w:p w:rsidR="00CB6F82" w:rsidRPr="005828DC" w:rsidRDefault="00CB6F82" w:rsidP="00732979">
            <w:pPr>
              <w:spacing w:line="240" w:lineRule="auto"/>
              <w:jc w:val="center"/>
              <w:rPr>
                <w:rFonts w:eastAsia="Times New Roman"/>
                <w:color w:val="000000" w:themeColor="text1"/>
                <w:sz w:val="20"/>
                <w:szCs w:val="20"/>
              </w:rPr>
            </w:pPr>
            <w:r w:rsidRPr="005828DC">
              <w:rPr>
                <w:rFonts w:eastAsia="Times New Roman"/>
                <w:b/>
                <w:sz w:val="20"/>
                <w:szCs w:val="20"/>
              </w:rPr>
              <w:t>Language model</w:t>
            </w:r>
          </w:p>
        </w:tc>
      </w:tr>
      <w:tr w:rsidR="00CB6F82" w:rsidTr="00732979">
        <w:trPr>
          <w:trHeight w:val="2472"/>
        </w:trPr>
        <w:tc>
          <w:tcPr>
            <w:tcW w:w="1555" w:type="dxa"/>
            <w:tcBorders>
              <w:top w:val="single" w:sz="4" w:space="0" w:color="auto"/>
            </w:tcBorders>
            <w:tcMar>
              <w:left w:w="108" w:type="dxa"/>
              <w:right w:w="108" w:type="dxa"/>
            </w:tcMar>
            <w:vAlign w:val="center"/>
          </w:tcPr>
          <w:p w:rsidR="00CB6F82" w:rsidRPr="005828DC" w:rsidRDefault="00CB6F82" w:rsidP="00732979">
            <w:pPr>
              <w:spacing w:line="240" w:lineRule="auto"/>
              <w:jc w:val="center"/>
              <w:rPr>
                <w:b/>
                <w:sz w:val="20"/>
                <w:szCs w:val="20"/>
              </w:rPr>
            </w:pPr>
            <w:r w:rsidRPr="005828DC">
              <w:rPr>
                <w:rFonts w:eastAsia="Times New Roman"/>
                <w:b/>
                <w:sz w:val="20"/>
                <w:szCs w:val="20"/>
              </w:rPr>
              <w:t>Pros</w:t>
            </w:r>
          </w:p>
        </w:tc>
        <w:tc>
          <w:tcPr>
            <w:tcW w:w="2131" w:type="dxa"/>
            <w:tcBorders>
              <w:top w:val="single" w:sz="4" w:space="0" w:color="auto"/>
              <w:bottom w:val="single" w:sz="4" w:space="0" w:color="auto"/>
            </w:tcBorders>
            <w:tcMar>
              <w:left w:w="108" w:type="dxa"/>
              <w:right w:w="108" w:type="dxa"/>
            </w:tcMar>
          </w:tcPr>
          <w:p w:rsidR="00CB6F82" w:rsidRPr="005828DC" w:rsidRDefault="00CB6F82" w:rsidP="00732979">
            <w:pPr>
              <w:pStyle w:val="a9"/>
              <w:numPr>
                <w:ilvl w:val="0"/>
                <w:numId w:val="5"/>
              </w:numPr>
              <w:spacing w:line="240" w:lineRule="auto"/>
              <w:ind w:left="420" w:hanging="420"/>
              <w:jc w:val="left"/>
              <w:rPr>
                <w:rFonts w:eastAsia="Times New Roman"/>
                <w:sz w:val="20"/>
                <w:szCs w:val="20"/>
              </w:rPr>
            </w:pPr>
            <w:r w:rsidRPr="005828DC">
              <w:rPr>
                <w:rFonts w:eastAsia="Times New Roman"/>
                <w:sz w:val="20"/>
                <w:szCs w:val="20"/>
              </w:rPr>
              <w:t>Easy to interpret</w:t>
            </w:r>
          </w:p>
          <w:p w:rsidR="00CB6F82" w:rsidRPr="005828DC" w:rsidRDefault="00CB6F82" w:rsidP="00732979">
            <w:pPr>
              <w:pStyle w:val="a9"/>
              <w:numPr>
                <w:ilvl w:val="0"/>
                <w:numId w:val="5"/>
              </w:numPr>
              <w:spacing w:line="240" w:lineRule="auto"/>
              <w:ind w:left="420" w:hanging="420"/>
              <w:jc w:val="left"/>
              <w:rPr>
                <w:rFonts w:eastAsia="Times New Roman"/>
                <w:sz w:val="20"/>
                <w:szCs w:val="20"/>
              </w:rPr>
            </w:pPr>
            <w:r w:rsidRPr="005828DC">
              <w:rPr>
                <w:rFonts w:eastAsia="Times New Roman"/>
                <w:sz w:val="20"/>
                <w:szCs w:val="20"/>
              </w:rPr>
              <w:t>No need for large-scale labelled data</w:t>
            </w:r>
          </w:p>
          <w:p w:rsidR="00CB6F82" w:rsidRPr="005828DC" w:rsidRDefault="00CB6F82" w:rsidP="00732979">
            <w:pPr>
              <w:pStyle w:val="a9"/>
              <w:numPr>
                <w:ilvl w:val="0"/>
                <w:numId w:val="5"/>
              </w:numPr>
              <w:spacing w:line="240" w:lineRule="auto"/>
              <w:ind w:left="420" w:hanging="420"/>
              <w:jc w:val="left"/>
              <w:rPr>
                <w:rFonts w:eastAsia="Times New Roman"/>
                <w:sz w:val="20"/>
                <w:szCs w:val="20"/>
              </w:rPr>
            </w:pPr>
            <w:r w:rsidRPr="005828DC">
              <w:rPr>
                <w:rFonts w:eastAsia="Times New Roman"/>
                <w:sz w:val="20"/>
                <w:szCs w:val="20"/>
              </w:rPr>
              <w:t>High stability</w:t>
            </w:r>
          </w:p>
          <w:p w:rsidR="00CB6F82" w:rsidRPr="005828DC" w:rsidRDefault="00CB6F82" w:rsidP="00732979">
            <w:pPr>
              <w:pStyle w:val="a9"/>
              <w:numPr>
                <w:ilvl w:val="0"/>
                <w:numId w:val="5"/>
              </w:numPr>
              <w:spacing w:line="240" w:lineRule="auto"/>
              <w:ind w:left="420" w:hanging="420"/>
              <w:jc w:val="left"/>
              <w:rPr>
                <w:rFonts w:eastAsia="Times New Roman"/>
                <w:sz w:val="20"/>
                <w:szCs w:val="20"/>
              </w:rPr>
            </w:pPr>
            <w:r w:rsidRPr="005828DC">
              <w:rPr>
                <w:rFonts w:eastAsia="Times New Roman"/>
                <w:sz w:val="20"/>
                <w:szCs w:val="20"/>
              </w:rPr>
              <w:t>Fast deployment</w:t>
            </w:r>
          </w:p>
        </w:tc>
        <w:tc>
          <w:tcPr>
            <w:tcW w:w="2121" w:type="dxa"/>
            <w:tcBorders>
              <w:top w:val="single" w:sz="4" w:space="0" w:color="auto"/>
              <w:bottom w:val="single" w:sz="4" w:space="0" w:color="auto"/>
            </w:tcBorders>
            <w:tcMar>
              <w:left w:w="108" w:type="dxa"/>
              <w:right w:w="108" w:type="dxa"/>
            </w:tcMar>
          </w:tcPr>
          <w:p w:rsidR="00CB6F82" w:rsidRPr="005828DC" w:rsidRDefault="00CB6F82" w:rsidP="00732979">
            <w:pPr>
              <w:pStyle w:val="a9"/>
              <w:numPr>
                <w:ilvl w:val="0"/>
                <w:numId w:val="5"/>
              </w:numPr>
              <w:spacing w:line="240" w:lineRule="auto"/>
              <w:ind w:left="420" w:hanging="420"/>
              <w:jc w:val="left"/>
              <w:rPr>
                <w:rFonts w:eastAsia="Times New Roman"/>
                <w:sz w:val="20"/>
                <w:szCs w:val="20"/>
              </w:rPr>
            </w:pPr>
            <w:r w:rsidRPr="005828DC">
              <w:rPr>
                <w:rFonts w:eastAsia="Times New Roman"/>
                <w:sz w:val="20"/>
                <w:szCs w:val="20"/>
              </w:rPr>
              <w:t>More flexible than rule-based methods</w:t>
            </w:r>
          </w:p>
          <w:p w:rsidR="00CB6F82" w:rsidRPr="005828DC" w:rsidRDefault="00CB6F82" w:rsidP="00732979">
            <w:pPr>
              <w:pStyle w:val="a9"/>
              <w:numPr>
                <w:ilvl w:val="0"/>
                <w:numId w:val="5"/>
              </w:numPr>
              <w:spacing w:line="240" w:lineRule="auto"/>
              <w:ind w:left="420" w:hanging="420"/>
              <w:jc w:val="left"/>
              <w:rPr>
                <w:rFonts w:eastAsia="Times New Roman"/>
                <w:sz w:val="20"/>
                <w:szCs w:val="20"/>
              </w:rPr>
            </w:pPr>
            <w:r w:rsidRPr="005828DC">
              <w:rPr>
                <w:rFonts w:eastAsia="Times New Roman"/>
                <w:sz w:val="20"/>
                <w:szCs w:val="20"/>
              </w:rPr>
              <w:t>Relatively good transparency</w:t>
            </w:r>
          </w:p>
          <w:p w:rsidR="00CB6F82" w:rsidRPr="005828DC" w:rsidRDefault="00CB6F82" w:rsidP="00732979">
            <w:pPr>
              <w:pStyle w:val="a9"/>
              <w:numPr>
                <w:ilvl w:val="0"/>
                <w:numId w:val="5"/>
              </w:numPr>
              <w:spacing w:line="240" w:lineRule="auto"/>
              <w:ind w:left="420" w:hanging="420"/>
              <w:jc w:val="left"/>
              <w:rPr>
                <w:rFonts w:eastAsia="Times New Roman"/>
                <w:sz w:val="20"/>
                <w:szCs w:val="20"/>
              </w:rPr>
            </w:pPr>
            <w:r w:rsidRPr="005828DC">
              <w:rPr>
                <w:rFonts w:eastAsia="Times New Roman"/>
                <w:sz w:val="20"/>
                <w:szCs w:val="20"/>
              </w:rPr>
              <w:t>Less need for labelled data than deep learning methods</w:t>
            </w:r>
          </w:p>
        </w:tc>
        <w:tc>
          <w:tcPr>
            <w:tcW w:w="3274" w:type="dxa"/>
            <w:gridSpan w:val="2"/>
            <w:tcBorders>
              <w:top w:val="single" w:sz="4" w:space="0" w:color="auto"/>
              <w:bottom w:val="single" w:sz="4" w:space="0" w:color="auto"/>
            </w:tcBorders>
            <w:tcMar>
              <w:left w:w="108" w:type="dxa"/>
              <w:right w:w="108" w:type="dxa"/>
            </w:tcMar>
          </w:tcPr>
          <w:p w:rsidR="00CB6F82" w:rsidRPr="005828DC" w:rsidRDefault="00CB6F82" w:rsidP="00732979">
            <w:pPr>
              <w:pStyle w:val="a9"/>
              <w:numPr>
                <w:ilvl w:val="0"/>
                <w:numId w:val="4"/>
              </w:numPr>
              <w:spacing w:line="240" w:lineRule="auto"/>
              <w:ind w:left="420" w:hanging="420"/>
              <w:jc w:val="left"/>
              <w:rPr>
                <w:rFonts w:eastAsia="Times New Roman"/>
                <w:sz w:val="20"/>
                <w:szCs w:val="20"/>
              </w:rPr>
            </w:pPr>
            <w:r w:rsidRPr="005828DC">
              <w:rPr>
                <w:rFonts w:eastAsia="Times New Roman"/>
                <w:sz w:val="20"/>
                <w:szCs w:val="20"/>
              </w:rPr>
              <w:t>Automated feature learning</w:t>
            </w:r>
          </w:p>
          <w:p w:rsidR="00CB6F82" w:rsidRPr="005828DC" w:rsidRDefault="00CB6F82" w:rsidP="00732979">
            <w:pPr>
              <w:pStyle w:val="a9"/>
              <w:numPr>
                <w:ilvl w:val="0"/>
                <w:numId w:val="4"/>
              </w:numPr>
              <w:spacing w:line="240" w:lineRule="auto"/>
              <w:ind w:left="420" w:hanging="420"/>
              <w:jc w:val="left"/>
              <w:rPr>
                <w:rFonts w:eastAsia="Times New Roman"/>
                <w:sz w:val="20"/>
                <w:szCs w:val="20"/>
              </w:rPr>
            </w:pPr>
            <w:r w:rsidRPr="005828DC">
              <w:rPr>
                <w:rFonts w:eastAsia="Times New Roman"/>
                <w:sz w:val="20"/>
                <w:szCs w:val="20"/>
              </w:rPr>
              <w:t>Capable of handling long-range dependencies, implicit causal relationships, and multi-level causal relationships</w:t>
            </w:r>
          </w:p>
          <w:p w:rsidR="00CB6F82" w:rsidRPr="005828DC" w:rsidRDefault="00CB6F82" w:rsidP="00732979">
            <w:pPr>
              <w:pStyle w:val="a9"/>
              <w:numPr>
                <w:ilvl w:val="0"/>
                <w:numId w:val="4"/>
              </w:numPr>
              <w:spacing w:line="240" w:lineRule="auto"/>
              <w:ind w:left="420" w:hanging="420"/>
              <w:jc w:val="left"/>
              <w:rPr>
                <w:rFonts w:eastAsia="Times New Roman"/>
                <w:sz w:val="20"/>
                <w:szCs w:val="20"/>
              </w:rPr>
            </w:pPr>
            <w:r w:rsidRPr="005828DC">
              <w:rPr>
                <w:rFonts w:eastAsia="Times New Roman"/>
                <w:sz w:val="20"/>
                <w:szCs w:val="20"/>
              </w:rPr>
              <w:t>Strong transferability</w:t>
            </w:r>
          </w:p>
          <w:p w:rsidR="00CB6F82" w:rsidRPr="005828DC" w:rsidRDefault="00CB6F82" w:rsidP="00732979">
            <w:pPr>
              <w:pStyle w:val="a9"/>
              <w:numPr>
                <w:ilvl w:val="0"/>
                <w:numId w:val="4"/>
              </w:numPr>
              <w:spacing w:line="240" w:lineRule="auto"/>
              <w:ind w:left="420" w:hanging="420"/>
              <w:jc w:val="left"/>
              <w:rPr>
                <w:rFonts w:eastAsia="Times New Roman"/>
                <w:sz w:val="20"/>
                <w:szCs w:val="20"/>
              </w:rPr>
            </w:pPr>
            <w:r w:rsidRPr="005828DC">
              <w:rPr>
                <w:rFonts w:eastAsia="Times New Roman"/>
                <w:sz w:val="20"/>
                <w:szCs w:val="20"/>
              </w:rPr>
              <w:t>Able to process large-scale data</w:t>
            </w:r>
          </w:p>
        </w:tc>
      </w:tr>
      <w:tr w:rsidR="00CB6F82" w:rsidTr="00732979">
        <w:trPr>
          <w:trHeight w:val="285"/>
        </w:trPr>
        <w:tc>
          <w:tcPr>
            <w:tcW w:w="1555" w:type="dxa"/>
            <w:tcMar>
              <w:left w:w="108" w:type="dxa"/>
              <w:right w:w="108" w:type="dxa"/>
            </w:tcMar>
            <w:vAlign w:val="center"/>
          </w:tcPr>
          <w:p w:rsidR="00CB6F82" w:rsidRPr="005828DC" w:rsidRDefault="00CB6F82" w:rsidP="00732979">
            <w:pPr>
              <w:spacing w:line="240" w:lineRule="auto"/>
              <w:jc w:val="center"/>
              <w:rPr>
                <w:b/>
                <w:sz w:val="20"/>
                <w:szCs w:val="20"/>
              </w:rPr>
            </w:pPr>
            <w:r w:rsidRPr="005828DC">
              <w:rPr>
                <w:rFonts w:eastAsia="Times New Roman"/>
                <w:b/>
                <w:sz w:val="20"/>
                <w:szCs w:val="20"/>
              </w:rPr>
              <w:t>Cons</w:t>
            </w:r>
          </w:p>
        </w:tc>
        <w:tc>
          <w:tcPr>
            <w:tcW w:w="2131" w:type="dxa"/>
            <w:tcBorders>
              <w:top w:val="single" w:sz="4" w:space="0" w:color="auto"/>
              <w:bottom w:val="single" w:sz="4" w:space="0" w:color="auto"/>
            </w:tcBorders>
            <w:tcMar>
              <w:left w:w="108" w:type="dxa"/>
              <w:right w:w="108" w:type="dxa"/>
            </w:tcMar>
          </w:tcPr>
          <w:p w:rsidR="00CB6F82" w:rsidRPr="005828DC" w:rsidRDefault="00CB6F82" w:rsidP="00732979">
            <w:pPr>
              <w:pStyle w:val="a9"/>
              <w:numPr>
                <w:ilvl w:val="0"/>
                <w:numId w:val="3"/>
              </w:numPr>
              <w:spacing w:line="240" w:lineRule="auto"/>
              <w:ind w:left="420" w:hanging="420"/>
              <w:jc w:val="left"/>
              <w:rPr>
                <w:rFonts w:eastAsia="Times New Roman"/>
                <w:sz w:val="20"/>
                <w:szCs w:val="20"/>
              </w:rPr>
            </w:pPr>
            <w:r w:rsidRPr="005828DC">
              <w:rPr>
                <w:rFonts w:eastAsia="Times New Roman"/>
                <w:sz w:val="20"/>
                <w:szCs w:val="20"/>
              </w:rPr>
              <w:t>Difficult to capture complex and implicit causal relationships</w:t>
            </w:r>
          </w:p>
          <w:p w:rsidR="00CB6F82" w:rsidRPr="005828DC" w:rsidRDefault="00CB6F82" w:rsidP="00732979">
            <w:pPr>
              <w:pStyle w:val="a9"/>
              <w:numPr>
                <w:ilvl w:val="0"/>
                <w:numId w:val="3"/>
              </w:numPr>
              <w:spacing w:line="240" w:lineRule="auto"/>
              <w:ind w:left="420" w:hanging="420"/>
              <w:jc w:val="left"/>
              <w:rPr>
                <w:rFonts w:eastAsia="Times New Roman"/>
                <w:sz w:val="20"/>
                <w:szCs w:val="20"/>
              </w:rPr>
            </w:pPr>
            <w:r w:rsidRPr="005828DC">
              <w:rPr>
                <w:rFonts w:eastAsia="Times New Roman"/>
                <w:sz w:val="20"/>
                <w:szCs w:val="20"/>
              </w:rPr>
              <w:t>Poor portability</w:t>
            </w:r>
          </w:p>
          <w:p w:rsidR="00CB6F82" w:rsidRPr="005828DC" w:rsidRDefault="00CB6F82" w:rsidP="00732979">
            <w:pPr>
              <w:pStyle w:val="a9"/>
              <w:numPr>
                <w:ilvl w:val="0"/>
                <w:numId w:val="3"/>
              </w:numPr>
              <w:spacing w:line="240" w:lineRule="auto"/>
              <w:ind w:left="420" w:hanging="420"/>
              <w:jc w:val="left"/>
              <w:rPr>
                <w:rFonts w:eastAsia="Times New Roman"/>
                <w:sz w:val="20"/>
                <w:szCs w:val="20"/>
              </w:rPr>
            </w:pPr>
            <w:r w:rsidRPr="005828DC">
              <w:rPr>
                <w:rFonts w:eastAsia="Times New Roman"/>
                <w:sz w:val="20"/>
                <w:szCs w:val="20"/>
              </w:rPr>
              <w:t>High maintenance costs</w:t>
            </w:r>
          </w:p>
        </w:tc>
        <w:tc>
          <w:tcPr>
            <w:tcW w:w="2121" w:type="dxa"/>
            <w:tcBorders>
              <w:top w:val="single" w:sz="4" w:space="0" w:color="auto"/>
              <w:bottom w:val="single" w:sz="4" w:space="0" w:color="auto"/>
            </w:tcBorders>
            <w:tcMar>
              <w:left w:w="108" w:type="dxa"/>
              <w:right w:w="108" w:type="dxa"/>
            </w:tcMar>
          </w:tcPr>
          <w:p w:rsidR="00CB6F82" w:rsidRPr="005828DC" w:rsidRDefault="00CB6F82" w:rsidP="00732979">
            <w:pPr>
              <w:pStyle w:val="a9"/>
              <w:numPr>
                <w:ilvl w:val="0"/>
                <w:numId w:val="3"/>
              </w:numPr>
              <w:spacing w:line="240" w:lineRule="auto"/>
              <w:ind w:left="420" w:hanging="420"/>
              <w:jc w:val="left"/>
              <w:rPr>
                <w:rFonts w:eastAsia="Times New Roman"/>
                <w:sz w:val="20"/>
                <w:szCs w:val="20"/>
              </w:rPr>
            </w:pPr>
            <w:r w:rsidRPr="005828DC">
              <w:rPr>
                <w:rFonts w:eastAsia="Times New Roman"/>
                <w:sz w:val="20"/>
                <w:szCs w:val="20"/>
              </w:rPr>
              <w:t>Strong feature dependency</w:t>
            </w:r>
          </w:p>
          <w:p w:rsidR="00CB6F82" w:rsidRPr="005828DC" w:rsidRDefault="00CB6F82" w:rsidP="00732979">
            <w:pPr>
              <w:pStyle w:val="a9"/>
              <w:numPr>
                <w:ilvl w:val="0"/>
                <w:numId w:val="3"/>
              </w:numPr>
              <w:spacing w:line="240" w:lineRule="auto"/>
              <w:ind w:left="420" w:hanging="420"/>
              <w:jc w:val="left"/>
              <w:rPr>
                <w:rFonts w:eastAsia="Times New Roman"/>
                <w:sz w:val="20"/>
                <w:szCs w:val="20"/>
              </w:rPr>
            </w:pPr>
            <w:r w:rsidRPr="005828DC">
              <w:rPr>
                <w:rFonts w:eastAsia="Times New Roman"/>
                <w:sz w:val="20"/>
                <w:szCs w:val="20"/>
              </w:rPr>
              <w:t>Limited transferability</w:t>
            </w:r>
          </w:p>
          <w:p w:rsidR="00CB6F82" w:rsidRPr="005828DC" w:rsidRDefault="00CB6F82" w:rsidP="00732979">
            <w:pPr>
              <w:pStyle w:val="a9"/>
              <w:numPr>
                <w:ilvl w:val="0"/>
                <w:numId w:val="3"/>
              </w:numPr>
              <w:spacing w:line="240" w:lineRule="auto"/>
              <w:ind w:left="420" w:hanging="420"/>
              <w:jc w:val="left"/>
              <w:rPr>
                <w:rFonts w:eastAsia="Times New Roman"/>
                <w:sz w:val="20"/>
                <w:szCs w:val="20"/>
              </w:rPr>
            </w:pPr>
            <w:r w:rsidRPr="005828DC">
              <w:rPr>
                <w:rFonts w:eastAsia="Times New Roman"/>
                <w:sz w:val="20"/>
                <w:szCs w:val="20"/>
              </w:rPr>
              <w:t>Difficult to capture long-range dependencies or deep semantic relationships</w:t>
            </w:r>
          </w:p>
        </w:tc>
        <w:tc>
          <w:tcPr>
            <w:tcW w:w="3274" w:type="dxa"/>
            <w:gridSpan w:val="2"/>
            <w:tcBorders>
              <w:top w:val="single" w:sz="4" w:space="0" w:color="auto"/>
            </w:tcBorders>
            <w:tcMar>
              <w:left w:w="108" w:type="dxa"/>
              <w:right w:w="108" w:type="dxa"/>
            </w:tcMar>
          </w:tcPr>
          <w:p w:rsidR="00CB6F82" w:rsidRPr="005828DC" w:rsidRDefault="00CB6F82" w:rsidP="00732979">
            <w:pPr>
              <w:pStyle w:val="a9"/>
              <w:numPr>
                <w:ilvl w:val="0"/>
                <w:numId w:val="4"/>
              </w:numPr>
              <w:spacing w:line="240" w:lineRule="auto"/>
              <w:ind w:left="420" w:hanging="420"/>
              <w:jc w:val="left"/>
              <w:rPr>
                <w:rFonts w:eastAsia="Times New Roman"/>
                <w:sz w:val="20"/>
                <w:szCs w:val="20"/>
              </w:rPr>
            </w:pPr>
            <w:r w:rsidRPr="005828DC">
              <w:rPr>
                <w:rFonts w:eastAsia="Times New Roman"/>
                <w:sz w:val="20"/>
                <w:szCs w:val="20"/>
              </w:rPr>
              <w:t>Requiring a large amount of labelled data for adequate training, high labelling cost</w:t>
            </w:r>
          </w:p>
          <w:p w:rsidR="00CB6F82" w:rsidRPr="005828DC" w:rsidRDefault="00CB6F82" w:rsidP="00732979">
            <w:pPr>
              <w:pStyle w:val="a9"/>
              <w:numPr>
                <w:ilvl w:val="0"/>
                <w:numId w:val="4"/>
              </w:numPr>
              <w:spacing w:line="240" w:lineRule="auto"/>
              <w:ind w:left="420" w:hanging="420"/>
              <w:jc w:val="left"/>
              <w:rPr>
                <w:rFonts w:eastAsia="Times New Roman"/>
                <w:sz w:val="20"/>
                <w:szCs w:val="20"/>
              </w:rPr>
            </w:pPr>
            <w:r w:rsidRPr="005828DC">
              <w:rPr>
                <w:rFonts w:eastAsia="Times New Roman"/>
                <w:sz w:val="20"/>
                <w:szCs w:val="20"/>
              </w:rPr>
              <w:t>Training and inference require high performance computing resources, high hardware costs</w:t>
            </w:r>
          </w:p>
          <w:p w:rsidR="00CB6F82" w:rsidRPr="005828DC" w:rsidRDefault="00CB6F82" w:rsidP="00732979">
            <w:pPr>
              <w:pStyle w:val="a9"/>
              <w:numPr>
                <w:ilvl w:val="0"/>
                <w:numId w:val="4"/>
              </w:numPr>
              <w:spacing w:line="240" w:lineRule="auto"/>
              <w:ind w:left="420" w:hanging="420"/>
              <w:jc w:val="left"/>
              <w:rPr>
                <w:rFonts w:eastAsia="Times New Roman"/>
                <w:sz w:val="20"/>
                <w:szCs w:val="20"/>
              </w:rPr>
            </w:pPr>
            <w:r w:rsidRPr="005828DC">
              <w:rPr>
                <w:rFonts w:eastAsia="Times New Roman"/>
                <w:sz w:val="20"/>
                <w:szCs w:val="20"/>
              </w:rPr>
              <w:t>Models are black-box, difficult to clearly explain why a causal relationship is predicted</w:t>
            </w:r>
          </w:p>
          <w:p w:rsidR="00CB6F82" w:rsidRPr="005828DC" w:rsidRDefault="00CB6F82" w:rsidP="00732979">
            <w:pPr>
              <w:pStyle w:val="a9"/>
              <w:numPr>
                <w:ilvl w:val="0"/>
                <w:numId w:val="4"/>
              </w:numPr>
              <w:spacing w:line="240" w:lineRule="auto"/>
              <w:ind w:left="420" w:hanging="420"/>
              <w:jc w:val="left"/>
              <w:rPr>
                <w:rFonts w:eastAsia="Times New Roman"/>
                <w:sz w:val="20"/>
                <w:szCs w:val="20"/>
              </w:rPr>
            </w:pPr>
            <w:r w:rsidRPr="005828DC">
              <w:rPr>
                <w:rFonts w:eastAsia="Times New Roman"/>
                <w:sz w:val="20"/>
                <w:szCs w:val="20"/>
              </w:rPr>
              <w:t>Unstable, sensitive to small datasets or noise and vulnerability to dataset poisoning</w:t>
            </w:r>
          </w:p>
        </w:tc>
      </w:tr>
      <w:tr w:rsidR="00CB6F82" w:rsidTr="00732979">
        <w:trPr>
          <w:trHeight w:val="2238"/>
        </w:trPr>
        <w:tc>
          <w:tcPr>
            <w:tcW w:w="1555" w:type="dxa"/>
            <w:tcMar>
              <w:left w:w="108" w:type="dxa"/>
              <w:right w:w="108" w:type="dxa"/>
            </w:tcMar>
            <w:vAlign w:val="center"/>
          </w:tcPr>
          <w:p w:rsidR="00CB6F82" w:rsidRPr="005828DC" w:rsidRDefault="00CB6F82" w:rsidP="00732979">
            <w:pPr>
              <w:spacing w:line="240" w:lineRule="auto"/>
              <w:jc w:val="center"/>
              <w:rPr>
                <w:b/>
                <w:sz w:val="20"/>
                <w:szCs w:val="20"/>
              </w:rPr>
            </w:pPr>
            <w:r w:rsidRPr="005828DC">
              <w:rPr>
                <w:rFonts w:eastAsia="Times New Roman"/>
                <w:b/>
                <w:sz w:val="20"/>
                <w:szCs w:val="20"/>
              </w:rPr>
              <w:t>Representative technologies or models</w:t>
            </w:r>
          </w:p>
        </w:tc>
        <w:tc>
          <w:tcPr>
            <w:tcW w:w="2131" w:type="dxa"/>
            <w:tcBorders>
              <w:top w:val="single" w:sz="4" w:space="0" w:color="auto"/>
              <w:bottom w:val="single" w:sz="4" w:space="0" w:color="auto"/>
            </w:tcBorders>
            <w:tcMar>
              <w:left w:w="108" w:type="dxa"/>
              <w:right w:w="108" w:type="dxa"/>
            </w:tcMar>
          </w:tcPr>
          <w:p w:rsidR="00CB6F82" w:rsidRPr="005828DC" w:rsidRDefault="00CB6F82" w:rsidP="00732979">
            <w:pPr>
              <w:pStyle w:val="a9"/>
              <w:numPr>
                <w:ilvl w:val="0"/>
                <w:numId w:val="2"/>
              </w:numPr>
              <w:spacing w:line="240" w:lineRule="auto"/>
              <w:ind w:left="420" w:hanging="420"/>
              <w:jc w:val="left"/>
              <w:rPr>
                <w:rFonts w:eastAsia="Times New Roman"/>
                <w:sz w:val="20"/>
                <w:szCs w:val="20"/>
              </w:rPr>
            </w:pPr>
            <w:r w:rsidRPr="005828DC">
              <w:rPr>
                <w:rFonts w:eastAsia="Times New Roman"/>
                <w:sz w:val="20"/>
                <w:szCs w:val="20"/>
              </w:rPr>
              <w:t>Causal signal word regular expression construction</w:t>
            </w:r>
          </w:p>
          <w:p w:rsidR="00CB6F82" w:rsidRPr="005828DC" w:rsidRDefault="00CB6F82" w:rsidP="00732979">
            <w:pPr>
              <w:pStyle w:val="a9"/>
              <w:numPr>
                <w:ilvl w:val="0"/>
                <w:numId w:val="2"/>
              </w:numPr>
              <w:spacing w:line="240" w:lineRule="auto"/>
              <w:ind w:left="420" w:hanging="420"/>
              <w:jc w:val="left"/>
              <w:rPr>
                <w:rFonts w:eastAsia="Times New Roman"/>
                <w:sz w:val="20"/>
                <w:szCs w:val="20"/>
              </w:rPr>
            </w:pPr>
            <w:r w:rsidRPr="005828DC">
              <w:rPr>
                <w:rFonts w:eastAsia="Times New Roman"/>
                <w:sz w:val="20"/>
                <w:szCs w:val="20"/>
              </w:rPr>
              <w:t>Syntactic dependency parsing</w:t>
            </w:r>
          </w:p>
          <w:p w:rsidR="00CB6F82" w:rsidRPr="005828DC" w:rsidRDefault="00CB6F82" w:rsidP="00732979">
            <w:pPr>
              <w:pStyle w:val="a9"/>
              <w:numPr>
                <w:ilvl w:val="0"/>
                <w:numId w:val="2"/>
              </w:numPr>
              <w:spacing w:line="240" w:lineRule="auto"/>
              <w:ind w:left="420" w:hanging="420"/>
              <w:jc w:val="left"/>
              <w:rPr>
                <w:rFonts w:eastAsia="Times New Roman"/>
                <w:sz w:val="20"/>
                <w:szCs w:val="20"/>
              </w:rPr>
            </w:pPr>
            <w:r w:rsidRPr="005828DC">
              <w:rPr>
                <w:rFonts w:eastAsia="Times New Roman"/>
                <w:sz w:val="20"/>
                <w:szCs w:val="20"/>
              </w:rPr>
              <w:t>Pattern matching</w:t>
            </w:r>
          </w:p>
        </w:tc>
        <w:tc>
          <w:tcPr>
            <w:tcW w:w="2121" w:type="dxa"/>
            <w:tcBorders>
              <w:top w:val="single" w:sz="4" w:space="0" w:color="auto"/>
              <w:bottom w:val="single" w:sz="4" w:space="0" w:color="auto"/>
            </w:tcBorders>
            <w:tcMar>
              <w:left w:w="108" w:type="dxa"/>
              <w:right w:w="108" w:type="dxa"/>
            </w:tcMar>
          </w:tcPr>
          <w:p w:rsidR="00CB6F82" w:rsidRPr="005828DC" w:rsidRDefault="00CB6F82" w:rsidP="00732979">
            <w:pPr>
              <w:pStyle w:val="a9"/>
              <w:numPr>
                <w:ilvl w:val="0"/>
                <w:numId w:val="2"/>
              </w:numPr>
              <w:spacing w:line="240" w:lineRule="auto"/>
              <w:ind w:left="420" w:hanging="420"/>
              <w:jc w:val="left"/>
              <w:rPr>
                <w:rFonts w:eastAsia="Times New Roman"/>
                <w:sz w:val="20"/>
                <w:szCs w:val="20"/>
              </w:rPr>
            </w:pPr>
            <w:r w:rsidRPr="005828DC">
              <w:rPr>
                <w:rFonts w:eastAsia="Times New Roman"/>
                <w:sz w:val="20"/>
                <w:szCs w:val="20"/>
              </w:rPr>
              <w:t>SVM</w:t>
            </w:r>
          </w:p>
          <w:p w:rsidR="00CB6F82" w:rsidRPr="005828DC" w:rsidRDefault="00CB6F82" w:rsidP="00732979">
            <w:pPr>
              <w:pStyle w:val="a9"/>
              <w:numPr>
                <w:ilvl w:val="0"/>
                <w:numId w:val="2"/>
              </w:numPr>
              <w:spacing w:line="240" w:lineRule="auto"/>
              <w:ind w:left="420" w:hanging="420"/>
              <w:jc w:val="left"/>
              <w:rPr>
                <w:rFonts w:eastAsia="Times New Roman"/>
                <w:sz w:val="20"/>
                <w:szCs w:val="20"/>
              </w:rPr>
            </w:pPr>
            <w:r w:rsidRPr="005828DC">
              <w:rPr>
                <w:rFonts w:eastAsia="Times New Roman"/>
                <w:sz w:val="20"/>
                <w:szCs w:val="20"/>
              </w:rPr>
              <w:t>CRF</w:t>
            </w:r>
          </w:p>
          <w:p w:rsidR="00CB6F82" w:rsidRPr="005828DC" w:rsidRDefault="00CB6F82" w:rsidP="00732979">
            <w:pPr>
              <w:pStyle w:val="a9"/>
              <w:numPr>
                <w:ilvl w:val="0"/>
                <w:numId w:val="2"/>
              </w:numPr>
              <w:spacing w:line="240" w:lineRule="auto"/>
              <w:ind w:left="420" w:hanging="420"/>
              <w:jc w:val="left"/>
              <w:rPr>
                <w:rFonts w:eastAsia="Times New Roman"/>
                <w:sz w:val="20"/>
                <w:szCs w:val="20"/>
              </w:rPr>
            </w:pPr>
            <w:r w:rsidRPr="005828DC">
              <w:rPr>
                <w:rFonts w:eastAsia="Times New Roman"/>
                <w:sz w:val="20"/>
                <w:szCs w:val="20"/>
              </w:rPr>
              <w:t>Decision Tree</w:t>
            </w:r>
          </w:p>
          <w:p w:rsidR="00CB6F82" w:rsidRPr="005828DC" w:rsidRDefault="00CB6F82" w:rsidP="00732979">
            <w:pPr>
              <w:pStyle w:val="a9"/>
              <w:numPr>
                <w:ilvl w:val="0"/>
                <w:numId w:val="2"/>
              </w:numPr>
              <w:spacing w:line="240" w:lineRule="auto"/>
              <w:ind w:left="420" w:hanging="420"/>
              <w:jc w:val="left"/>
              <w:rPr>
                <w:rFonts w:eastAsia="Times New Roman"/>
                <w:sz w:val="20"/>
                <w:szCs w:val="20"/>
              </w:rPr>
            </w:pPr>
            <w:r w:rsidRPr="005828DC">
              <w:rPr>
                <w:rFonts w:eastAsia="Times New Roman"/>
                <w:sz w:val="20"/>
                <w:szCs w:val="20"/>
              </w:rPr>
              <w:t>Random Forest</w:t>
            </w:r>
          </w:p>
          <w:p w:rsidR="00CB6F82" w:rsidRPr="005828DC" w:rsidRDefault="00CB6F82" w:rsidP="00732979">
            <w:pPr>
              <w:pStyle w:val="a9"/>
              <w:numPr>
                <w:ilvl w:val="0"/>
                <w:numId w:val="2"/>
              </w:numPr>
              <w:spacing w:line="240" w:lineRule="auto"/>
              <w:ind w:left="420" w:hanging="420"/>
              <w:jc w:val="left"/>
              <w:rPr>
                <w:rFonts w:eastAsia="Times New Roman"/>
                <w:sz w:val="20"/>
                <w:szCs w:val="20"/>
              </w:rPr>
            </w:pPr>
            <w:r w:rsidRPr="005828DC">
              <w:rPr>
                <w:rFonts w:eastAsia="Times New Roman"/>
                <w:sz w:val="20"/>
                <w:szCs w:val="20"/>
              </w:rPr>
              <w:t>Logistic Regression</w:t>
            </w:r>
          </w:p>
          <w:p w:rsidR="00CB6F82" w:rsidRPr="005828DC" w:rsidRDefault="00CB6F82" w:rsidP="00732979">
            <w:pPr>
              <w:pStyle w:val="a9"/>
              <w:numPr>
                <w:ilvl w:val="0"/>
                <w:numId w:val="2"/>
              </w:numPr>
              <w:spacing w:line="240" w:lineRule="auto"/>
              <w:ind w:left="420" w:hanging="420"/>
              <w:jc w:val="left"/>
              <w:rPr>
                <w:rFonts w:eastAsia="Times New Roman"/>
                <w:sz w:val="20"/>
                <w:szCs w:val="20"/>
              </w:rPr>
            </w:pPr>
            <w:r w:rsidRPr="005828DC">
              <w:rPr>
                <w:rFonts w:eastAsia="Times New Roman"/>
                <w:sz w:val="20"/>
                <w:szCs w:val="20"/>
              </w:rPr>
              <w:t>Markov Logic Networks</w:t>
            </w:r>
          </w:p>
          <w:p w:rsidR="00CB6F82" w:rsidRPr="005828DC" w:rsidRDefault="00CB6F82" w:rsidP="00732979">
            <w:pPr>
              <w:pStyle w:val="a9"/>
              <w:numPr>
                <w:ilvl w:val="0"/>
                <w:numId w:val="2"/>
              </w:numPr>
              <w:spacing w:line="240" w:lineRule="auto"/>
              <w:ind w:left="420" w:hanging="420"/>
              <w:jc w:val="left"/>
              <w:rPr>
                <w:rFonts w:eastAsia="Times New Roman"/>
                <w:sz w:val="20"/>
                <w:szCs w:val="20"/>
              </w:rPr>
            </w:pPr>
            <w:r w:rsidRPr="005828DC">
              <w:rPr>
                <w:rFonts w:eastAsia="Times New Roman"/>
                <w:sz w:val="20"/>
                <w:szCs w:val="20"/>
              </w:rPr>
              <w:t>Maximum Entropy (ME)</w:t>
            </w:r>
          </w:p>
          <w:p w:rsidR="00CB6F82" w:rsidRPr="005828DC" w:rsidRDefault="00CB6F82" w:rsidP="00732979">
            <w:pPr>
              <w:pStyle w:val="a9"/>
              <w:numPr>
                <w:ilvl w:val="0"/>
                <w:numId w:val="2"/>
              </w:numPr>
              <w:spacing w:line="240" w:lineRule="auto"/>
              <w:jc w:val="left"/>
              <w:rPr>
                <w:rFonts w:eastAsia="Times New Roman"/>
                <w:sz w:val="20"/>
                <w:szCs w:val="20"/>
              </w:rPr>
            </w:pPr>
            <w:r w:rsidRPr="005828DC">
              <w:rPr>
                <w:rFonts w:eastAsia="Times New Roman"/>
                <w:sz w:val="20"/>
                <w:szCs w:val="20"/>
              </w:rPr>
              <w:t>Naïve Bayes (NB)</w:t>
            </w:r>
          </w:p>
        </w:tc>
        <w:tc>
          <w:tcPr>
            <w:tcW w:w="1554" w:type="dxa"/>
            <w:tcBorders>
              <w:top w:val="single" w:sz="4" w:space="0" w:color="auto"/>
              <w:bottom w:val="single" w:sz="4" w:space="0" w:color="auto"/>
            </w:tcBorders>
            <w:tcMar>
              <w:left w:w="108" w:type="dxa"/>
              <w:right w:w="108" w:type="dxa"/>
            </w:tcMar>
          </w:tcPr>
          <w:p w:rsidR="00CB6F82" w:rsidRPr="005828DC" w:rsidRDefault="00CB6F82" w:rsidP="00732979">
            <w:pPr>
              <w:pStyle w:val="a9"/>
              <w:numPr>
                <w:ilvl w:val="0"/>
                <w:numId w:val="2"/>
              </w:numPr>
              <w:spacing w:line="240" w:lineRule="auto"/>
              <w:ind w:left="420" w:hanging="420"/>
              <w:jc w:val="left"/>
              <w:rPr>
                <w:rFonts w:eastAsia="Times New Roman"/>
                <w:sz w:val="20"/>
                <w:szCs w:val="20"/>
              </w:rPr>
            </w:pPr>
            <w:r w:rsidRPr="005828DC">
              <w:rPr>
                <w:rFonts w:eastAsia="Times New Roman"/>
                <w:sz w:val="20"/>
                <w:szCs w:val="20"/>
              </w:rPr>
              <w:t>RNN (LSTM, GRU, LSTM)</w:t>
            </w:r>
          </w:p>
          <w:p w:rsidR="00CB6F82" w:rsidRPr="005828DC" w:rsidRDefault="00CB6F82" w:rsidP="00732979">
            <w:pPr>
              <w:pStyle w:val="a9"/>
              <w:numPr>
                <w:ilvl w:val="0"/>
                <w:numId w:val="2"/>
              </w:numPr>
              <w:spacing w:line="240" w:lineRule="auto"/>
              <w:ind w:left="420" w:hanging="420"/>
              <w:jc w:val="left"/>
              <w:rPr>
                <w:rFonts w:eastAsia="Times New Roman"/>
                <w:sz w:val="20"/>
                <w:szCs w:val="20"/>
              </w:rPr>
            </w:pPr>
            <w:r w:rsidRPr="005828DC">
              <w:rPr>
                <w:rFonts w:eastAsia="Times New Roman"/>
                <w:sz w:val="20"/>
                <w:szCs w:val="20"/>
              </w:rPr>
              <w:t>CNN</w:t>
            </w:r>
          </w:p>
          <w:p w:rsidR="00CB6F82" w:rsidRPr="005828DC" w:rsidRDefault="00CB6F82" w:rsidP="00732979">
            <w:pPr>
              <w:pStyle w:val="a9"/>
              <w:numPr>
                <w:ilvl w:val="0"/>
                <w:numId w:val="2"/>
              </w:numPr>
              <w:spacing w:line="240" w:lineRule="auto"/>
              <w:ind w:left="420" w:hanging="420"/>
              <w:jc w:val="left"/>
              <w:rPr>
                <w:rFonts w:eastAsia="Times New Roman"/>
                <w:sz w:val="20"/>
                <w:szCs w:val="20"/>
              </w:rPr>
            </w:pPr>
            <w:r w:rsidRPr="005828DC">
              <w:rPr>
                <w:rFonts w:eastAsia="Times New Roman"/>
                <w:sz w:val="20"/>
                <w:szCs w:val="20"/>
              </w:rPr>
              <w:t>GCN</w:t>
            </w:r>
          </w:p>
        </w:tc>
        <w:tc>
          <w:tcPr>
            <w:tcW w:w="1720" w:type="dxa"/>
            <w:tcBorders>
              <w:top w:val="single" w:sz="4" w:space="0" w:color="auto"/>
            </w:tcBorders>
            <w:tcMar>
              <w:left w:w="108" w:type="dxa"/>
              <w:right w:w="108" w:type="dxa"/>
            </w:tcMar>
          </w:tcPr>
          <w:p w:rsidR="00CB6F82" w:rsidRPr="005828DC" w:rsidRDefault="00CB6F82" w:rsidP="00732979">
            <w:pPr>
              <w:pStyle w:val="a9"/>
              <w:numPr>
                <w:ilvl w:val="0"/>
                <w:numId w:val="2"/>
              </w:numPr>
              <w:spacing w:line="240" w:lineRule="auto"/>
              <w:ind w:left="420" w:hanging="420"/>
              <w:jc w:val="left"/>
              <w:rPr>
                <w:rFonts w:eastAsia="Times New Roman"/>
                <w:sz w:val="20"/>
                <w:szCs w:val="20"/>
              </w:rPr>
            </w:pPr>
            <w:r w:rsidRPr="005828DC">
              <w:rPr>
                <w:rFonts w:eastAsia="Times New Roman"/>
                <w:sz w:val="20"/>
                <w:szCs w:val="20"/>
              </w:rPr>
              <w:t>BERT (</w:t>
            </w:r>
            <w:proofErr w:type="spellStart"/>
            <w:r w:rsidRPr="005828DC">
              <w:rPr>
                <w:rFonts w:eastAsia="Times New Roman"/>
                <w:sz w:val="20"/>
                <w:szCs w:val="20"/>
              </w:rPr>
              <w:t>RoBERTa</w:t>
            </w:r>
            <w:proofErr w:type="spellEnd"/>
            <w:r w:rsidRPr="005828DC">
              <w:rPr>
                <w:rFonts w:eastAsia="Times New Roman"/>
                <w:sz w:val="20"/>
                <w:szCs w:val="20"/>
              </w:rPr>
              <w:t xml:space="preserve">, </w:t>
            </w:r>
            <w:proofErr w:type="spellStart"/>
            <w:r w:rsidRPr="005828DC">
              <w:rPr>
                <w:rFonts w:eastAsia="Times New Roman"/>
                <w:sz w:val="20"/>
                <w:szCs w:val="20"/>
              </w:rPr>
              <w:t>SpanBERT</w:t>
            </w:r>
            <w:proofErr w:type="spellEnd"/>
            <w:r w:rsidRPr="005828DC">
              <w:rPr>
                <w:rFonts w:eastAsia="Times New Roman"/>
                <w:sz w:val="20"/>
                <w:szCs w:val="20"/>
              </w:rPr>
              <w:t>, ELECTRA)</w:t>
            </w:r>
          </w:p>
          <w:p w:rsidR="00CB6F82" w:rsidRPr="005828DC" w:rsidRDefault="00CB6F82" w:rsidP="00732979">
            <w:pPr>
              <w:pStyle w:val="a9"/>
              <w:numPr>
                <w:ilvl w:val="0"/>
                <w:numId w:val="2"/>
              </w:numPr>
              <w:spacing w:line="240" w:lineRule="auto"/>
              <w:ind w:left="420" w:hanging="420"/>
              <w:jc w:val="left"/>
              <w:rPr>
                <w:rFonts w:eastAsia="Times New Roman"/>
                <w:sz w:val="20"/>
                <w:szCs w:val="20"/>
              </w:rPr>
            </w:pPr>
            <w:r w:rsidRPr="005828DC">
              <w:rPr>
                <w:rFonts w:eastAsia="Times New Roman"/>
                <w:sz w:val="20"/>
                <w:szCs w:val="20"/>
              </w:rPr>
              <w:t>LLM (GPT, T5)</w:t>
            </w:r>
          </w:p>
        </w:tc>
      </w:tr>
      <w:tr w:rsidR="00CB6F82" w:rsidTr="00732979">
        <w:trPr>
          <w:trHeight w:val="300"/>
        </w:trPr>
        <w:tc>
          <w:tcPr>
            <w:tcW w:w="1555" w:type="dxa"/>
            <w:tcMar>
              <w:left w:w="108" w:type="dxa"/>
              <w:right w:w="108" w:type="dxa"/>
            </w:tcMar>
            <w:vAlign w:val="center"/>
          </w:tcPr>
          <w:p w:rsidR="00CB6F82" w:rsidRPr="005828DC" w:rsidRDefault="00CB6F82" w:rsidP="00732979">
            <w:pPr>
              <w:spacing w:line="240" w:lineRule="auto"/>
              <w:jc w:val="center"/>
              <w:rPr>
                <w:b/>
                <w:sz w:val="20"/>
                <w:szCs w:val="20"/>
              </w:rPr>
            </w:pPr>
            <w:r w:rsidRPr="005828DC">
              <w:rPr>
                <w:rFonts w:eastAsia="Times New Roman"/>
                <w:b/>
                <w:sz w:val="20"/>
                <w:szCs w:val="20"/>
              </w:rPr>
              <w:t xml:space="preserve">Selection </w:t>
            </w:r>
            <w:r w:rsidRPr="005828DC">
              <w:rPr>
                <w:rFonts w:eastAsia="Times New Roman"/>
                <w:b/>
                <w:sz w:val="20"/>
                <w:szCs w:val="20"/>
              </w:rPr>
              <w:lastRenderedPageBreak/>
              <w:t>suggestion</w:t>
            </w:r>
          </w:p>
        </w:tc>
        <w:tc>
          <w:tcPr>
            <w:tcW w:w="2131" w:type="dxa"/>
            <w:tcBorders>
              <w:top w:val="single" w:sz="4" w:space="0" w:color="auto"/>
              <w:bottom w:val="single" w:sz="4" w:space="0" w:color="auto"/>
            </w:tcBorders>
            <w:tcMar>
              <w:left w:w="108" w:type="dxa"/>
              <w:right w:w="108" w:type="dxa"/>
            </w:tcMar>
          </w:tcPr>
          <w:p w:rsidR="00CB6F82" w:rsidRPr="005828DC" w:rsidRDefault="00CB6F82" w:rsidP="00732979">
            <w:pPr>
              <w:pStyle w:val="a9"/>
              <w:numPr>
                <w:ilvl w:val="0"/>
                <w:numId w:val="1"/>
              </w:numPr>
              <w:spacing w:line="240" w:lineRule="auto"/>
              <w:ind w:left="420" w:hanging="420"/>
              <w:jc w:val="left"/>
              <w:rPr>
                <w:rFonts w:eastAsia="Times New Roman"/>
                <w:sz w:val="20"/>
                <w:szCs w:val="20"/>
              </w:rPr>
            </w:pPr>
            <w:r w:rsidRPr="005828DC">
              <w:rPr>
                <w:rFonts w:eastAsia="Times New Roman"/>
                <w:sz w:val="20"/>
                <w:szCs w:val="20"/>
              </w:rPr>
              <w:lastRenderedPageBreak/>
              <w:t xml:space="preserve">Small dataset, </w:t>
            </w:r>
            <w:r w:rsidRPr="005828DC">
              <w:rPr>
                <w:rFonts w:eastAsia="Times New Roman"/>
                <w:sz w:val="20"/>
                <w:szCs w:val="20"/>
              </w:rPr>
              <w:lastRenderedPageBreak/>
              <w:t>without large-scale labeled data</w:t>
            </w:r>
          </w:p>
          <w:p w:rsidR="00CB6F82" w:rsidRPr="005828DC" w:rsidRDefault="00CB6F82" w:rsidP="00732979">
            <w:pPr>
              <w:pStyle w:val="a9"/>
              <w:numPr>
                <w:ilvl w:val="0"/>
                <w:numId w:val="1"/>
              </w:numPr>
              <w:spacing w:line="240" w:lineRule="auto"/>
              <w:ind w:left="420" w:hanging="420"/>
              <w:jc w:val="left"/>
              <w:rPr>
                <w:rFonts w:eastAsia="Times New Roman"/>
                <w:sz w:val="20"/>
                <w:szCs w:val="20"/>
              </w:rPr>
            </w:pPr>
            <w:r w:rsidRPr="005828DC">
              <w:rPr>
                <w:rFonts w:eastAsia="Times New Roman"/>
                <w:sz w:val="20"/>
                <w:szCs w:val="20"/>
              </w:rPr>
              <w:t>Causal relationships are clearly defined and easily captured explicitly</w:t>
            </w:r>
          </w:p>
          <w:p w:rsidR="00CB6F82" w:rsidRPr="005828DC" w:rsidRDefault="00CB6F82" w:rsidP="00732979">
            <w:pPr>
              <w:pStyle w:val="a9"/>
              <w:numPr>
                <w:ilvl w:val="0"/>
                <w:numId w:val="1"/>
              </w:numPr>
              <w:spacing w:line="240" w:lineRule="auto"/>
              <w:ind w:left="420" w:hanging="420"/>
              <w:jc w:val="left"/>
              <w:rPr>
                <w:rFonts w:eastAsia="Times New Roman"/>
                <w:sz w:val="20"/>
                <w:szCs w:val="20"/>
              </w:rPr>
            </w:pPr>
            <w:r w:rsidRPr="005828DC">
              <w:rPr>
                <w:rFonts w:eastAsia="Times New Roman"/>
                <w:sz w:val="20"/>
                <w:szCs w:val="20"/>
              </w:rPr>
              <w:t>Requiring Rapid development</w:t>
            </w:r>
          </w:p>
        </w:tc>
        <w:tc>
          <w:tcPr>
            <w:tcW w:w="2121" w:type="dxa"/>
            <w:tcBorders>
              <w:top w:val="single" w:sz="4" w:space="0" w:color="auto"/>
              <w:bottom w:val="single" w:sz="4" w:space="0" w:color="auto"/>
            </w:tcBorders>
            <w:tcMar>
              <w:left w:w="108" w:type="dxa"/>
              <w:right w:w="108" w:type="dxa"/>
            </w:tcMar>
          </w:tcPr>
          <w:p w:rsidR="00CB6F82" w:rsidRPr="005828DC" w:rsidRDefault="00CB6F82" w:rsidP="00732979">
            <w:pPr>
              <w:pStyle w:val="a9"/>
              <w:numPr>
                <w:ilvl w:val="0"/>
                <w:numId w:val="1"/>
              </w:numPr>
              <w:spacing w:line="240" w:lineRule="auto"/>
              <w:ind w:left="420" w:hanging="420"/>
              <w:jc w:val="left"/>
              <w:rPr>
                <w:rFonts w:eastAsia="Times New Roman"/>
                <w:sz w:val="20"/>
                <w:szCs w:val="20"/>
              </w:rPr>
            </w:pPr>
            <w:r w:rsidRPr="005828DC">
              <w:rPr>
                <w:rFonts w:eastAsia="Times New Roman"/>
                <w:sz w:val="20"/>
                <w:szCs w:val="20"/>
              </w:rPr>
              <w:lastRenderedPageBreak/>
              <w:t xml:space="preserve">Medium to small </w:t>
            </w:r>
            <w:r w:rsidRPr="005828DC">
              <w:rPr>
                <w:rFonts w:eastAsia="Times New Roman"/>
                <w:sz w:val="20"/>
                <w:szCs w:val="20"/>
              </w:rPr>
              <w:lastRenderedPageBreak/>
              <w:t>dataset size</w:t>
            </w:r>
          </w:p>
          <w:p w:rsidR="00CB6F82" w:rsidRPr="005828DC" w:rsidRDefault="00CB6F82" w:rsidP="00732979">
            <w:pPr>
              <w:pStyle w:val="a9"/>
              <w:numPr>
                <w:ilvl w:val="0"/>
                <w:numId w:val="1"/>
              </w:numPr>
              <w:spacing w:line="240" w:lineRule="auto"/>
              <w:ind w:left="420" w:hanging="420"/>
              <w:jc w:val="left"/>
              <w:rPr>
                <w:rFonts w:eastAsia="Times New Roman"/>
                <w:sz w:val="20"/>
                <w:szCs w:val="20"/>
              </w:rPr>
            </w:pPr>
            <w:r w:rsidRPr="005828DC">
              <w:rPr>
                <w:rFonts w:eastAsia="Times New Roman"/>
                <w:sz w:val="20"/>
                <w:szCs w:val="20"/>
              </w:rPr>
              <w:t>Flexible expression forms with distinct features</w:t>
            </w:r>
          </w:p>
          <w:p w:rsidR="00CB6F82" w:rsidRPr="005828DC" w:rsidRDefault="00CB6F82" w:rsidP="00732979">
            <w:pPr>
              <w:pStyle w:val="a9"/>
              <w:numPr>
                <w:ilvl w:val="0"/>
                <w:numId w:val="1"/>
              </w:numPr>
              <w:spacing w:line="240" w:lineRule="auto"/>
              <w:ind w:left="420" w:hanging="420"/>
              <w:jc w:val="left"/>
              <w:rPr>
                <w:rFonts w:eastAsia="Times New Roman"/>
                <w:sz w:val="20"/>
                <w:szCs w:val="20"/>
              </w:rPr>
            </w:pPr>
            <w:r w:rsidRPr="005828DC">
              <w:rPr>
                <w:rFonts w:eastAsia="Times New Roman"/>
                <w:sz w:val="20"/>
                <w:szCs w:val="20"/>
              </w:rPr>
              <w:t xml:space="preserve">Need for domain-specific feature </w:t>
            </w:r>
            <w:proofErr w:type="spellStart"/>
            <w:r w:rsidRPr="005828DC">
              <w:rPr>
                <w:rFonts w:eastAsia="Times New Roman"/>
                <w:sz w:val="20"/>
                <w:szCs w:val="20"/>
              </w:rPr>
              <w:t>customisation</w:t>
            </w:r>
            <w:proofErr w:type="spellEnd"/>
          </w:p>
        </w:tc>
        <w:tc>
          <w:tcPr>
            <w:tcW w:w="3274" w:type="dxa"/>
            <w:gridSpan w:val="2"/>
            <w:tcBorders>
              <w:top w:val="single" w:sz="4" w:space="0" w:color="auto"/>
            </w:tcBorders>
            <w:tcMar>
              <w:left w:w="108" w:type="dxa"/>
              <w:right w:w="108" w:type="dxa"/>
            </w:tcMar>
          </w:tcPr>
          <w:p w:rsidR="00CB6F82" w:rsidRPr="005828DC" w:rsidRDefault="00CB6F82" w:rsidP="00732979">
            <w:pPr>
              <w:pStyle w:val="a9"/>
              <w:numPr>
                <w:ilvl w:val="0"/>
                <w:numId w:val="1"/>
              </w:numPr>
              <w:spacing w:line="240" w:lineRule="auto"/>
              <w:ind w:left="420" w:hanging="420"/>
              <w:jc w:val="left"/>
              <w:rPr>
                <w:rFonts w:eastAsia="Times New Roman"/>
                <w:sz w:val="20"/>
                <w:szCs w:val="20"/>
              </w:rPr>
            </w:pPr>
            <w:r w:rsidRPr="005828DC">
              <w:rPr>
                <w:rFonts w:eastAsia="Times New Roman"/>
                <w:sz w:val="20"/>
                <w:szCs w:val="20"/>
              </w:rPr>
              <w:lastRenderedPageBreak/>
              <w:t>Large dataset</w:t>
            </w:r>
          </w:p>
          <w:p w:rsidR="00CB6F82" w:rsidRPr="005828DC" w:rsidRDefault="00CB6F82" w:rsidP="00732979">
            <w:pPr>
              <w:pStyle w:val="a9"/>
              <w:numPr>
                <w:ilvl w:val="0"/>
                <w:numId w:val="1"/>
              </w:numPr>
              <w:spacing w:line="240" w:lineRule="auto"/>
              <w:ind w:left="420" w:hanging="420"/>
              <w:jc w:val="left"/>
              <w:rPr>
                <w:rFonts w:eastAsia="Times New Roman"/>
                <w:sz w:val="20"/>
                <w:szCs w:val="20"/>
              </w:rPr>
            </w:pPr>
            <w:r w:rsidRPr="005828DC">
              <w:rPr>
                <w:rFonts w:eastAsia="Times New Roman"/>
                <w:sz w:val="20"/>
                <w:szCs w:val="20"/>
              </w:rPr>
              <w:lastRenderedPageBreak/>
              <w:t>Task involves complex causal relationships</w:t>
            </w:r>
          </w:p>
          <w:p w:rsidR="00CB6F82" w:rsidRPr="005828DC" w:rsidRDefault="00CB6F82" w:rsidP="00732979">
            <w:pPr>
              <w:pStyle w:val="a9"/>
              <w:numPr>
                <w:ilvl w:val="0"/>
                <w:numId w:val="1"/>
              </w:numPr>
              <w:spacing w:line="240" w:lineRule="auto"/>
              <w:ind w:left="420" w:hanging="420"/>
              <w:jc w:val="left"/>
              <w:rPr>
                <w:rFonts w:eastAsia="Times New Roman"/>
                <w:sz w:val="20"/>
                <w:szCs w:val="20"/>
              </w:rPr>
            </w:pPr>
            <w:r w:rsidRPr="005828DC">
              <w:rPr>
                <w:rFonts w:eastAsia="Times New Roman"/>
                <w:sz w:val="20"/>
                <w:szCs w:val="20"/>
              </w:rPr>
              <w:t>Requiring deep semantic understanding of long texts</w:t>
            </w:r>
          </w:p>
        </w:tc>
      </w:tr>
      <w:tr w:rsidR="00CB6F82" w:rsidTr="00732979">
        <w:trPr>
          <w:trHeight w:val="1056"/>
        </w:trPr>
        <w:tc>
          <w:tcPr>
            <w:tcW w:w="1555" w:type="dxa"/>
            <w:tcBorders>
              <w:bottom w:val="single" w:sz="8" w:space="0" w:color="auto"/>
            </w:tcBorders>
            <w:tcMar>
              <w:left w:w="108" w:type="dxa"/>
              <w:right w:w="108" w:type="dxa"/>
            </w:tcMar>
            <w:vAlign w:val="center"/>
          </w:tcPr>
          <w:p w:rsidR="00CB6F82" w:rsidRPr="005828DC" w:rsidRDefault="00CB6F82" w:rsidP="00732979">
            <w:pPr>
              <w:spacing w:line="240" w:lineRule="auto"/>
              <w:jc w:val="center"/>
              <w:rPr>
                <w:rFonts w:eastAsia="Times New Roman"/>
                <w:b/>
                <w:sz w:val="20"/>
                <w:szCs w:val="20"/>
              </w:rPr>
            </w:pPr>
            <w:r w:rsidRPr="005828DC">
              <w:rPr>
                <w:rFonts w:eastAsia="Times New Roman"/>
                <w:b/>
                <w:sz w:val="20"/>
                <w:szCs w:val="20"/>
              </w:rPr>
              <w:lastRenderedPageBreak/>
              <w:t>Further reading/overview resources</w:t>
            </w:r>
          </w:p>
        </w:tc>
        <w:tc>
          <w:tcPr>
            <w:tcW w:w="7526" w:type="dxa"/>
            <w:gridSpan w:val="4"/>
            <w:tcBorders>
              <w:top w:val="single" w:sz="4" w:space="0" w:color="auto"/>
              <w:bottom w:val="single" w:sz="8" w:space="0" w:color="auto"/>
            </w:tcBorders>
            <w:tcMar>
              <w:left w:w="108" w:type="dxa"/>
              <w:right w:w="108" w:type="dxa"/>
            </w:tcMar>
          </w:tcPr>
          <w:p w:rsidR="00CB6F82" w:rsidRPr="005828DC" w:rsidRDefault="00CB6F82" w:rsidP="00732979">
            <w:pPr>
              <w:pStyle w:val="a9"/>
              <w:numPr>
                <w:ilvl w:val="0"/>
                <w:numId w:val="1"/>
              </w:numPr>
              <w:spacing w:line="240" w:lineRule="auto"/>
              <w:ind w:left="360"/>
              <w:jc w:val="left"/>
              <w:rPr>
                <w:rFonts w:eastAsia="Times New Roman"/>
                <w:color w:val="000000" w:themeColor="text1"/>
                <w:sz w:val="20"/>
                <w:szCs w:val="20"/>
              </w:rPr>
            </w:pPr>
            <w:r w:rsidRPr="005828DC">
              <w:rPr>
                <w:rFonts w:eastAsia="Times New Roman"/>
                <w:sz w:val="20"/>
                <w:szCs w:val="20"/>
              </w:rPr>
              <w:t xml:space="preserve">Causality extraction: A comprehensive survey and new perspective </w:t>
            </w:r>
            <w:r w:rsidRPr="005828DC">
              <w:rPr>
                <w:rFonts w:eastAsia="Times New Roman"/>
                <w:color w:val="000000" w:themeColor="text1"/>
                <w:sz w:val="20"/>
                <w:szCs w:val="20"/>
              </w:rPr>
              <w:t>(Ali et al., 2023)</w:t>
            </w:r>
          </w:p>
          <w:p w:rsidR="00CB6F82" w:rsidRPr="005828DC" w:rsidRDefault="00CB6F82" w:rsidP="00732979">
            <w:pPr>
              <w:pStyle w:val="a9"/>
              <w:numPr>
                <w:ilvl w:val="0"/>
                <w:numId w:val="1"/>
              </w:numPr>
              <w:spacing w:line="240" w:lineRule="auto"/>
              <w:ind w:left="360"/>
              <w:jc w:val="left"/>
              <w:rPr>
                <w:rFonts w:eastAsia="Times New Roman"/>
                <w:color w:val="000000" w:themeColor="text1"/>
                <w:sz w:val="20"/>
                <w:szCs w:val="20"/>
              </w:rPr>
            </w:pPr>
            <w:r w:rsidRPr="005828DC">
              <w:rPr>
                <w:rFonts w:eastAsia="Times New Roman"/>
                <w:sz w:val="20"/>
                <w:szCs w:val="20"/>
              </w:rPr>
              <w:t>A survey of the extraction and applications of causal relations (</w:t>
            </w:r>
            <w:r w:rsidRPr="005828DC">
              <w:rPr>
                <w:rFonts w:eastAsia="Times New Roman"/>
                <w:color w:val="000000" w:themeColor="text1"/>
                <w:sz w:val="20"/>
                <w:szCs w:val="20"/>
              </w:rPr>
              <w:t>Drury et al., 2022)</w:t>
            </w:r>
          </w:p>
          <w:p w:rsidR="00CB6F82" w:rsidRPr="005828DC" w:rsidRDefault="00CB6F82" w:rsidP="00732979">
            <w:pPr>
              <w:pStyle w:val="a9"/>
              <w:numPr>
                <w:ilvl w:val="0"/>
                <w:numId w:val="1"/>
              </w:numPr>
              <w:spacing w:line="240" w:lineRule="auto"/>
              <w:ind w:left="360"/>
              <w:jc w:val="left"/>
              <w:rPr>
                <w:rFonts w:eastAsia="Times New Roman"/>
                <w:color w:val="000000" w:themeColor="text1"/>
                <w:sz w:val="20"/>
                <w:szCs w:val="20"/>
              </w:rPr>
            </w:pPr>
            <w:r w:rsidRPr="005828DC">
              <w:rPr>
                <w:sz w:val="20"/>
                <w:szCs w:val="20"/>
              </w:rPr>
              <w:t>A survey on extraction of causal relations from natural language text (</w:t>
            </w:r>
            <w:bookmarkStart w:id="0" w:name="OLE_LINK21"/>
            <w:bookmarkStart w:id="1" w:name="OLE_LINK22"/>
            <w:bookmarkStart w:id="2" w:name="_GoBack"/>
            <w:r w:rsidRPr="005828DC">
              <w:rPr>
                <w:rFonts w:eastAsia="Times New Roman"/>
                <w:color w:val="000000" w:themeColor="text1"/>
                <w:sz w:val="20"/>
                <w:szCs w:val="20"/>
              </w:rPr>
              <w:t>Yang</w:t>
            </w:r>
            <w:bookmarkEnd w:id="0"/>
            <w:bookmarkEnd w:id="1"/>
            <w:r w:rsidR="007C0AFF">
              <w:rPr>
                <w:rFonts w:eastAsia="Times New Roman"/>
                <w:color w:val="000000" w:themeColor="text1"/>
                <w:sz w:val="20"/>
                <w:szCs w:val="20"/>
              </w:rPr>
              <w:t xml:space="preserve"> et al</w:t>
            </w:r>
            <w:bookmarkEnd w:id="2"/>
            <w:r w:rsidR="007C0AFF">
              <w:rPr>
                <w:rFonts w:eastAsia="Times New Roman"/>
                <w:color w:val="000000" w:themeColor="text1"/>
                <w:sz w:val="20"/>
                <w:szCs w:val="20"/>
              </w:rPr>
              <w:t>., 2022</w:t>
            </w:r>
            <w:r w:rsidRPr="005828DC">
              <w:rPr>
                <w:rFonts w:eastAsia="Times New Roman"/>
                <w:color w:val="000000" w:themeColor="text1"/>
                <w:sz w:val="20"/>
                <w:szCs w:val="20"/>
              </w:rPr>
              <w:t>)</w:t>
            </w:r>
          </w:p>
        </w:tc>
      </w:tr>
    </w:tbl>
    <w:p w:rsidR="005E2A1F" w:rsidRPr="005E2A1F" w:rsidRDefault="005E2A1F" w:rsidP="005E2A1F">
      <w:pPr>
        <w:pStyle w:val="2"/>
        <w:spacing w:before="0" w:after="0" w:line="240" w:lineRule="auto"/>
        <w:rPr>
          <w:rFonts w:ascii="Times New Roman" w:hAnsi="Times New Roman" w:cs="Times New Roman"/>
          <w:sz w:val="28"/>
          <w:szCs w:val="28"/>
        </w:rPr>
      </w:pPr>
      <w:r w:rsidRPr="005E2A1F">
        <w:rPr>
          <w:rFonts w:ascii="Times New Roman" w:hAnsi="Times New Roman" w:cs="Times New Roman"/>
          <w:sz w:val="28"/>
          <w:szCs w:val="28"/>
        </w:rPr>
        <w:t>Causal pair extraction model</w:t>
      </w:r>
    </w:p>
    <w:p w:rsidR="005E2A1F" w:rsidRPr="00B138B5" w:rsidRDefault="005E2A1F" w:rsidP="005E2A1F">
      <w:pPr>
        <w:spacing w:line="340" w:lineRule="exact"/>
        <w:ind w:firstLineChars="200" w:firstLine="420"/>
        <w:rPr>
          <w:sz w:val="21"/>
          <w:szCs w:val="24"/>
        </w:rPr>
      </w:pPr>
      <w:r w:rsidRPr="005E2A1F">
        <w:rPr>
          <w:sz w:val="21"/>
          <w:szCs w:val="24"/>
        </w:rPr>
        <w:t xml:space="preserve">This end-to-end model is mainly composed of an encoder and a decoder. </w:t>
      </w:r>
      <w:r w:rsidRPr="00B138B5">
        <w:rPr>
          <w:sz w:val="21"/>
          <w:szCs w:val="24"/>
        </w:rPr>
        <w:t xml:space="preserve">First, for a given text segment consisting of </w:t>
      </w:r>
      <w:r w:rsidRPr="00B138B5">
        <w:rPr>
          <w:i/>
          <w:sz w:val="21"/>
          <w:szCs w:val="24"/>
        </w:rPr>
        <w:t>n</w:t>
      </w:r>
      <w:r w:rsidRPr="00B138B5">
        <w:rPr>
          <w:sz w:val="21"/>
          <w:szCs w:val="24"/>
        </w:rPr>
        <w:t xml:space="preserve"> tokens, </w:t>
      </w:r>
      <w:proofErr w:type="spellStart"/>
      <w:r w:rsidRPr="00B138B5">
        <w:rPr>
          <w:sz w:val="21"/>
          <w:szCs w:val="24"/>
        </w:rPr>
        <w:t>vectorized</w:t>
      </w:r>
      <w:proofErr w:type="spellEnd"/>
      <w:r w:rsidRPr="00B138B5">
        <w:rPr>
          <w:sz w:val="21"/>
          <w:szCs w:val="24"/>
        </w:rPr>
        <w:t xml:space="preserve"> representation is obtained by encoding the text with the pre-trained </w:t>
      </w:r>
      <w:proofErr w:type="spellStart"/>
      <w:r w:rsidRPr="00B138B5">
        <w:rPr>
          <w:sz w:val="21"/>
          <w:szCs w:val="24"/>
        </w:rPr>
        <w:t>ClimateBERT</w:t>
      </w:r>
      <w:proofErr w:type="spellEnd"/>
      <w:r w:rsidRPr="00B138B5">
        <w:rPr>
          <w:sz w:val="21"/>
          <w:szCs w:val="24"/>
        </w:rPr>
        <w:t xml:space="preserve"> model. This encoded text is then concatenated with part-of-speech tag </w:t>
      </w:r>
      <w:proofErr w:type="spellStart"/>
      <w:r w:rsidRPr="00B138B5">
        <w:rPr>
          <w:sz w:val="21"/>
          <w:szCs w:val="24"/>
        </w:rPr>
        <w:t>embeddings</w:t>
      </w:r>
      <w:proofErr w:type="spellEnd"/>
      <w:r w:rsidRPr="00B138B5">
        <w:rPr>
          <w:sz w:val="21"/>
          <w:szCs w:val="24"/>
        </w:rPr>
        <w:t xml:space="preserve"> to obtain the encoder’s hidden state</w:t>
      </w:r>
      <w:r w:rsidRPr="00B138B5">
        <w:rPr>
          <w:position w:val="-12"/>
          <w:sz w:val="21"/>
          <w:szCs w:val="24"/>
        </w:rPr>
        <w:object w:dxaOrig="3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16.9pt" o:ole="">
            <v:imagedata r:id="rId7" o:title=""/>
          </v:shape>
          <o:OLEObject Type="Embed" ProgID="Equation.DSMT4" ShapeID="_x0000_i1025" DrawAspect="Content" ObjectID="_1831552801" r:id="rId8"/>
        </w:object>
      </w:r>
      <w:r w:rsidRPr="00B138B5">
        <w:rPr>
          <w:sz w:val="21"/>
          <w:szCs w:val="24"/>
        </w:rPr>
        <w:t>. The hidden states are then processed through an attention mechanism to produce a context vector</w:t>
      </w:r>
      <w:r w:rsidRPr="00B138B5">
        <w:rPr>
          <w:position w:val="-12"/>
          <w:sz w:val="21"/>
          <w:szCs w:val="24"/>
        </w:rPr>
        <w:object w:dxaOrig="220" w:dyaOrig="360">
          <v:shape id="_x0000_i1026" type="#_x0000_t75" style="width:9.4pt;height:16.3pt" o:ole="">
            <v:imagedata r:id="rId9" o:title=""/>
          </v:shape>
          <o:OLEObject Type="Embed" ProgID="Equation.DSMT4" ShapeID="_x0000_i1026" DrawAspect="Content" ObjectID="_1831552802" r:id="rId10"/>
        </w:object>
      </w:r>
      <w:r w:rsidRPr="00B138B5">
        <w:rPr>
          <w:sz w:val="21"/>
          <w:szCs w:val="24"/>
        </w:rPr>
        <w:t>. Specifically, the context vector is generated by concatenating two attention vectors. These attention vectors are computed based on the decoder’s previous hidden state</w:t>
      </w:r>
      <w:r w:rsidRPr="00B138B5">
        <w:rPr>
          <w:position w:val="-12"/>
          <w:sz w:val="21"/>
          <w:szCs w:val="24"/>
        </w:rPr>
        <w:object w:dxaOrig="340" w:dyaOrig="380">
          <v:shape id="_x0000_i1027" type="#_x0000_t75" style="width:13.15pt;height:17.55pt" o:ole="">
            <v:imagedata r:id="rId11" o:title=""/>
          </v:shape>
          <o:OLEObject Type="Embed" ProgID="Equation.DSMT4" ShapeID="_x0000_i1027" DrawAspect="Content" ObjectID="_1831552803" r:id="rId12"/>
        </w:object>
      </w:r>
      <w:r w:rsidRPr="00B138B5">
        <w:rPr>
          <w:sz w:val="21"/>
          <w:szCs w:val="24"/>
        </w:rPr>
        <w:t>, and the average of the vectors of the causalities already generated</w:t>
      </w:r>
      <w:r w:rsidRPr="00B138B5">
        <w:rPr>
          <w:position w:val="-14"/>
          <w:sz w:val="21"/>
          <w:szCs w:val="24"/>
        </w:rPr>
        <w:object w:dxaOrig="420" w:dyaOrig="380">
          <v:shape id="_x0000_i1028" type="#_x0000_t75" style="width:18.15pt;height:18.15pt" o:ole="">
            <v:imagedata r:id="rId13" o:title=""/>
          </v:shape>
          <o:OLEObject Type="Embed" ProgID="Equation.DSMT4" ShapeID="_x0000_i1028" DrawAspect="Content" ObjectID="_1831552804" r:id="rId14"/>
        </w:object>
      </w:r>
      <w:r w:rsidRPr="00B138B5">
        <w:rPr>
          <w:sz w:val="21"/>
          <w:szCs w:val="24"/>
        </w:rPr>
        <w:t xml:space="preserve">, which are then attended to the sequence of hidden states from the encoder, as shown in </w:t>
      </w:r>
      <w:r w:rsidRPr="00B138B5">
        <w:rPr>
          <w:i/>
          <w:sz w:val="21"/>
          <w:szCs w:val="24"/>
        </w:rPr>
        <w:t>Eq</w:t>
      </w:r>
      <w:r w:rsidRPr="00B138B5">
        <w:rPr>
          <w:sz w:val="21"/>
          <w:szCs w:val="24"/>
        </w:rPr>
        <w:t>. (1).</w:t>
      </w:r>
    </w:p>
    <w:p w:rsidR="005E2A1F" w:rsidRPr="00B138B5" w:rsidRDefault="005E2A1F" w:rsidP="007C0AFF">
      <w:pPr>
        <w:spacing w:line="340" w:lineRule="exact"/>
        <w:ind w:firstLineChars="200" w:firstLine="420"/>
        <w:rPr>
          <w:sz w:val="21"/>
          <w:szCs w:val="24"/>
        </w:rPr>
      </w:pPr>
      <w:r w:rsidRPr="00B138B5">
        <w:rPr>
          <w:sz w:val="21"/>
          <w:szCs w:val="24"/>
        </w:rPr>
        <w:t>Next, the process moves to the decoder stage, where the concatenation of the context vector</w:t>
      </w:r>
      <w:r w:rsidRPr="00B138B5">
        <w:rPr>
          <w:position w:val="-12"/>
          <w:sz w:val="21"/>
          <w:szCs w:val="24"/>
        </w:rPr>
        <w:object w:dxaOrig="220" w:dyaOrig="360">
          <v:shape id="_x0000_i1029" type="#_x0000_t75" style="width:11.25pt;height:19.4pt" o:ole="">
            <v:imagedata r:id="rId9" o:title=""/>
          </v:shape>
          <o:OLEObject Type="Embed" ProgID="Equation.DSMT4" ShapeID="_x0000_i1029" DrawAspect="Content" ObjectID="_1831552805" r:id="rId15"/>
        </w:object>
      </w:r>
      <w:r w:rsidRPr="00B138B5">
        <w:rPr>
          <w:sz w:val="21"/>
          <w:szCs w:val="24"/>
        </w:rPr>
        <w:t>and the average of all previous decoding vectors</w:t>
      </w:r>
      <w:r w:rsidRPr="00B138B5">
        <w:rPr>
          <w:position w:val="-14"/>
          <w:sz w:val="21"/>
          <w:szCs w:val="24"/>
        </w:rPr>
        <w:object w:dxaOrig="420" w:dyaOrig="380">
          <v:shape id="_x0000_i1030" type="#_x0000_t75" style="width:16.3pt;height:19.4pt" o:ole="">
            <v:imagedata r:id="rId13" o:title=""/>
          </v:shape>
          <o:OLEObject Type="Embed" ProgID="Equation.DSMT4" ShapeID="_x0000_i1030" DrawAspect="Content" ObjectID="_1831552806" r:id="rId16"/>
        </w:object>
      </w:r>
      <w:r w:rsidRPr="00B138B5">
        <w:rPr>
          <w:sz w:val="21"/>
          <w:szCs w:val="24"/>
        </w:rPr>
        <w:t>is passed, along with previous decoding vector, into an LSTM to generate the next hidden state</w:t>
      </w:r>
      <w:r w:rsidRPr="00B138B5">
        <w:rPr>
          <w:position w:val="-12"/>
          <w:sz w:val="21"/>
          <w:szCs w:val="24"/>
        </w:rPr>
        <w:object w:dxaOrig="320" w:dyaOrig="380">
          <v:shape id="_x0000_i1031" type="#_x0000_t75" style="width:13.75pt;height:17.55pt" o:ole="">
            <v:imagedata r:id="rId17" o:title=""/>
          </v:shape>
          <o:OLEObject Type="Embed" ProgID="Equation.DSMT4" ShapeID="_x0000_i1031" DrawAspect="Content" ObjectID="_1831552807" r:id="rId18"/>
        </w:object>
      </w:r>
      <w:r w:rsidRPr="00B138B5">
        <w:rPr>
          <w:sz w:val="21"/>
          <w:szCs w:val="24"/>
        </w:rPr>
        <w:t xml:space="preserve">, as shown in </w:t>
      </w:r>
      <w:r w:rsidRPr="00B138B5">
        <w:rPr>
          <w:i/>
          <w:sz w:val="21"/>
          <w:szCs w:val="24"/>
        </w:rPr>
        <w:t>Eq</w:t>
      </w:r>
      <w:r w:rsidRPr="00B138B5">
        <w:rPr>
          <w:rFonts w:hint="eastAsia"/>
          <w:sz w:val="21"/>
          <w:szCs w:val="24"/>
        </w:rPr>
        <w:t>.</w:t>
      </w:r>
      <w:r w:rsidRPr="00B138B5">
        <w:rPr>
          <w:sz w:val="21"/>
          <w:szCs w:val="24"/>
        </w:rPr>
        <w:t xml:space="preserve"> (2). Finally, two pointer networks are used to identify the cause and effect entities separately. First, the concatenation of the decoder vector</w:t>
      </w:r>
      <w:r w:rsidRPr="00B138B5">
        <w:rPr>
          <w:position w:val="-12"/>
          <w:sz w:val="21"/>
          <w:szCs w:val="24"/>
        </w:rPr>
        <w:object w:dxaOrig="320" w:dyaOrig="380">
          <v:shape id="_x0000_i1032" type="#_x0000_t75" style="width:13.15pt;height:18.15pt" o:ole="">
            <v:imagedata r:id="rId17" o:title=""/>
          </v:shape>
          <o:OLEObject Type="Embed" ProgID="Equation.DSMT4" ShapeID="_x0000_i1032" DrawAspect="Content" ObjectID="_1831552808" r:id="rId19"/>
        </w:object>
      </w:r>
      <w:r w:rsidRPr="00B138B5">
        <w:rPr>
          <w:sz w:val="21"/>
          <w:szCs w:val="24"/>
        </w:rPr>
        <w:t>and the encoder vector</w:t>
      </w:r>
      <w:r w:rsidRPr="00B138B5">
        <w:rPr>
          <w:position w:val="-12"/>
          <w:sz w:val="21"/>
          <w:szCs w:val="24"/>
        </w:rPr>
        <w:object w:dxaOrig="300" w:dyaOrig="380">
          <v:shape id="_x0000_i1033" type="#_x0000_t75" style="width:13.15pt;height:17.55pt" o:ole="">
            <v:imagedata r:id="rId7" o:title=""/>
          </v:shape>
          <o:OLEObject Type="Embed" ProgID="Equation.DSMT4" ShapeID="_x0000_i1033" DrawAspect="Content" ObjectID="_1831552809" r:id="rId20"/>
        </w:object>
      </w:r>
      <w:r w:rsidRPr="00B138B5">
        <w:rPr>
          <w:sz w:val="21"/>
          <w:szCs w:val="24"/>
        </w:rPr>
        <w:t>is passed into a Bi-LSTM layer to obtain hidden representations</w:t>
      </w:r>
      <w:r w:rsidRPr="00B138B5">
        <w:rPr>
          <w:position w:val="-12"/>
          <w:sz w:val="21"/>
          <w:szCs w:val="24"/>
        </w:rPr>
        <w:object w:dxaOrig="279" w:dyaOrig="380">
          <v:shape id="_x0000_i1034" type="#_x0000_t75" style="width:11.25pt;height:16.3pt" o:ole="">
            <v:imagedata r:id="rId21" o:title=""/>
          </v:shape>
          <o:OLEObject Type="Embed" ProgID="Equation.DSMT4" ShapeID="_x0000_i1034" DrawAspect="Content" ObjectID="_1831552810" r:id="rId22"/>
        </w:object>
      </w:r>
      <w:r w:rsidRPr="00B138B5">
        <w:rPr>
          <w:sz w:val="21"/>
          <w:szCs w:val="24"/>
        </w:rPr>
        <w:t xml:space="preserve">, which are then passed to two feed-forward networks (FFNs) to identify the start and end positions of the cause entity, as shown in </w:t>
      </w:r>
      <w:r w:rsidRPr="00B138B5">
        <w:rPr>
          <w:i/>
          <w:sz w:val="21"/>
          <w:szCs w:val="24"/>
        </w:rPr>
        <w:t>Eq</w:t>
      </w:r>
      <w:r w:rsidRPr="00B138B5">
        <w:rPr>
          <w:sz w:val="21"/>
          <w:szCs w:val="24"/>
        </w:rPr>
        <w:t>. (3). Then, another pointer network extracts the effect entity by concatenating the hidden states</w:t>
      </w:r>
      <w:r w:rsidRPr="00B138B5">
        <w:rPr>
          <w:position w:val="-12"/>
          <w:sz w:val="21"/>
          <w:szCs w:val="24"/>
        </w:rPr>
        <w:object w:dxaOrig="279" w:dyaOrig="380">
          <v:shape id="_x0000_i1035" type="#_x0000_t75" style="width:12.5pt;height:16.9pt" o:ole="">
            <v:imagedata r:id="rId21" o:title=""/>
          </v:shape>
          <o:OLEObject Type="Embed" ProgID="Equation.DSMT4" ShapeID="_x0000_i1035" DrawAspect="Content" ObjectID="_1831552811" r:id="rId23"/>
        </w:object>
      </w:r>
      <w:r w:rsidRPr="00B138B5">
        <w:rPr>
          <w:sz w:val="21"/>
          <w:szCs w:val="24"/>
        </w:rPr>
        <w:t xml:space="preserve">from the first pointer network’s Bi-LSTM layer and passing them into a second Bi-LSTM and two FFNs, as shown in </w:t>
      </w:r>
      <w:r w:rsidRPr="00B138B5">
        <w:rPr>
          <w:i/>
          <w:sz w:val="21"/>
          <w:szCs w:val="24"/>
        </w:rPr>
        <w:t>Eq</w:t>
      </w:r>
      <w:r w:rsidRPr="00B138B5">
        <w:rPr>
          <w:sz w:val="21"/>
          <w:szCs w:val="24"/>
        </w:rPr>
        <w:t>. (4). The final output is all the causal pairs of predictions corresponding to each causal statement.</w:t>
      </w:r>
    </w:p>
    <w:bookmarkStart w:id="3" w:name="OLE_LINK226"/>
    <w:bookmarkStart w:id="4" w:name="OLE_LINK227"/>
    <w:p w:rsidR="005E2A1F" w:rsidRPr="00F30E5A" w:rsidRDefault="005E2A1F" w:rsidP="005E2A1F">
      <w:pPr>
        <w:pStyle w:val="MTDisplayEquation"/>
        <w:adjustRightInd w:val="0"/>
        <w:snapToGrid w:val="0"/>
        <w:jc w:val="right"/>
        <w:rPr>
          <w:rFonts w:ascii="Times New Roman" w:hAnsi="Times New Roman" w:cs="Times New Roman"/>
          <w:szCs w:val="24"/>
        </w:rPr>
      </w:pPr>
      <w:r w:rsidRPr="00F30E5A">
        <w:rPr>
          <w:rFonts w:ascii="Times New Roman" w:hAnsi="Times New Roman" w:cs="Times New Roman"/>
          <w:position w:val="-14"/>
          <w:szCs w:val="24"/>
        </w:rPr>
        <w:object w:dxaOrig="4140" w:dyaOrig="400">
          <v:shape id="_x0000_i1036" type="#_x0000_t75" style="width:177.8pt;height:17.55pt" o:ole="">
            <v:imagedata r:id="rId24" o:title=""/>
          </v:shape>
          <o:OLEObject Type="Embed" ProgID="Equation.DSMT4" ShapeID="_x0000_i1036" DrawAspect="Content" ObjectID="_1831552812" r:id="rId25"/>
        </w:object>
      </w:r>
      <w:bookmarkEnd w:id="3"/>
      <w:bookmarkEnd w:id="4"/>
      <w:r w:rsidRPr="00F30E5A">
        <w:rPr>
          <w:rFonts w:ascii="Times New Roman" w:hAnsi="Times New Roman" w:cs="Times New Roman"/>
          <w:szCs w:val="24"/>
        </w:rPr>
        <w:t xml:space="preserve">, </w:t>
      </w:r>
      <w:r w:rsidRPr="00F30E5A">
        <w:rPr>
          <w:rFonts w:cs="Times New Roman"/>
          <w:position w:val="-24"/>
          <w:szCs w:val="24"/>
        </w:rPr>
        <w:object w:dxaOrig="1880" w:dyaOrig="620">
          <v:shape id="_x0000_i1037" type="#_x0000_t75" style="width:83.25pt;height:25.65pt" o:ole="">
            <v:imagedata r:id="rId26" o:title=""/>
          </v:shape>
          <o:OLEObject Type="Embed" ProgID="Equation.DSMT4" ShapeID="_x0000_i1037" DrawAspect="Content" ObjectID="_1831552813" r:id="rId27"/>
        </w:object>
      </w:r>
      <w:r w:rsidRPr="00F30E5A">
        <w:rPr>
          <w:rFonts w:cs="Times New Roman"/>
          <w:szCs w:val="24"/>
        </w:rPr>
        <w:t xml:space="preserve">    </w:t>
      </w:r>
      <w:r>
        <w:rPr>
          <w:rFonts w:cs="Times New Roman"/>
          <w:szCs w:val="24"/>
        </w:rPr>
        <w:t xml:space="preserve"> </w:t>
      </w:r>
      <w:r w:rsidRPr="00F30E5A">
        <w:rPr>
          <w:rFonts w:cs="Times New Roman"/>
          <w:szCs w:val="24"/>
        </w:rPr>
        <w:t xml:space="preserve">    </w:t>
      </w:r>
      <w:r w:rsidRPr="00F30E5A">
        <w:rPr>
          <w:rFonts w:ascii="Times New Roman" w:hAnsi="Times New Roman" w:cs="Times New Roman"/>
          <w:szCs w:val="24"/>
        </w:rPr>
        <w:t xml:space="preserve"> </w:t>
      </w:r>
      <w:r w:rsidRPr="00F30E5A">
        <w:rPr>
          <w:rFonts w:ascii="Times New Roman" w:eastAsia="宋体" w:hAnsi="Times New Roman" w:cs="Times New Roman"/>
          <w:szCs w:val="24"/>
        </w:rPr>
        <w:t>(1</w:t>
      </w:r>
      <w:r w:rsidRPr="00F30E5A">
        <w:rPr>
          <w:rFonts w:ascii="Times New Roman" w:eastAsia="宋体" w:hAnsi="Times New Roman" w:cs="Times New Roman" w:hint="eastAsia"/>
          <w:szCs w:val="24"/>
        </w:rPr>
        <w:t>)</w:t>
      </w:r>
    </w:p>
    <w:p w:rsidR="005E2A1F" w:rsidRPr="00F30E5A" w:rsidRDefault="005E2A1F" w:rsidP="005E2A1F">
      <w:pPr>
        <w:adjustRightInd w:val="0"/>
        <w:snapToGrid w:val="0"/>
        <w:spacing w:line="240" w:lineRule="auto"/>
        <w:jc w:val="right"/>
        <w:rPr>
          <w:sz w:val="21"/>
          <w:szCs w:val="24"/>
        </w:rPr>
      </w:pPr>
      <w:r w:rsidRPr="00F30E5A">
        <w:rPr>
          <w:position w:val="-14"/>
          <w:sz w:val="21"/>
          <w:szCs w:val="24"/>
        </w:rPr>
        <w:object w:dxaOrig="2460" w:dyaOrig="400">
          <v:shape id="_x0000_i1038" type="#_x0000_t75" style="width:110.8pt;height:17.55pt" o:ole="">
            <v:imagedata r:id="rId28" o:title=""/>
          </v:shape>
          <o:OLEObject Type="Embed" ProgID="Equation.DSMT4" ShapeID="_x0000_i1038" DrawAspect="Content" ObjectID="_1831552814" r:id="rId29"/>
        </w:object>
      </w:r>
      <w:r w:rsidRPr="00F30E5A">
        <w:rPr>
          <w:sz w:val="21"/>
          <w:szCs w:val="24"/>
        </w:rPr>
        <w:t xml:space="preserve">                </w:t>
      </w:r>
      <w:r>
        <w:rPr>
          <w:sz w:val="21"/>
          <w:szCs w:val="24"/>
        </w:rPr>
        <w:t xml:space="preserve"> </w:t>
      </w:r>
      <w:r w:rsidRPr="00F30E5A">
        <w:rPr>
          <w:sz w:val="21"/>
          <w:szCs w:val="24"/>
        </w:rPr>
        <w:t xml:space="preserve">          (2</w:t>
      </w:r>
      <w:r w:rsidRPr="00F30E5A">
        <w:rPr>
          <w:rFonts w:hint="eastAsia"/>
          <w:sz w:val="21"/>
          <w:szCs w:val="24"/>
        </w:rPr>
        <w:t>)</w:t>
      </w:r>
    </w:p>
    <w:p w:rsidR="005E2A1F" w:rsidRPr="00F30E5A" w:rsidRDefault="005E2A1F" w:rsidP="005E2A1F">
      <w:pPr>
        <w:adjustRightInd w:val="0"/>
        <w:snapToGrid w:val="0"/>
        <w:spacing w:line="240" w:lineRule="auto"/>
        <w:jc w:val="right"/>
        <w:rPr>
          <w:sz w:val="21"/>
          <w:szCs w:val="24"/>
        </w:rPr>
      </w:pPr>
      <w:r w:rsidRPr="00F30E5A">
        <w:rPr>
          <w:position w:val="-12"/>
          <w:sz w:val="21"/>
          <w:szCs w:val="24"/>
        </w:rPr>
        <w:object w:dxaOrig="3080" w:dyaOrig="380">
          <v:shape id="_x0000_i1039" type="#_x0000_t75" style="width:133.35pt;height:17.55pt" o:ole="">
            <v:imagedata r:id="rId30" o:title=""/>
          </v:shape>
          <o:OLEObject Type="Embed" ProgID="Equation.DSMT4" ShapeID="_x0000_i1039" DrawAspect="Content" ObjectID="_1831552815" r:id="rId31"/>
        </w:object>
      </w:r>
      <w:r w:rsidRPr="00F30E5A">
        <w:rPr>
          <w:sz w:val="21"/>
          <w:szCs w:val="24"/>
        </w:rPr>
        <w:t xml:space="preserve">            </w:t>
      </w:r>
      <w:r>
        <w:rPr>
          <w:sz w:val="21"/>
          <w:szCs w:val="24"/>
        </w:rPr>
        <w:t xml:space="preserve"> </w:t>
      </w:r>
      <w:r w:rsidRPr="00F30E5A">
        <w:rPr>
          <w:sz w:val="21"/>
          <w:szCs w:val="24"/>
        </w:rPr>
        <w:t xml:space="preserve">           </w:t>
      </w:r>
      <w:r w:rsidRPr="00F30E5A">
        <w:rPr>
          <w:rFonts w:hint="eastAsia"/>
          <w:sz w:val="21"/>
          <w:szCs w:val="24"/>
        </w:rPr>
        <w:t>(</w:t>
      </w:r>
      <w:r w:rsidRPr="00F30E5A">
        <w:rPr>
          <w:sz w:val="21"/>
          <w:szCs w:val="24"/>
        </w:rPr>
        <w:t>3</w:t>
      </w:r>
      <w:r w:rsidRPr="00F30E5A">
        <w:rPr>
          <w:rFonts w:hint="eastAsia"/>
          <w:sz w:val="21"/>
          <w:szCs w:val="24"/>
        </w:rPr>
        <w:t>)</w:t>
      </w:r>
    </w:p>
    <w:p w:rsidR="005E2A1F" w:rsidRPr="00F30E5A" w:rsidRDefault="005E2A1F" w:rsidP="005E2A1F">
      <w:pPr>
        <w:adjustRightInd w:val="0"/>
        <w:snapToGrid w:val="0"/>
        <w:spacing w:afterLines="50" w:after="156" w:line="240" w:lineRule="auto"/>
        <w:jc w:val="right"/>
        <w:rPr>
          <w:sz w:val="21"/>
          <w:szCs w:val="24"/>
        </w:rPr>
      </w:pPr>
      <w:r w:rsidRPr="00F30E5A">
        <w:rPr>
          <w:position w:val="-12"/>
          <w:sz w:val="21"/>
          <w:szCs w:val="24"/>
        </w:rPr>
        <w:object w:dxaOrig="3460" w:dyaOrig="380">
          <v:shape id="_x0000_i1040" type="#_x0000_t75" style="width:152.75pt;height:16.9pt" o:ole="">
            <v:imagedata r:id="rId32" o:title=""/>
          </v:shape>
          <o:OLEObject Type="Embed" ProgID="Equation.DSMT4" ShapeID="_x0000_i1040" DrawAspect="Content" ObjectID="_1831552816" r:id="rId33"/>
        </w:object>
      </w:r>
      <w:r w:rsidRPr="00F30E5A">
        <w:rPr>
          <w:sz w:val="21"/>
          <w:szCs w:val="24"/>
        </w:rPr>
        <w:t xml:space="preserve">         </w:t>
      </w:r>
      <w:r>
        <w:rPr>
          <w:sz w:val="21"/>
          <w:szCs w:val="24"/>
        </w:rPr>
        <w:t xml:space="preserve"> </w:t>
      </w:r>
      <w:r w:rsidRPr="00F30E5A">
        <w:rPr>
          <w:sz w:val="21"/>
          <w:szCs w:val="24"/>
        </w:rPr>
        <w:t xml:space="preserve">            </w:t>
      </w:r>
      <w:r w:rsidRPr="00F30E5A">
        <w:rPr>
          <w:rFonts w:hint="eastAsia"/>
          <w:sz w:val="21"/>
          <w:szCs w:val="24"/>
        </w:rPr>
        <w:t>(</w:t>
      </w:r>
      <w:r w:rsidRPr="00F30E5A">
        <w:rPr>
          <w:sz w:val="21"/>
          <w:szCs w:val="24"/>
        </w:rPr>
        <w:t>4)</w:t>
      </w:r>
    </w:p>
    <w:p w:rsidR="001F2BC3" w:rsidRPr="001F2BC3" w:rsidRDefault="001F2BC3" w:rsidP="001F2BC3">
      <w:pPr>
        <w:pStyle w:val="2"/>
        <w:spacing w:before="0" w:after="0" w:line="240" w:lineRule="auto"/>
        <w:rPr>
          <w:rFonts w:ascii="Times New Roman" w:hAnsi="Times New Roman" w:cs="Times New Roman"/>
          <w:sz w:val="28"/>
          <w:szCs w:val="28"/>
        </w:rPr>
      </w:pPr>
      <w:r>
        <w:rPr>
          <w:rFonts w:ascii="Times New Roman" w:hAnsi="Times New Roman" w:cs="Times New Roman"/>
          <w:sz w:val="28"/>
          <w:szCs w:val="28"/>
        </w:rPr>
        <w:t>C</w:t>
      </w:r>
      <w:r w:rsidRPr="001F2BC3">
        <w:rPr>
          <w:rFonts w:ascii="Times New Roman" w:hAnsi="Times New Roman" w:cs="Times New Roman"/>
          <w:sz w:val="28"/>
          <w:szCs w:val="28"/>
        </w:rPr>
        <w:t>ausal entity merging</w:t>
      </w:r>
    </w:p>
    <w:p w:rsidR="001F2BC3" w:rsidRPr="00174E47" w:rsidRDefault="001F2BC3" w:rsidP="001F2BC3">
      <w:pPr>
        <w:spacing w:line="240" w:lineRule="auto"/>
        <w:ind w:firstLineChars="200" w:firstLine="420"/>
        <w:rPr>
          <w:sz w:val="21"/>
        </w:rPr>
      </w:pPr>
      <w:r w:rsidRPr="00174E47">
        <w:rPr>
          <w:sz w:val="21"/>
        </w:rPr>
        <w:t xml:space="preserve">Semantic similarity is calculated as the cosine similarity between Sentence-Transformer </w:t>
      </w:r>
      <w:proofErr w:type="spellStart"/>
      <w:r w:rsidRPr="00174E47">
        <w:rPr>
          <w:sz w:val="21"/>
        </w:rPr>
        <w:t>embeddings</w:t>
      </w:r>
      <w:proofErr w:type="spellEnd"/>
      <w:r w:rsidRPr="00174E47">
        <w:rPr>
          <w:sz w:val="21"/>
        </w:rPr>
        <w:t xml:space="preserve">, while character similarity is measured using </w:t>
      </w:r>
      <w:proofErr w:type="spellStart"/>
      <w:r w:rsidRPr="00174E47">
        <w:rPr>
          <w:sz w:val="21"/>
        </w:rPr>
        <w:t>Levenshtein</w:t>
      </w:r>
      <w:proofErr w:type="spellEnd"/>
      <w:r w:rsidRPr="00174E47">
        <w:rPr>
          <w:sz w:val="21"/>
        </w:rPr>
        <w:t xml:space="preserve"> distance. These two similarity measures are combined using weighted aggregation to produce an overall similarity score. To increase flexibility, higher </w:t>
      </w:r>
      <w:r w:rsidRPr="00174E47">
        <w:rPr>
          <w:sz w:val="21"/>
        </w:rPr>
        <w:lastRenderedPageBreak/>
        <w:t>semantic similarity allows a lower requirement for character similarity. The similarity threshold is dynamically adjusted using a hyperbolic tangent (</w:t>
      </w:r>
      <w:proofErr w:type="spellStart"/>
      <w:r w:rsidRPr="00395657">
        <w:rPr>
          <w:i/>
          <w:sz w:val="21"/>
        </w:rPr>
        <w:t>tanh</w:t>
      </w:r>
      <w:proofErr w:type="spellEnd"/>
      <w:r w:rsidRPr="00174E47">
        <w:rPr>
          <w:sz w:val="21"/>
        </w:rPr>
        <w:t xml:space="preserve">) function and constrained to a minimum value of 0.5 to preserve accuracy. The parameter </w:t>
      </w:r>
      <w:r w:rsidRPr="00395657">
        <w:rPr>
          <w:i/>
          <w:sz w:val="21"/>
        </w:rPr>
        <w:t>q</w:t>
      </w:r>
      <w:r w:rsidRPr="00174E47">
        <w:rPr>
          <w:sz w:val="21"/>
        </w:rPr>
        <w:t xml:space="preserve"> in </w:t>
      </w:r>
      <w:r w:rsidRPr="00395657">
        <w:rPr>
          <w:i/>
          <w:sz w:val="21"/>
        </w:rPr>
        <w:t>Eq.</w:t>
      </w:r>
      <w:r w:rsidRPr="00174E47">
        <w:rPr>
          <w:sz w:val="21"/>
        </w:rPr>
        <w:t xml:space="preserve"> (</w:t>
      </w:r>
      <w:r>
        <w:rPr>
          <w:sz w:val="21"/>
        </w:rPr>
        <w:t>5</w:t>
      </w:r>
      <w:r w:rsidRPr="00174E47">
        <w:rPr>
          <w:sz w:val="21"/>
        </w:rPr>
        <w:t>) controls the merging sensitivity.</w:t>
      </w:r>
    </w:p>
    <w:p w:rsidR="001F2BC3" w:rsidRPr="00D44F97" w:rsidRDefault="001F2BC3" w:rsidP="001F2BC3">
      <w:pPr>
        <w:jc w:val="right"/>
        <w:rPr>
          <w:rFonts w:eastAsia="Times New Roman"/>
          <w:sz w:val="24"/>
        </w:rPr>
      </w:pPr>
      <w:r w:rsidRPr="00D44F97">
        <w:rPr>
          <w:position w:val="-14"/>
          <w:sz w:val="24"/>
        </w:rPr>
        <w:object w:dxaOrig="7119" w:dyaOrig="400">
          <v:shape id="_x0000_i1041" type="#_x0000_t75" style="width:302.4pt;height:17.55pt" o:ole="">
            <v:imagedata r:id="rId34" o:title=""/>
          </v:shape>
          <o:OLEObject Type="Embed" ProgID="Equation.DSMT4" ShapeID="_x0000_i1041" DrawAspect="Content" ObjectID="_1831552817" r:id="rId35"/>
        </w:object>
      </w:r>
      <w:r w:rsidRPr="00D44F97">
        <w:rPr>
          <w:sz w:val="24"/>
        </w:rPr>
        <w:t xml:space="preserve">   </w:t>
      </w:r>
      <w:r>
        <w:rPr>
          <w:sz w:val="24"/>
        </w:rPr>
        <w:t xml:space="preserve"> </w:t>
      </w:r>
      <w:r w:rsidRPr="00D44F97">
        <w:rPr>
          <w:sz w:val="24"/>
        </w:rPr>
        <w:t xml:space="preserve">  </w:t>
      </w:r>
      <w:r w:rsidRPr="00395657">
        <w:rPr>
          <w:rFonts w:eastAsia="Times New Roman"/>
          <w:sz w:val="21"/>
        </w:rPr>
        <w:t>(</w:t>
      </w:r>
      <w:r>
        <w:rPr>
          <w:rFonts w:eastAsia="Times New Roman"/>
          <w:sz w:val="21"/>
        </w:rPr>
        <w:t>5</w:t>
      </w:r>
      <w:r w:rsidRPr="00395657">
        <w:rPr>
          <w:rFonts w:eastAsia="Times New Roman"/>
          <w:sz w:val="21"/>
        </w:rPr>
        <w:t>)</w:t>
      </w:r>
    </w:p>
    <w:p w:rsidR="001F2BC3" w:rsidRPr="001F2BC3" w:rsidRDefault="001F2BC3" w:rsidP="001F2BC3">
      <w:pPr>
        <w:pStyle w:val="2"/>
        <w:spacing w:before="0" w:after="0" w:line="240" w:lineRule="auto"/>
        <w:rPr>
          <w:rFonts w:ascii="Times New Roman" w:hAnsi="Times New Roman" w:cs="Times New Roman"/>
          <w:sz w:val="28"/>
          <w:szCs w:val="28"/>
        </w:rPr>
      </w:pPr>
      <w:r w:rsidRPr="001F2BC3">
        <w:rPr>
          <w:rFonts w:ascii="Times New Roman" w:hAnsi="Times New Roman" w:cs="Times New Roman"/>
          <w:sz w:val="28"/>
          <w:szCs w:val="28"/>
        </w:rPr>
        <w:t>Table A2 Examples of questions to explore with causal system maps and the subsections of a map that might be used</w:t>
      </w:r>
    </w:p>
    <w:tbl>
      <w:tblPr>
        <w:tblStyle w:val="a7"/>
        <w:tblW w:w="90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112"/>
        <w:gridCol w:w="2587"/>
        <w:gridCol w:w="4315"/>
      </w:tblGrid>
      <w:tr w:rsidR="001F2BC3" w:rsidRPr="00B52125" w:rsidTr="00732979">
        <w:trPr>
          <w:trHeight w:val="300"/>
          <w:jc w:val="center"/>
        </w:trPr>
        <w:tc>
          <w:tcPr>
            <w:tcW w:w="2112" w:type="dxa"/>
            <w:tcBorders>
              <w:top w:val="single" w:sz="8" w:space="0" w:color="auto"/>
              <w:bottom w:val="single" w:sz="4" w:space="0" w:color="auto"/>
            </w:tcBorders>
            <w:vAlign w:val="center"/>
          </w:tcPr>
          <w:p w:rsidR="001F2BC3" w:rsidRPr="00B52125" w:rsidRDefault="001F2BC3" w:rsidP="00732979">
            <w:pPr>
              <w:spacing w:line="240" w:lineRule="auto"/>
              <w:jc w:val="center"/>
              <w:rPr>
                <w:b/>
                <w:bCs/>
                <w:sz w:val="20"/>
                <w:szCs w:val="21"/>
              </w:rPr>
            </w:pPr>
            <w:r w:rsidRPr="00B52125">
              <w:rPr>
                <w:b/>
                <w:bCs/>
                <w:sz w:val="20"/>
                <w:szCs w:val="21"/>
              </w:rPr>
              <w:t>Question type</w:t>
            </w:r>
          </w:p>
        </w:tc>
        <w:tc>
          <w:tcPr>
            <w:tcW w:w="2587" w:type="dxa"/>
            <w:tcBorders>
              <w:top w:val="single" w:sz="8" w:space="0" w:color="auto"/>
              <w:bottom w:val="single" w:sz="4" w:space="0" w:color="auto"/>
            </w:tcBorders>
            <w:vAlign w:val="center"/>
          </w:tcPr>
          <w:p w:rsidR="001F2BC3" w:rsidRPr="00B52125" w:rsidRDefault="001F2BC3" w:rsidP="00732979">
            <w:pPr>
              <w:spacing w:line="240" w:lineRule="auto"/>
              <w:jc w:val="center"/>
              <w:rPr>
                <w:b/>
                <w:bCs/>
                <w:sz w:val="20"/>
                <w:szCs w:val="21"/>
              </w:rPr>
            </w:pPr>
            <w:r w:rsidRPr="00B52125">
              <w:rPr>
                <w:b/>
                <w:bCs/>
                <w:sz w:val="20"/>
                <w:szCs w:val="21"/>
              </w:rPr>
              <w:t>Example question</w:t>
            </w:r>
          </w:p>
        </w:tc>
        <w:tc>
          <w:tcPr>
            <w:tcW w:w="4315" w:type="dxa"/>
            <w:tcBorders>
              <w:top w:val="single" w:sz="8" w:space="0" w:color="auto"/>
              <w:bottom w:val="single" w:sz="4" w:space="0" w:color="auto"/>
            </w:tcBorders>
            <w:vAlign w:val="center"/>
          </w:tcPr>
          <w:p w:rsidR="001F2BC3" w:rsidRPr="00B52125" w:rsidRDefault="001F2BC3" w:rsidP="00732979">
            <w:pPr>
              <w:spacing w:line="240" w:lineRule="auto"/>
              <w:jc w:val="center"/>
              <w:rPr>
                <w:b/>
                <w:bCs/>
                <w:sz w:val="20"/>
                <w:szCs w:val="21"/>
              </w:rPr>
            </w:pPr>
            <w:r w:rsidRPr="00B52125">
              <w:rPr>
                <w:b/>
                <w:bCs/>
                <w:sz w:val="20"/>
                <w:szCs w:val="21"/>
              </w:rPr>
              <w:t>Subsection of map used</w:t>
            </w:r>
          </w:p>
        </w:tc>
      </w:tr>
      <w:tr w:rsidR="001F2BC3" w:rsidRPr="00B52125" w:rsidTr="00732979">
        <w:trPr>
          <w:trHeight w:val="300"/>
          <w:jc w:val="center"/>
        </w:trPr>
        <w:tc>
          <w:tcPr>
            <w:tcW w:w="2112" w:type="dxa"/>
            <w:tcBorders>
              <w:top w:val="single" w:sz="4" w:space="0" w:color="auto"/>
            </w:tcBorders>
          </w:tcPr>
          <w:p w:rsidR="001F2BC3" w:rsidRPr="00B52125" w:rsidRDefault="001F2BC3" w:rsidP="00732979">
            <w:pPr>
              <w:spacing w:line="240" w:lineRule="auto"/>
              <w:rPr>
                <w:rFonts w:eastAsia="Times New Roman"/>
                <w:sz w:val="20"/>
                <w:szCs w:val="21"/>
              </w:rPr>
            </w:pPr>
            <w:r w:rsidRPr="00B52125">
              <w:rPr>
                <w:rFonts w:eastAsia="Times New Roman"/>
                <w:sz w:val="20"/>
                <w:szCs w:val="21"/>
              </w:rPr>
              <w:t>Questions about outcomes</w:t>
            </w:r>
          </w:p>
        </w:tc>
        <w:tc>
          <w:tcPr>
            <w:tcW w:w="2587" w:type="dxa"/>
            <w:tcBorders>
              <w:top w:val="single" w:sz="4" w:space="0" w:color="auto"/>
            </w:tcBorders>
          </w:tcPr>
          <w:p w:rsidR="001F2BC3" w:rsidRPr="00B52125" w:rsidRDefault="001F2BC3" w:rsidP="00732979">
            <w:pPr>
              <w:spacing w:line="240" w:lineRule="auto"/>
              <w:rPr>
                <w:rFonts w:eastAsia="Times New Roman"/>
                <w:sz w:val="20"/>
                <w:szCs w:val="21"/>
              </w:rPr>
            </w:pPr>
            <w:r w:rsidRPr="00B52125">
              <w:rPr>
                <w:rFonts w:eastAsia="Times New Roman"/>
                <w:sz w:val="20"/>
                <w:szCs w:val="21"/>
              </w:rPr>
              <w:t>What are the direct influences on key system functions and outcomes stakeholders care about?</w:t>
            </w:r>
          </w:p>
        </w:tc>
        <w:tc>
          <w:tcPr>
            <w:tcW w:w="4315" w:type="dxa"/>
            <w:tcBorders>
              <w:top w:val="single" w:sz="4" w:space="0" w:color="auto"/>
            </w:tcBorders>
          </w:tcPr>
          <w:p w:rsidR="001F2BC3" w:rsidRPr="00B52125" w:rsidRDefault="001F2BC3" w:rsidP="00732979">
            <w:pPr>
              <w:spacing w:line="240" w:lineRule="auto"/>
              <w:rPr>
                <w:sz w:val="20"/>
                <w:szCs w:val="21"/>
              </w:rPr>
            </w:pPr>
            <w:r w:rsidRPr="00B52125">
              <w:rPr>
                <w:sz w:val="20"/>
                <w:szCs w:val="21"/>
              </w:rPr>
              <w:t>Start with the node(s) representing outcomes and functions, and look for nodes immediately influencing them, i.e. one or more ‘steps’ away following only arrows into the outcome/function.</w:t>
            </w:r>
          </w:p>
        </w:tc>
      </w:tr>
      <w:tr w:rsidR="001F2BC3" w:rsidRPr="00B52125" w:rsidTr="00732979">
        <w:trPr>
          <w:trHeight w:val="300"/>
          <w:jc w:val="center"/>
        </w:trPr>
        <w:tc>
          <w:tcPr>
            <w:tcW w:w="2112" w:type="dxa"/>
          </w:tcPr>
          <w:p w:rsidR="001F2BC3" w:rsidRPr="00B52125" w:rsidRDefault="001F2BC3" w:rsidP="00732979">
            <w:pPr>
              <w:spacing w:line="240" w:lineRule="auto"/>
              <w:rPr>
                <w:rFonts w:eastAsia="Times New Roman"/>
                <w:sz w:val="20"/>
                <w:szCs w:val="21"/>
              </w:rPr>
            </w:pPr>
            <w:r w:rsidRPr="00B52125">
              <w:rPr>
                <w:rFonts w:eastAsia="Times New Roman"/>
                <w:sz w:val="20"/>
                <w:szCs w:val="21"/>
              </w:rPr>
              <w:t>Questions about expected change</w:t>
            </w:r>
          </w:p>
        </w:tc>
        <w:tc>
          <w:tcPr>
            <w:tcW w:w="2587" w:type="dxa"/>
          </w:tcPr>
          <w:p w:rsidR="001F2BC3" w:rsidRPr="00B52125" w:rsidRDefault="001F2BC3" w:rsidP="00732979">
            <w:pPr>
              <w:spacing w:line="240" w:lineRule="auto"/>
              <w:rPr>
                <w:sz w:val="20"/>
                <w:szCs w:val="21"/>
              </w:rPr>
            </w:pPr>
            <w:r w:rsidRPr="00B52125">
              <w:rPr>
                <w:rFonts w:eastAsia="Times New Roman"/>
                <w:sz w:val="20"/>
                <w:szCs w:val="21"/>
              </w:rPr>
              <w:t>What might be the impacts of upcoming changes in the system?</w:t>
            </w:r>
          </w:p>
        </w:tc>
        <w:tc>
          <w:tcPr>
            <w:tcW w:w="4315" w:type="dxa"/>
          </w:tcPr>
          <w:p w:rsidR="001F2BC3" w:rsidRPr="00B52125" w:rsidRDefault="001F2BC3" w:rsidP="00732979">
            <w:pPr>
              <w:spacing w:line="240" w:lineRule="auto"/>
              <w:rPr>
                <w:sz w:val="20"/>
                <w:szCs w:val="21"/>
              </w:rPr>
            </w:pPr>
            <w:r w:rsidRPr="00B52125">
              <w:rPr>
                <w:sz w:val="20"/>
                <w:szCs w:val="21"/>
              </w:rPr>
              <w:t xml:space="preserve">Start with the node(s) that represent the change expected, then look at the nodes they influence, i.e. one or more ‘steps’ away only following only arrows away from the change. </w:t>
            </w:r>
          </w:p>
        </w:tc>
      </w:tr>
      <w:tr w:rsidR="001F2BC3" w:rsidRPr="00B52125" w:rsidTr="00732979">
        <w:trPr>
          <w:trHeight w:val="300"/>
          <w:jc w:val="center"/>
        </w:trPr>
        <w:tc>
          <w:tcPr>
            <w:tcW w:w="2112" w:type="dxa"/>
          </w:tcPr>
          <w:p w:rsidR="001F2BC3" w:rsidRPr="00B52125" w:rsidRDefault="001F2BC3" w:rsidP="00732979">
            <w:pPr>
              <w:spacing w:line="240" w:lineRule="auto"/>
              <w:rPr>
                <w:rFonts w:eastAsia="Times New Roman"/>
                <w:sz w:val="20"/>
                <w:szCs w:val="21"/>
              </w:rPr>
            </w:pPr>
            <w:r w:rsidRPr="00B52125">
              <w:rPr>
                <w:rFonts w:eastAsia="Times New Roman"/>
                <w:sz w:val="20"/>
                <w:szCs w:val="21"/>
              </w:rPr>
              <w:t>Questions about interactions</w:t>
            </w:r>
          </w:p>
        </w:tc>
        <w:tc>
          <w:tcPr>
            <w:tcW w:w="2587" w:type="dxa"/>
          </w:tcPr>
          <w:p w:rsidR="001F2BC3" w:rsidRPr="00B52125" w:rsidRDefault="001F2BC3" w:rsidP="00732979">
            <w:pPr>
              <w:spacing w:line="240" w:lineRule="auto"/>
              <w:rPr>
                <w:sz w:val="20"/>
                <w:szCs w:val="21"/>
              </w:rPr>
            </w:pPr>
            <w:r w:rsidRPr="00B52125">
              <w:rPr>
                <w:rFonts w:eastAsia="Times New Roman"/>
                <w:sz w:val="20"/>
                <w:szCs w:val="21"/>
              </w:rPr>
              <w:t>What interactions, trade-offs, or synergies may exist between important outcomes and functions, and between interventions?</w:t>
            </w:r>
          </w:p>
        </w:tc>
        <w:tc>
          <w:tcPr>
            <w:tcW w:w="4315" w:type="dxa"/>
          </w:tcPr>
          <w:p w:rsidR="001F2BC3" w:rsidRPr="00B52125" w:rsidRDefault="001F2BC3" w:rsidP="00732979">
            <w:pPr>
              <w:spacing w:line="240" w:lineRule="auto"/>
              <w:rPr>
                <w:sz w:val="20"/>
                <w:szCs w:val="21"/>
              </w:rPr>
            </w:pPr>
            <w:r w:rsidRPr="00B52125">
              <w:rPr>
                <w:sz w:val="20"/>
                <w:szCs w:val="21"/>
              </w:rPr>
              <w:t>Pick two or more nodes which represent outcomes/functions/interventions, and then check whether they influence each other (i.e. are there causal paths between them, with arrows in all the same direction) and/or check whether they both/all affect other outcomes of importance, and whether they influence them in the same direction or not.</w:t>
            </w:r>
          </w:p>
        </w:tc>
      </w:tr>
      <w:tr w:rsidR="001F2BC3" w:rsidRPr="00B52125" w:rsidTr="00732979">
        <w:trPr>
          <w:trHeight w:val="300"/>
          <w:jc w:val="center"/>
        </w:trPr>
        <w:tc>
          <w:tcPr>
            <w:tcW w:w="2112" w:type="dxa"/>
          </w:tcPr>
          <w:p w:rsidR="001F2BC3" w:rsidRPr="00B52125" w:rsidRDefault="001F2BC3" w:rsidP="00732979">
            <w:pPr>
              <w:spacing w:line="240" w:lineRule="auto"/>
              <w:rPr>
                <w:rFonts w:eastAsia="Times New Roman"/>
                <w:sz w:val="20"/>
                <w:szCs w:val="21"/>
              </w:rPr>
            </w:pPr>
            <w:r w:rsidRPr="00B52125">
              <w:rPr>
                <w:rFonts w:eastAsia="Times New Roman"/>
                <w:sz w:val="20"/>
                <w:szCs w:val="21"/>
              </w:rPr>
              <w:t>Questions about risk</w:t>
            </w:r>
          </w:p>
        </w:tc>
        <w:tc>
          <w:tcPr>
            <w:tcW w:w="2587" w:type="dxa"/>
          </w:tcPr>
          <w:p w:rsidR="001F2BC3" w:rsidRPr="00B52125" w:rsidRDefault="001F2BC3" w:rsidP="00732979">
            <w:pPr>
              <w:spacing w:line="240" w:lineRule="auto"/>
              <w:rPr>
                <w:rFonts w:eastAsia="Times New Roman"/>
                <w:sz w:val="20"/>
                <w:szCs w:val="21"/>
              </w:rPr>
            </w:pPr>
            <w:r w:rsidRPr="00B52125">
              <w:rPr>
                <w:rFonts w:eastAsia="Times New Roman"/>
                <w:sz w:val="20"/>
                <w:szCs w:val="21"/>
              </w:rPr>
              <w:t>What might be a risk or vulnerability in the system?</w:t>
            </w:r>
          </w:p>
        </w:tc>
        <w:tc>
          <w:tcPr>
            <w:tcW w:w="4315" w:type="dxa"/>
          </w:tcPr>
          <w:p w:rsidR="001F2BC3" w:rsidRPr="00B52125" w:rsidRDefault="001F2BC3" w:rsidP="00732979">
            <w:pPr>
              <w:spacing w:line="240" w:lineRule="auto"/>
              <w:rPr>
                <w:sz w:val="20"/>
                <w:szCs w:val="21"/>
              </w:rPr>
            </w:pPr>
            <w:r w:rsidRPr="00B52125">
              <w:rPr>
                <w:sz w:val="20"/>
                <w:szCs w:val="21"/>
              </w:rPr>
              <w:t xml:space="preserve">Look for nodes in the map which seem to have structural importance but which </w:t>
            </w:r>
            <w:r w:rsidRPr="00B52125">
              <w:rPr>
                <w:i/>
                <w:iCs/>
                <w:sz w:val="20"/>
                <w:szCs w:val="21"/>
              </w:rPr>
              <w:t xml:space="preserve">no </w:t>
            </w:r>
            <w:r w:rsidRPr="00B52125">
              <w:rPr>
                <w:sz w:val="20"/>
                <w:szCs w:val="21"/>
              </w:rPr>
              <w:t xml:space="preserve">stakeholders have much influence over, i.e. nodes which influence things stakeholders care about, or influence a lot of things in the map (i.e. have a high out-degree or </w:t>
            </w:r>
            <w:proofErr w:type="spellStart"/>
            <w:r w:rsidRPr="00B52125">
              <w:rPr>
                <w:sz w:val="20"/>
                <w:szCs w:val="21"/>
              </w:rPr>
              <w:t>betweeness</w:t>
            </w:r>
            <w:proofErr w:type="spellEnd"/>
            <w:r w:rsidRPr="00B52125">
              <w:rPr>
                <w:sz w:val="20"/>
                <w:szCs w:val="21"/>
              </w:rPr>
              <w:t xml:space="preserve"> centrality).</w:t>
            </w:r>
          </w:p>
        </w:tc>
      </w:tr>
      <w:tr w:rsidR="001F2BC3" w:rsidRPr="00B52125" w:rsidTr="00732979">
        <w:trPr>
          <w:trHeight w:val="300"/>
          <w:jc w:val="center"/>
        </w:trPr>
        <w:tc>
          <w:tcPr>
            <w:tcW w:w="2112" w:type="dxa"/>
          </w:tcPr>
          <w:p w:rsidR="001F2BC3" w:rsidRPr="00B52125" w:rsidRDefault="001F2BC3" w:rsidP="00732979">
            <w:pPr>
              <w:spacing w:line="240" w:lineRule="auto"/>
              <w:rPr>
                <w:rFonts w:eastAsia="Times New Roman"/>
                <w:sz w:val="20"/>
                <w:szCs w:val="21"/>
              </w:rPr>
            </w:pPr>
            <w:r w:rsidRPr="00B52125">
              <w:rPr>
                <w:rFonts w:eastAsia="Times New Roman"/>
                <w:sz w:val="20"/>
                <w:szCs w:val="21"/>
              </w:rPr>
              <w:t>Questions about leverage and interventions</w:t>
            </w:r>
          </w:p>
        </w:tc>
        <w:tc>
          <w:tcPr>
            <w:tcW w:w="2587" w:type="dxa"/>
          </w:tcPr>
          <w:p w:rsidR="001F2BC3" w:rsidRPr="00B52125" w:rsidRDefault="001F2BC3" w:rsidP="00732979">
            <w:pPr>
              <w:spacing w:line="240" w:lineRule="auto"/>
              <w:rPr>
                <w:sz w:val="20"/>
                <w:szCs w:val="21"/>
              </w:rPr>
            </w:pPr>
            <w:r w:rsidRPr="00B52125">
              <w:rPr>
                <w:rFonts w:eastAsia="Times New Roman"/>
                <w:sz w:val="20"/>
                <w:szCs w:val="21"/>
              </w:rPr>
              <w:t>What might be an opportunity for effective intervention in the system – a ‘lever’?</w:t>
            </w:r>
          </w:p>
        </w:tc>
        <w:tc>
          <w:tcPr>
            <w:tcW w:w="4315" w:type="dxa"/>
          </w:tcPr>
          <w:p w:rsidR="001F2BC3" w:rsidRPr="00B52125" w:rsidRDefault="001F2BC3" w:rsidP="00732979">
            <w:pPr>
              <w:spacing w:line="240" w:lineRule="auto"/>
              <w:rPr>
                <w:sz w:val="20"/>
                <w:szCs w:val="21"/>
              </w:rPr>
            </w:pPr>
            <w:r w:rsidRPr="00B52125">
              <w:rPr>
                <w:sz w:val="20"/>
                <w:szCs w:val="21"/>
              </w:rPr>
              <w:t xml:space="preserve">Look for nodes in the map which seem to have structural importance and which stakeholders </w:t>
            </w:r>
            <w:r w:rsidRPr="00B52125">
              <w:rPr>
                <w:i/>
                <w:iCs/>
                <w:sz w:val="20"/>
                <w:szCs w:val="21"/>
              </w:rPr>
              <w:t xml:space="preserve">do </w:t>
            </w:r>
            <w:r w:rsidRPr="00B52125">
              <w:rPr>
                <w:sz w:val="20"/>
                <w:szCs w:val="21"/>
              </w:rPr>
              <w:t xml:space="preserve">have influence over, i.e. nodes which influence things stakeholders care about, or influence a lot of things in the map (i.e. have a high out-degree or </w:t>
            </w:r>
            <w:proofErr w:type="spellStart"/>
            <w:r w:rsidRPr="00B52125">
              <w:rPr>
                <w:sz w:val="20"/>
                <w:szCs w:val="21"/>
              </w:rPr>
              <w:t>betweeness</w:t>
            </w:r>
            <w:proofErr w:type="spellEnd"/>
            <w:r w:rsidRPr="00B52125">
              <w:rPr>
                <w:sz w:val="20"/>
                <w:szCs w:val="21"/>
              </w:rPr>
              <w:t xml:space="preserve"> centrality).</w:t>
            </w:r>
          </w:p>
        </w:tc>
      </w:tr>
      <w:tr w:rsidR="001F2BC3" w:rsidRPr="00B52125" w:rsidTr="00732979">
        <w:trPr>
          <w:trHeight w:val="50"/>
          <w:jc w:val="center"/>
        </w:trPr>
        <w:tc>
          <w:tcPr>
            <w:tcW w:w="2112" w:type="dxa"/>
            <w:tcBorders>
              <w:bottom w:val="single" w:sz="8" w:space="0" w:color="auto"/>
            </w:tcBorders>
          </w:tcPr>
          <w:p w:rsidR="001F2BC3" w:rsidRPr="00B52125" w:rsidRDefault="001F2BC3" w:rsidP="00732979">
            <w:pPr>
              <w:spacing w:line="240" w:lineRule="auto"/>
              <w:rPr>
                <w:rFonts w:eastAsia="Times New Roman"/>
                <w:sz w:val="20"/>
                <w:szCs w:val="21"/>
              </w:rPr>
            </w:pPr>
            <w:r w:rsidRPr="00B52125">
              <w:rPr>
                <w:rFonts w:eastAsia="Times New Roman"/>
                <w:sz w:val="20"/>
                <w:szCs w:val="21"/>
              </w:rPr>
              <w:t>Questions about feedbacks</w:t>
            </w:r>
          </w:p>
        </w:tc>
        <w:tc>
          <w:tcPr>
            <w:tcW w:w="2587" w:type="dxa"/>
            <w:tcBorders>
              <w:bottom w:val="single" w:sz="8" w:space="0" w:color="auto"/>
            </w:tcBorders>
          </w:tcPr>
          <w:p w:rsidR="001F2BC3" w:rsidRPr="00B52125" w:rsidRDefault="001F2BC3" w:rsidP="00732979">
            <w:pPr>
              <w:spacing w:line="240" w:lineRule="auto"/>
              <w:rPr>
                <w:rFonts w:eastAsia="Times New Roman"/>
                <w:sz w:val="20"/>
                <w:szCs w:val="21"/>
              </w:rPr>
            </w:pPr>
            <w:r w:rsidRPr="00B52125">
              <w:rPr>
                <w:rFonts w:eastAsia="Times New Roman"/>
                <w:sz w:val="20"/>
                <w:szCs w:val="21"/>
              </w:rPr>
              <w:t xml:space="preserve">Are there any reinforcing or balancing feedbacks that might dominate the system </w:t>
            </w:r>
            <w:proofErr w:type="spellStart"/>
            <w:r w:rsidRPr="00B52125">
              <w:rPr>
                <w:rFonts w:eastAsia="Times New Roman"/>
                <w:sz w:val="20"/>
                <w:szCs w:val="21"/>
              </w:rPr>
              <w:t>behaviour</w:t>
            </w:r>
            <w:proofErr w:type="spellEnd"/>
            <w:r w:rsidRPr="00B52125">
              <w:rPr>
                <w:rFonts w:eastAsia="Times New Roman"/>
                <w:sz w:val="20"/>
                <w:szCs w:val="21"/>
              </w:rPr>
              <w:t>?</w:t>
            </w:r>
          </w:p>
        </w:tc>
        <w:tc>
          <w:tcPr>
            <w:tcW w:w="4315" w:type="dxa"/>
            <w:tcBorders>
              <w:bottom w:val="single" w:sz="8" w:space="0" w:color="auto"/>
            </w:tcBorders>
          </w:tcPr>
          <w:p w:rsidR="001F2BC3" w:rsidRPr="00B52125" w:rsidRDefault="001F2BC3" w:rsidP="00732979">
            <w:pPr>
              <w:spacing w:line="240" w:lineRule="auto"/>
              <w:rPr>
                <w:sz w:val="20"/>
                <w:szCs w:val="21"/>
              </w:rPr>
            </w:pPr>
            <w:r w:rsidRPr="00B52125">
              <w:rPr>
                <w:sz w:val="20"/>
                <w:szCs w:val="21"/>
              </w:rPr>
              <w:t xml:space="preserve">Look for causal loops in the map and consider the importance of these and whether they drive </w:t>
            </w:r>
            <w:proofErr w:type="spellStart"/>
            <w:r w:rsidRPr="00B52125">
              <w:rPr>
                <w:sz w:val="20"/>
                <w:szCs w:val="21"/>
              </w:rPr>
              <w:t>behaviour</w:t>
            </w:r>
            <w:proofErr w:type="spellEnd"/>
            <w:r w:rsidRPr="00B52125">
              <w:rPr>
                <w:sz w:val="20"/>
                <w:szCs w:val="21"/>
              </w:rPr>
              <w:t>.</w:t>
            </w:r>
          </w:p>
        </w:tc>
      </w:tr>
    </w:tbl>
    <w:p w:rsidR="00980ABD" w:rsidRPr="005E2A1F" w:rsidRDefault="00980ABD" w:rsidP="005E2A1F">
      <w:pPr>
        <w:pStyle w:val="2"/>
        <w:spacing w:before="0" w:after="0" w:line="240" w:lineRule="auto"/>
        <w:rPr>
          <w:rFonts w:ascii="Times New Roman" w:hAnsi="Times New Roman" w:cs="Times New Roman"/>
          <w:sz w:val="28"/>
          <w:szCs w:val="28"/>
        </w:rPr>
      </w:pPr>
      <w:r w:rsidRPr="005E2A1F">
        <w:rPr>
          <w:rFonts w:ascii="Times New Roman" w:hAnsi="Times New Roman" w:cs="Times New Roman"/>
          <w:sz w:val="28"/>
          <w:szCs w:val="28"/>
        </w:rPr>
        <w:t>Possible causes of the error</w:t>
      </w:r>
    </w:p>
    <w:p w:rsidR="00980ABD" w:rsidRDefault="00980ABD" w:rsidP="005E2A1F">
      <w:pPr>
        <w:spacing w:line="240" w:lineRule="auto"/>
        <w:rPr>
          <w:sz w:val="21"/>
        </w:rPr>
      </w:pPr>
      <w:r w:rsidRPr="005E2A1F">
        <w:rPr>
          <w:sz w:val="21"/>
        </w:rPr>
        <w:t xml:space="preserve">Extraction errors arise for various reasons. On one hand, our broad causal scope includes diverse sentence </w:t>
      </w:r>
      <w:r w:rsidRPr="005E2A1F">
        <w:rPr>
          <w:sz w:val="21"/>
        </w:rPr>
        <w:lastRenderedPageBreak/>
        <w:t xml:space="preserve">structures and phrasing to express causality, with many implicit causal relationships. On the other hand, the limited quantity of labeled data leads to imbalanced entity categories and constrained features learned by the model. While errors are inevitable, automated extraction of causal pairs has significantly improved map construction efficiency. </w:t>
      </w:r>
      <w:proofErr w:type="spellStart"/>
      <w:r w:rsidRPr="005E2A1F">
        <w:rPr>
          <w:sz w:val="21"/>
        </w:rPr>
        <w:t>Minimising</w:t>
      </w:r>
      <w:proofErr w:type="spellEnd"/>
      <w:r w:rsidRPr="005E2A1F">
        <w:rPr>
          <w:sz w:val="21"/>
        </w:rPr>
        <w:t xml:space="preserve"> errors requires selecting data with </w:t>
      </w:r>
      <w:proofErr w:type="spellStart"/>
      <w:r w:rsidRPr="005E2A1F">
        <w:rPr>
          <w:sz w:val="21"/>
        </w:rPr>
        <w:t>standardised</w:t>
      </w:r>
      <w:proofErr w:type="spellEnd"/>
      <w:r w:rsidRPr="005E2A1F">
        <w:rPr>
          <w:sz w:val="21"/>
        </w:rPr>
        <w:t xml:space="preserve"> structures and ensuring labeled data covers a wide range of causal structures and entity expressions. It has been shown that higher frequency of causal mentions improves model performance (Feng et al., 2024).</w:t>
      </w:r>
    </w:p>
    <w:p w:rsidR="00895015" w:rsidRPr="005E2A1F" w:rsidRDefault="00895015" w:rsidP="00895015">
      <w:pPr>
        <w:pStyle w:val="2"/>
        <w:spacing w:before="0" w:after="0" w:line="240" w:lineRule="auto"/>
        <w:rPr>
          <w:rFonts w:ascii="Times New Roman" w:hAnsi="Times New Roman" w:cs="Times New Roman"/>
          <w:sz w:val="28"/>
          <w:szCs w:val="28"/>
        </w:rPr>
      </w:pPr>
      <w:r w:rsidRPr="005E2A1F">
        <w:rPr>
          <w:rFonts w:ascii="Times New Roman" w:hAnsi="Times New Roman" w:cs="Times New Roman"/>
          <w:sz w:val="28"/>
          <w:szCs w:val="28"/>
        </w:rPr>
        <w:t>A comparison between extraction results using our labeled data and public dataset</w:t>
      </w:r>
    </w:p>
    <w:p w:rsidR="00895015" w:rsidRPr="005E2A1F" w:rsidRDefault="00895015" w:rsidP="00895015">
      <w:pPr>
        <w:spacing w:line="240" w:lineRule="auto"/>
        <w:rPr>
          <w:sz w:val="21"/>
        </w:rPr>
      </w:pPr>
      <w:r w:rsidRPr="005E2A1F">
        <w:rPr>
          <w:sz w:val="21"/>
        </w:rPr>
        <w:t xml:space="preserve">We trained the pointer network model proposed in section 3.3 using the extended </w:t>
      </w:r>
      <w:proofErr w:type="spellStart"/>
      <w:r w:rsidRPr="005E2A1F">
        <w:rPr>
          <w:sz w:val="21"/>
        </w:rPr>
        <w:t>SemEval</w:t>
      </w:r>
      <w:proofErr w:type="spellEnd"/>
      <w:r w:rsidRPr="005E2A1F">
        <w:rPr>
          <w:sz w:val="21"/>
        </w:rPr>
        <w:t xml:space="preserve"> 2010 Task 8 dataset from the literature </w:t>
      </w:r>
      <w:r w:rsidRPr="005E2A1F">
        <w:rPr>
          <w:rFonts w:eastAsia="Times New Roman"/>
          <w:color w:val="000000" w:themeColor="text1"/>
          <w:sz w:val="21"/>
        </w:rPr>
        <w:t>(Li et al., 2021). However,</w:t>
      </w:r>
      <w:r w:rsidRPr="005E2A1F">
        <w:rPr>
          <w:sz w:val="21"/>
        </w:rPr>
        <w:t xml:space="preserve"> the model’s performance in </w:t>
      </w:r>
      <w:proofErr w:type="spellStart"/>
      <w:r w:rsidRPr="005E2A1F">
        <w:rPr>
          <w:sz w:val="21"/>
        </w:rPr>
        <w:t>recognising</w:t>
      </w:r>
      <w:proofErr w:type="spellEnd"/>
      <w:r w:rsidRPr="005E2A1F">
        <w:rPr>
          <w:sz w:val="21"/>
        </w:rPr>
        <w:t xml:space="preserve"> multiple, parallel, and compound causal phrases was unsatisfactory. The example (Fig. A1) compares the extraction results of the model trained on the public dataset and the one trained on the labelled data (described below). This indicates significant domain-specific differences, where variations in causal structure and entity expressions can affect the model’s performance. Therefore, relying solely on a public dataset may be insufficient, and a small amount of labelled data can significantly enhance model performance.</w:t>
      </w:r>
    </w:p>
    <w:p w:rsidR="00895015" w:rsidRDefault="007C0AFF" w:rsidP="00895015">
      <w:pPr>
        <w:jc w:val="center"/>
      </w:pPr>
      <w:r w:rsidRPr="007C0AFF">
        <w:rPr>
          <w:sz w:val="21"/>
        </w:rPr>
        <w:object w:dxaOrig="8685" w:dyaOrig="2040">
          <v:shape id="_x0000_i1042" type="#_x0000_t75" style="width:456.4pt;height:107.05pt" o:ole="">
            <v:imagedata r:id="rId36" o:title=""/>
          </v:shape>
          <o:OLEObject Type="Embed" ProgID="Visio.Drawing.15" ShapeID="_x0000_i1042" DrawAspect="Content" ObjectID="_1831552818" r:id="rId37"/>
        </w:object>
      </w:r>
    </w:p>
    <w:p w:rsidR="00895015" w:rsidRDefault="00895015" w:rsidP="00895015">
      <w:pPr>
        <w:spacing w:line="259" w:lineRule="auto"/>
        <w:jc w:val="center"/>
        <w:rPr>
          <w:rFonts w:eastAsia="Times New Roman"/>
          <w:sz w:val="20"/>
          <w:szCs w:val="20"/>
        </w:rPr>
      </w:pPr>
      <w:r w:rsidRPr="3666DCC0">
        <w:rPr>
          <w:rFonts w:eastAsia="Times New Roman"/>
          <w:b/>
          <w:bCs/>
          <w:sz w:val="20"/>
          <w:szCs w:val="20"/>
        </w:rPr>
        <w:t xml:space="preserve">Fig. </w:t>
      </w:r>
      <w:r>
        <w:rPr>
          <w:rFonts w:eastAsia="Times New Roman"/>
          <w:b/>
          <w:bCs/>
          <w:sz w:val="20"/>
          <w:szCs w:val="20"/>
        </w:rPr>
        <w:t>A1</w:t>
      </w:r>
      <w:r w:rsidRPr="3666DCC0">
        <w:rPr>
          <w:rFonts w:eastAsia="Times New Roman"/>
          <w:sz w:val="20"/>
          <w:szCs w:val="20"/>
        </w:rPr>
        <w:t xml:space="preserve"> Comparison of causal pair extraction results with and without domain-trained models</w:t>
      </w:r>
    </w:p>
    <w:p w:rsidR="00980ABD" w:rsidRPr="005E2A1F" w:rsidRDefault="00980ABD" w:rsidP="005E2A1F">
      <w:pPr>
        <w:pStyle w:val="2"/>
        <w:spacing w:before="0" w:after="0" w:line="240" w:lineRule="auto"/>
        <w:rPr>
          <w:rFonts w:ascii="Times New Roman" w:hAnsi="Times New Roman" w:cs="Times New Roman"/>
          <w:sz w:val="28"/>
          <w:szCs w:val="28"/>
        </w:rPr>
      </w:pPr>
      <w:r w:rsidRPr="005E2A1F">
        <w:rPr>
          <w:rFonts w:ascii="Times New Roman" w:hAnsi="Times New Roman" w:cs="Times New Roman"/>
          <w:sz w:val="28"/>
          <w:szCs w:val="28"/>
        </w:rPr>
        <w:t xml:space="preserve">Table </w:t>
      </w:r>
      <w:r w:rsidR="0007058A" w:rsidRPr="005E2A1F">
        <w:rPr>
          <w:rFonts w:ascii="Times New Roman" w:hAnsi="Times New Roman" w:cs="Times New Roman"/>
          <w:sz w:val="28"/>
          <w:szCs w:val="28"/>
        </w:rPr>
        <w:t>A</w:t>
      </w:r>
      <w:r w:rsidR="001F2BC3">
        <w:rPr>
          <w:rFonts w:ascii="Times New Roman" w:hAnsi="Times New Roman" w:cs="Times New Roman"/>
          <w:sz w:val="28"/>
          <w:szCs w:val="28"/>
        </w:rPr>
        <w:t>3</w:t>
      </w:r>
      <w:r w:rsidRPr="005E2A1F">
        <w:rPr>
          <w:rFonts w:ascii="Times New Roman" w:hAnsi="Times New Roman" w:cs="Times New Roman"/>
          <w:sz w:val="28"/>
          <w:szCs w:val="28"/>
        </w:rPr>
        <w:t xml:space="preserve"> Synonymous entity alignment</w:t>
      </w:r>
    </w:p>
    <w:tbl>
      <w:tblPr>
        <w:tblStyle w:val="a7"/>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6520"/>
      </w:tblGrid>
      <w:tr w:rsidR="00980ABD" w:rsidRPr="005E2A1F" w:rsidTr="006B6707">
        <w:trPr>
          <w:trHeight w:val="285"/>
          <w:jc w:val="center"/>
        </w:trPr>
        <w:tc>
          <w:tcPr>
            <w:tcW w:w="2694" w:type="dxa"/>
            <w:tcBorders>
              <w:top w:val="single" w:sz="8" w:space="0" w:color="auto"/>
              <w:bottom w:val="single" w:sz="4" w:space="0" w:color="auto"/>
            </w:tcBorders>
            <w:tcMar>
              <w:left w:w="108" w:type="dxa"/>
              <w:right w:w="108" w:type="dxa"/>
            </w:tcMar>
            <w:vAlign w:val="center"/>
          </w:tcPr>
          <w:p w:rsidR="00980ABD" w:rsidRPr="005E2A1F" w:rsidRDefault="00980ABD" w:rsidP="0007058A">
            <w:pPr>
              <w:spacing w:line="240" w:lineRule="auto"/>
              <w:rPr>
                <w:rFonts w:eastAsia="Times New Roman"/>
                <w:b/>
                <w:bCs/>
                <w:color w:val="000000" w:themeColor="text1"/>
                <w:sz w:val="20"/>
                <w:szCs w:val="20"/>
              </w:rPr>
            </w:pPr>
            <w:r w:rsidRPr="005E2A1F">
              <w:rPr>
                <w:rFonts w:eastAsia="Times New Roman"/>
                <w:b/>
                <w:bCs/>
                <w:color w:val="000000" w:themeColor="text1"/>
                <w:sz w:val="20"/>
                <w:szCs w:val="20"/>
              </w:rPr>
              <w:t>Node names used in the map</w:t>
            </w:r>
          </w:p>
        </w:tc>
        <w:tc>
          <w:tcPr>
            <w:tcW w:w="6520" w:type="dxa"/>
            <w:tcBorders>
              <w:top w:val="single" w:sz="8" w:space="0" w:color="auto"/>
              <w:bottom w:val="single" w:sz="4" w:space="0" w:color="auto"/>
            </w:tcBorders>
            <w:tcMar>
              <w:left w:w="108" w:type="dxa"/>
              <w:right w:w="108" w:type="dxa"/>
            </w:tcMar>
            <w:vAlign w:val="center"/>
          </w:tcPr>
          <w:p w:rsidR="00980ABD" w:rsidRPr="005E2A1F" w:rsidRDefault="00980ABD" w:rsidP="0007058A">
            <w:pPr>
              <w:spacing w:line="240" w:lineRule="auto"/>
              <w:rPr>
                <w:rFonts w:eastAsia="Times New Roman"/>
                <w:b/>
                <w:bCs/>
                <w:sz w:val="20"/>
                <w:szCs w:val="20"/>
              </w:rPr>
            </w:pPr>
            <w:r w:rsidRPr="005E2A1F">
              <w:rPr>
                <w:rFonts w:eastAsia="Times New Roman"/>
                <w:b/>
                <w:bCs/>
                <w:sz w:val="20"/>
                <w:szCs w:val="20"/>
              </w:rPr>
              <w:t>Other expressions merged</w:t>
            </w:r>
          </w:p>
        </w:tc>
      </w:tr>
      <w:tr w:rsidR="00980ABD" w:rsidRPr="005E2A1F" w:rsidTr="006B6707">
        <w:trPr>
          <w:trHeight w:val="285"/>
          <w:jc w:val="center"/>
        </w:trPr>
        <w:tc>
          <w:tcPr>
            <w:tcW w:w="2694" w:type="dxa"/>
            <w:tcBorders>
              <w:top w:val="single" w:sz="4" w:space="0" w:color="auto"/>
            </w:tcBorders>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air pollution</w:t>
            </w:r>
          </w:p>
        </w:tc>
        <w:tc>
          <w:tcPr>
            <w:tcW w:w="6520" w:type="dxa"/>
            <w:tcBorders>
              <w:top w:val="single" w:sz="4" w:space="0" w:color="auto"/>
            </w:tcBorders>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air pollutant</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capital, resource</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capital and labor to the low-carbon industry, fixed capital formation, capital waste, capital input, resource waste, resource inputs, coal resources, capital</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carbon cap policy</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emission limits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carbon capture, utilization, and storage (CCUS)</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CCS retrofit of conventional coal plants, retrofitting existing conventional coal power plants with CCS, new coal power plants with CCS, carbon capture and storage</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 xml:space="preserve">carbon emissions </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CO2 emissions, Greenhouse Gas (GHG) emission, total emission cap in a rate-based ETS, inhibitory effect of carbon emissions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carbon market activity</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trading volume</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carbon market size</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carbon market scale</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carbon price</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uncertainty of carbon price, fixed and low carbon prices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carbon tax</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carbon tax policy, CO2 tax, tax revenue, continuity of carbon tax policy, stability of carbon tax policy, stringency of carbon tax policy</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certified emission reductions (CERs)</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demand for certified emission reductions (CERs)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lastRenderedPageBreak/>
              <w:t>clean development mechanism (CDM)</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limitations on clean development mechanism (CDM)</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construction</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construction power plants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cost for carbon mitigation</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carbon reduction costs, carbon mitigation costs, carbon cost, ETS costs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curtailment cost</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cost of power curtailment, phenomenon of power curtailment</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distributional impacts</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differentiated provincial impacts, distributional consequences from national policies, regional differences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economic improvement of thermal power</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stable operation of thermal power, profit incentives in coal use</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economic size</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rapid industrialization, economic activity effect</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education expenditure</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local public expenditure intensity on educational development (EO)</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electricity price</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clearing price, product price, output price of energy-intensive products, price changes, price of RE (also average electricity)</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Emissions Trading Scheme (ETS)</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carbon emission allowance, carbon emission trading, ETS, carbon trading policy, carbon permits, longer the carbon trading policy</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employment</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employment rate</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energy consumption</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energy consumes, energy input, invest in electric energy</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energy storage</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energy reserves, storage of electricity, energy storage system, spare capacity</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energy structure adjustment</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energy and industry structure adjustment, energy system, power structure, energy structural shift, industrial structural shifts, power source structure</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environmental expenditure</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environmental protection input, environmental protection investment, output intensity of local public environmental protection expenditures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equity concerns</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conflict of interests at subnational levels, barriers to the implementation of carbon abatement policies, income inequality</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exports</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outflow</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fossil fuel price</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input materials price, price of oil</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GDP</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economic sacrifice, GDP loss, economic losses, economic growth, GDP per capita</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generation capacity</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additional generation capacity, total generation capacity</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generation cost of renewable energy</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cost of RE power, energy costs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generation cost of thermal power</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cost of energy-intensive sectors, external cost into fossil fuels, thermal power operation cost, cost of coal for coal-fired power</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generation costs</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cost for electricity supply, production cost, cost of power generation, cost of electricity, marginal cost, system costs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governments expenditure</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local public expenditure, fiscal expenditure</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household consumption</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consumption patterns, consumer consumption</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imports</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provincial import</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industry activity levels</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industry activity, provincial industry</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investment in power generation</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generation capacity investment, energy investment, investment in the power</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investment in renewable energy</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investment in RERs, investment to form the low-carbon industry, invest in renewable energy, investment for wind power, investment for solar power, invest in renewable energy generation</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lastRenderedPageBreak/>
              <w:t>investment in thermal power</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thermal investment, investment in high-emission thermal power</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knowledge spillover</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knowledge acquisition, knowledge accumulation</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market competitiveness</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inter-region industry competitiveness, market competition, market inefficiency, electricity market, electricity market reform</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market demand</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power demand, demand, energy-intensive products demand, electricity demand, elasticity of electricity demand, energy demand</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market supply</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power supply, electricity supply</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operating efficiency level</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energy efficiency of thermal power, coal-power conversion coefficient (CPCC), carbon emission resources allocation, coal-fired power output rate, electricity generation efficiency, power losses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people awareness of energy conservation and emission reduction</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public support, commercial opposition</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population growth rate</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fertility rate in society, (benefit) population, population growth</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power consumption</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income elasticity of residential electricity consumption, electricity consumption</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power generation</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production of power generation enterprises, power generation system</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power systems stability</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Balance of the Peak Load, power system instability, Power system flexibility, systems flexibility, power supply stability, electricity generation gap</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production decisions</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load development, behavior of firms, business planning of producers and other trading entities, decision of the planning, priority of the development strategies, provincial preference for the national-level policies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production output</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output loss, production output of energy-intensive sectors, output of industrial sub-sectors, output of thermal power firms, industrial production, output of thermal power units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public health</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health/diseases, human mortalities and morbidities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R&amp;D spending</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public expenditure on science and technology (TE), invest in green technology</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regulated market</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excessive regulation, regulatory process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renewable energy market share</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renewable energy resources (RERs), RERs market share, renewable power, renewable resources, green power generation, renewable energy generation</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residents living habits</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normal life of the residents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resource potential of renewable energy</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development potential of hydro power, resource potential of low carbon power, unpredictable nature of PV energy, unpredictable nature of wind energy, wind and PV power forecast error, uneven distribution of wind and PV resources</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revenue, returns and profit</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capital return rate, profits, wind power generation investment recouping, CET revenue</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social welfare</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Residents' well-being</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subsidy</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subsidy expenditure, subsidy policy, subsidy rate</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tax revenue compensation</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tax recovery compensation, carbon tax revenue recycling, income tax deductions, carbon tax recycling</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technological innovation</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Low-carbon technology research and development and application, competitive advantage of low-carbon power generation technologies, technological progress (TO), induced technologically change (ITC), substitution for technological improvement, technological improvement</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thermal power market share</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 xml:space="preserve">generated electricity of thermal power units, thermal market share, thermal </w:t>
            </w:r>
            <w:r w:rsidRPr="005E2A1F">
              <w:rPr>
                <w:rFonts w:eastAsia="Times New Roman"/>
                <w:color w:val="000000" w:themeColor="text1"/>
                <w:sz w:val="20"/>
                <w:szCs w:val="20"/>
              </w:rPr>
              <w:lastRenderedPageBreak/>
              <w:t>power, market share in high-emission thermal power, fossil fuel power, fossil fuel input</w:t>
            </w:r>
          </w:p>
        </w:tc>
      </w:tr>
      <w:tr w:rsidR="00980ABD" w:rsidRPr="005E2A1F" w:rsidTr="006B6707">
        <w:trPr>
          <w:trHeight w:val="285"/>
          <w:jc w:val="center"/>
        </w:trPr>
        <w:tc>
          <w:tcPr>
            <w:tcW w:w="2694"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lastRenderedPageBreak/>
              <w:t>tradable green certificates (TGC)</w:t>
            </w:r>
          </w:p>
        </w:tc>
        <w:tc>
          <w:tcPr>
            <w:tcW w:w="6520" w:type="dxa"/>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TGC price</w:t>
            </w:r>
          </w:p>
        </w:tc>
      </w:tr>
      <w:tr w:rsidR="00980ABD" w:rsidRPr="005E2A1F" w:rsidTr="006B6707">
        <w:trPr>
          <w:trHeight w:val="50"/>
          <w:jc w:val="center"/>
        </w:trPr>
        <w:tc>
          <w:tcPr>
            <w:tcW w:w="2694" w:type="dxa"/>
            <w:tcBorders>
              <w:bottom w:val="single" w:sz="8" w:space="0" w:color="auto"/>
            </w:tcBorders>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transportation consumption</w:t>
            </w:r>
          </w:p>
        </w:tc>
        <w:tc>
          <w:tcPr>
            <w:tcW w:w="6520" w:type="dxa"/>
            <w:tcBorders>
              <w:bottom w:val="single" w:sz="8" w:space="0" w:color="auto"/>
            </w:tcBorders>
            <w:tcMar>
              <w:left w:w="108" w:type="dxa"/>
              <w:right w:w="108" w:type="dxa"/>
            </w:tcMar>
            <w:vAlign w:val="center"/>
          </w:tcPr>
          <w:p w:rsidR="00980ABD" w:rsidRPr="005E2A1F" w:rsidRDefault="00980ABD" w:rsidP="0007058A">
            <w:pPr>
              <w:spacing w:line="240" w:lineRule="auto"/>
              <w:rPr>
                <w:sz w:val="20"/>
                <w:szCs w:val="20"/>
              </w:rPr>
            </w:pPr>
            <w:r w:rsidRPr="005E2A1F">
              <w:rPr>
                <w:rFonts w:eastAsia="Times New Roman"/>
                <w:color w:val="000000" w:themeColor="text1"/>
                <w:sz w:val="20"/>
                <w:szCs w:val="20"/>
              </w:rPr>
              <w:t>price of transportation</w:t>
            </w:r>
          </w:p>
        </w:tc>
      </w:tr>
    </w:tbl>
    <w:p w:rsidR="00405845" w:rsidRPr="00405845" w:rsidRDefault="00405845" w:rsidP="00405845">
      <w:pPr>
        <w:pStyle w:val="2"/>
        <w:spacing w:before="0" w:after="0" w:line="240" w:lineRule="auto"/>
        <w:rPr>
          <w:rFonts w:ascii="Times New Roman" w:hAnsi="Times New Roman" w:cs="Times New Roman"/>
          <w:sz w:val="28"/>
          <w:szCs w:val="28"/>
        </w:rPr>
      </w:pPr>
      <w:r w:rsidRPr="00405845">
        <w:rPr>
          <w:rFonts w:ascii="Times New Roman" w:hAnsi="Times New Roman" w:cs="Times New Roman"/>
          <w:sz w:val="28"/>
          <w:szCs w:val="28"/>
        </w:rPr>
        <w:t xml:space="preserve">Table </w:t>
      </w:r>
      <w:r>
        <w:rPr>
          <w:rFonts w:ascii="Times New Roman" w:hAnsi="Times New Roman" w:cs="Times New Roman"/>
          <w:sz w:val="28"/>
          <w:szCs w:val="28"/>
        </w:rPr>
        <w:t>A</w:t>
      </w:r>
      <w:r w:rsidR="001F2BC3">
        <w:rPr>
          <w:rFonts w:ascii="Times New Roman" w:hAnsi="Times New Roman" w:cs="Times New Roman"/>
          <w:sz w:val="28"/>
          <w:szCs w:val="28"/>
        </w:rPr>
        <w:t>4</w:t>
      </w:r>
      <w:r w:rsidRPr="00405845">
        <w:rPr>
          <w:rFonts w:ascii="Times New Roman" w:hAnsi="Times New Roman" w:cs="Times New Roman"/>
          <w:sz w:val="28"/>
          <w:szCs w:val="28"/>
        </w:rPr>
        <w:t xml:space="preserve"> Top five nodes across a selection of network measures</w:t>
      </w:r>
    </w:p>
    <w:tbl>
      <w:tblPr>
        <w:tblStyle w:val="11"/>
        <w:tblW w:w="73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842"/>
        <w:gridCol w:w="3403"/>
        <w:gridCol w:w="992"/>
        <w:gridCol w:w="1134"/>
      </w:tblGrid>
      <w:tr w:rsidR="00405845" w:rsidRPr="00BD3134" w:rsidTr="00732979">
        <w:trPr>
          <w:trHeight w:val="370"/>
          <w:jc w:val="center"/>
        </w:trPr>
        <w:tc>
          <w:tcPr>
            <w:tcW w:w="1842" w:type="dxa"/>
            <w:tcBorders>
              <w:top w:val="single" w:sz="8" w:space="0" w:color="auto"/>
              <w:bottom w:val="single" w:sz="4" w:space="0" w:color="auto"/>
            </w:tcBorders>
            <w:vAlign w:val="center"/>
          </w:tcPr>
          <w:p w:rsidR="00405845" w:rsidRPr="00BD3134" w:rsidRDefault="00405845" w:rsidP="00732979">
            <w:pPr>
              <w:spacing w:line="240" w:lineRule="auto"/>
              <w:jc w:val="center"/>
              <w:rPr>
                <w:rFonts w:eastAsia="宋体"/>
                <w:b/>
                <w:sz w:val="20"/>
                <w:szCs w:val="20"/>
                <w:shd w:val="clear" w:color="auto" w:fill="FFFFFF"/>
              </w:rPr>
            </w:pPr>
            <w:r w:rsidRPr="00BD3134">
              <w:rPr>
                <w:rFonts w:eastAsia="宋体"/>
                <w:b/>
                <w:sz w:val="20"/>
                <w:szCs w:val="20"/>
                <w:shd w:val="clear" w:color="auto" w:fill="FFFFFF"/>
              </w:rPr>
              <w:t>Network Metrics</w:t>
            </w:r>
          </w:p>
        </w:tc>
        <w:tc>
          <w:tcPr>
            <w:tcW w:w="3403" w:type="dxa"/>
            <w:tcBorders>
              <w:top w:val="single" w:sz="8" w:space="0" w:color="auto"/>
              <w:bottom w:val="single" w:sz="4" w:space="0" w:color="auto"/>
            </w:tcBorders>
            <w:vAlign w:val="center"/>
          </w:tcPr>
          <w:p w:rsidR="00405845" w:rsidRPr="00BD3134" w:rsidRDefault="00405845" w:rsidP="00732979">
            <w:pPr>
              <w:spacing w:line="240" w:lineRule="auto"/>
              <w:jc w:val="center"/>
              <w:rPr>
                <w:rFonts w:eastAsia="宋体"/>
                <w:b/>
                <w:sz w:val="20"/>
                <w:szCs w:val="20"/>
                <w:shd w:val="clear" w:color="auto" w:fill="FFFFFF"/>
              </w:rPr>
            </w:pPr>
            <w:r w:rsidRPr="00BD3134">
              <w:rPr>
                <w:rFonts w:eastAsia="宋体" w:hint="eastAsia"/>
                <w:b/>
                <w:sz w:val="20"/>
                <w:szCs w:val="20"/>
                <w:shd w:val="clear" w:color="auto" w:fill="FFFFFF"/>
              </w:rPr>
              <w:t>Nodes</w:t>
            </w:r>
          </w:p>
        </w:tc>
        <w:tc>
          <w:tcPr>
            <w:tcW w:w="992" w:type="dxa"/>
            <w:tcBorders>
              <w:top w:val="single" w:sz="8" w:space="0" w:color="auto"/>
              <w:bottom w:val="single" w:sz="4" w:space="0" w:color="auto"/>
            </w:tcBorders>
            <w:vAlign w:val="center"/>
          </w:tcPr>
          <w:p w:rsidR="00405845" w:rsidRPr="00BD3134" w:rsidRDefault="00405845" w:rsidP="00732979">
            <w:pPr>
              <w:spacing w:line="240" w:lineRule="auto"/>
              <w:jc w:val="center"/>
              <w:rPr>
                <w:rFonts w:eastAsia="宋体"/>
                <w:b/>
                <w:sz w:val="20"/>
                <w:szCs w:val="20"/>
                <w:shd w:val="clear" w:color="auto" w:fill="FFFFFF"/>
              </w:rPr>
            </w:pPr>
            <w:r w:rsidRPr="00BD3134">
              <w:rPr>
                <w:rFonts w:eastAsia="宋体" w:hint="eastAsia"/>
                <w:b/>
                <w:sz w:val="20"/>
                <w:szCs w:val="20"/>
                <w:shd w:val="clear" w:color="auto" w:fill="FFFFFF"/>
              </w:rPr>
              <w:t>T</w:t>
            </w:r>
            <w:r w:rsidRPr="00BD3134">
              <w:rPr>
                <w:rFonts w:eastAsia="宋体"/>
                <w:b/>
                <w:sz w:val="20"/>
                <w:szCs w:val="20"/>
                <w:shd w:val="clear" w:color="auto" w:fill="FFFFFF"/>
              </w:rPr>
              <w:t>ypes</w:t>
            </w:r>
          </w:p>
        </w:tc>
        <w:tc>
          <w:tcPr>
            <w:tcW w:w="1134" w:type="dxa"/>
            <w:tcBorders>
              <w:top w:val="single" w:sz="8" w:space="0" w:color="auto"/>
              <w:bottom w:val="single" w:sz="4" w:space="0" w:color="auto"/>
            </w:tcBorders>
            <w:vAlign w:val="center"/>
          </w:tcPr>
          <w:p w:rsidR="00405845" w:rsidRPr="00BD3134" w:rsidRDefault="00405845" w:rsidP="00732979">
            <w:pPr>
              <w:spacing w:line="240" w:lineRule="auto"/>
              <w:jc w:val="center"/>
              <w:rPr>
                <w:rFonts w:eastAsia="宋体"/>
                <w:b/>
                <w:sz w:val="20"/>
                <w:szCs w:val="20"/>
                <w:shd w:val="clear" w:color="auto" w:fill="FFFFFF"/>
              </w:rPr>
            </w:pPr>
            <w:r w:rsidRPr="00BD3134">
              <w:rPr>
                <w:rFonts w:eastAsia="宋体" w:hint="eastAsia"/>
                <w:b/>
                <w:sz w:val="20"/>
                <w:szCs w:val="20"/>
                <w:shd w:val="clear" w:color="auto" w:fill="FFFFFF"/>
              </w:rPr>
              <w:t>V</w:t>
            </w:r>
            <w:r w:rsidRPr="00BD3134">
              <w:rPr>
                <w:rFonts w:eastAsia="宋体"/>
                <w:b/>
                <w:sz w:val="20"/>
                <w:szCs w:val="20"/>
                <w:shd w:val="clear" w:color="auto" w:fill="FFFFFF"/>
              </w:rPr>
              <w:t>alue</w:t>
            </w:r>
          </w:p>
        </w:tc>
      </w:tr>
      <w:tr w:rsidR="00405845" w:rsidRPr="00BD3134" w:rsidTr="00732979">
        <w:trPr>
          <w:trHeight w:val="285"/>
          <w:jc w:val="center"/>
        </w:trPr>
        <w:tc>
          <w:tcPr>
            <w:tcW w:w="1842" w:type="dxa"/>
            <w:vMerge w:val="restart"/>
            <w:tcBorders>
              <w:top w:val="single" w:sz="4" w:space="0" w:color="auto"/>
            </w:tcBorders>
            <w:vAlign w:val="center"/>
          </w:tcPr>
          <w:p w:rsidR="00405845" w:rsidRPr="00BD3134" w:rsidRDefault="00405845" w:rsidP="00732979">
            <w:pPr>
              <w:spacing w:line="240" w:lineRule="auto"/>
              <w:rPr>
                <w:rFonts w:eastAsia="宋体"/>
                <w:color w:val="000000" w:themeColor="text1"/>
                <w:sz w:val="20"/>
                <w:szCs w:val="20"/>
              </w:rPr>
            </w:pPr>
            <w:r w:rsidRPr="00BD3134">
              <w:rPr>
                <w:b/>
                <w:bCs/>
                <w:color w:val="000000" w:themeColor="text1"/>
                <w:sz w:val="20"/>
                <w:szCs w:val="20"/>
              </w:rPr>
              <w:t>Degree</w:t>
            </w:r>
          </w:p>
        </w:tc>
        <w:tc>
          <w:tcPr>
            <w:tcW w:w="3403" w:type="dxa"/>
            <w:tcBorders>
              <w:top w:val="single" w:sz="4" w:space="0" w:color="auto"/>
            </w:tcBorders>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Carbon emissions</w:t>
            </w:r>
          </w:p>
        </w:tc>
        <w:tc>
          <w:tcPr>
            <w:tcW w:w="992" w:type="dxa"/>
            <w:tcBorders>
              <w:top w:val="single" w:sz="4" w:space="0" w:color="auto"/>
            </w:tcBorders>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tcBorders>
              <w:top w:val="single" w:sz="4" w:space="0" w:color="auto"/>
            </w:tcBorders>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47</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rPr>
                <w:rFonts w:eastAsia="宋体"/>
                <w:b/>
                <w:sz w:val="20"/>
                <w:szCs w:val="20"/>
                <w:shd w:val="clear" w:color="auto" w:fill="FFFFFF"/>
              </w:rPr>
            </w:pPr>
          </w:p>
        </w:tc>
        <w:tc>
          <w:tcPr>
            <w:tcW w:w="3403" w:type="dxa"/>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carbon tax</w:t>
            </w:r>
          </w:p>
        </w:tc>
        <w:tc>
          <w:tcPr>
            <w:tcW w:w="992" w:type="dxa"/>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Policy</w:t>
            </w:r>
          </w:p>
        </w:tc>
        <w:tc>
          <w:tcPr>
            <w:tcW w:w="1134" w:type="dxa"/>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47</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rPr>
                <w:rFonts w:eastAsia="宋体"/>
                <w:b/>
                <w:sz w:val="20"/>
                <w:szCs w:val="20"/>
                <w:shd w:val="clear" w:color="auto" w:fill="FFFFFF"/>
              </w:rPr>
            </w:pPr>
          </w:p>
        </w:tc>
        <w:tc>
          <w:tcPr>
            <w:tcW w:w="3403" w:type="dxa"/>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Emissions Trading Scheme (ETS)</w:t>
            </w:r>
          </w:p>
        </w:tc>
        <w:tc>
          <w:tcPr>
            <w:tcW w:w="992" w:type="dxa"/>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Policy</w:t>
            </w:r>
          </w:p>
        </w:tc>
        <w:tc>
          <w:tcPr>
            <w:tcW w:w="1134" w:type="dxa"/>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29</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rPr>
                <w:rFonts w:eastAsia="宋体"/>
                <w:b/>
                <w:sz w:val="20"/>
                <w:szCs w:val="20"/>
                <w:shd w:val="clear" w:color="auto" w:fill="FFFFFF"/>
              </w:rPr>
            </w:pPr>
          </w:p>
        </w:tc>
        <w:tc>
          <w:tcPr>
            <w:tcW w:w="3403" w:type="dxa"/>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renewable energy market share</w:t>
            </w:r>
          </w:p>
        </w:tc>
        <w:tc>
          <w:tcPr>
            <w:tcW w:w="992" w:type="dxa"/>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23</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rPr>
                <w:rFonts w:eastAsia="宋体"/>
                <w:b/>
                <w:sz w:val="20"/>
                <w:szCs w:val="20"/>
                <w:shd w:val="clear" w:color="auto" w:fill="FFFFFF"/>
              </w:rPr>
            </w:pPr>
          </w:p>
        </w:tc>
        <w:tc>
          <w:tcPr>
            <w:tcW w:w="3403" w:type="dxa"/>
            <w:tcBorders>
              <w:bottom w:val="single" w:sz="4" w:space="0" w:color="auto"/>
            </w:tcBorders>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electricity price</w:t>
            </w:r>
          </w:p>
        </w:tc>
        <w:tc>
          <w:tcPr>
            <w:tcW w:w="992" w:type="dxa"/>
            <w:tcBorders>
              <w:bottom w:val="single" w:sz="4" w:space="0" w:color="auto"/>
            </w:tcBorders>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tcBorders>
              <w:bottom w:val="single" w:sz="4" w:space="0" w:color="auto"/>
            </w:tcBorders>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20</w:t>
            </w:r>
          </w:p>
        </w:tc>
      </w:tr>
      <w:tr w:rsidR="00405845" w:rsidRPr="00BD3134" w:rsidTr="00732979">
        <w:trPr>
          <w:trHeight w:val="285"/>
          <w:jc w:val="center"/>
        </w:trPr>
        <w:tc>
          <w:tcPr>
            <w:tcW w:w="1842" w:type="dxa"/>
            <w:vMerge w:val="restart"/>
            <w:vAlign w:val="center"/>
          </w:tcPr>
          <w:p w:rsidR="00405845" w:rsidRPr="00BD3134" w:rsidRDefault="00405845" w:rsidP="00732979">
            <w:pPr>
              <w:spacing w:line="240" w:lineRule="auto"/>
              <w:rPr>
                <w:rFonts w:eastAsia="宋体"/>
                <w:color w:val="000000" w:themeColor="text1"/>
                <w:sz w:val="20"/>
                <w:szCs w:val="20"/>
              </w:rPr>
            </w:pPr>
            <w:r w:rsidRPr="00BD3134">
              <w:rPr>
                <w:b/>
                <w:bCs/>
                <w:color w:val="000000" w:themeColor="text1"/>
                <w:sz w:val="20"/>
                <w:szCs w:val="20"/>
              </w:rPr>
              <w:t>In-degree</w:t>
            </w:r>
          </w:p>
        </w:tc>
        <w:tc>
          <w:tcPr>
            <w:tcW w:w="3403" w:type="dxa"/>
            <w:tcBorders>
              <w:top w:val="single" w:sz="4" w:space="0" w:color="auto"/>
            </w:tcBorders>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Carbon emissions</w:t>
            </w:r>
          </w:p>
        </w:tc>
        <w:tc>
          <w:tcPr>
            <w:tcW w:w="992" w:type="dxa"/>
            <w:tcBorders>
              <w:top w:val="single" w:sz="4" w:space="0" w:color="auto"/>
            </w:tcBorders>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tcBorders>
              <w:top w:val="single" w:sz="4" w:space="0" w:color="auto"/>
            </w:tcBorders>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44</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rPr>
                <w:rFonts w:eastAsia="宋体"/>
                <w:b/>
                <w:sz w:val="20"/>
                <w:szCs w:val="20"/>
                <w:shd w:val="clear" w:color="auto" w:fill="FFFFFF"/>
              </w:rPr>
            </w:pPr>
          </w:p>
        </w:tc>
        <w:tc>
          <w:tcPr>
            <w:tcW w:w="3403" w:type="dxa"/>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thermal power market share</w:t>
            </w:r>
          </w:p>
        </w:tc>
        <w:tc>
          <w:tcPr>
            <w:tcW w:w="992" w:type="dxa"/>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14</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rPr>
                <w:rFonts w:eastAsia="宋体"/>
                <w:b/>
                <w:sz w:val="20"/>
                <w:szCs w:val="20"/>
                <w:shd w:val="clear" w:color="auto" w:fill="FFFFFF"/>
              </w:rPr>
            </w:pPr>
          </w:p>
        </w:tc>
        <w:tc>
          <w:tcPr>
            <w:tcW w:w="3403" w:type="dxa"/>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GDP</w:t>
            </w:r>
          </w:p>
        </w:tc>
        <w:tc>
          <w:tcPr>
            <w:tcW w:w="992" w:type="dxa"/>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13</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rPr>
                <w:rFonts w:eastAsia="宋体"/>
                <w:b/>
                <w:sz w:val="20"/>
                <w:szCs w:val="20"/>
                <w:shd w:val="clear" w:color="auto" w:fill="FFFFFF"/>
              </w:rPr>
            </w:pPr>
          </w:p>
        </w:tc>
        <w:tc>
          <w:tcPr>
            <w:tcW w:w="3403" w:type="dxa"/>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renewable energy market share</w:t>
            </w:r>
          </w:p>
        </w:tc>
        <w:tc>
          <w:tcPr>
            <w:tcW w:w="992" w:type="dxa"/>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12</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rPr>
                <w:rFonts w:eastAsia="宋体"/>
                <w:b/>
                <w:sz w:val="20"/>
                <w:szCs w:val="20"/>
                <w:shd w:val="clear" w:color="auto" w:fill="FFFFFF"/>
              </w:rPr>
            </w:pPr>
          </w:p>
        </w:tc>
        <w:tc>
          <w:tcPr>
            <w:tcW w:w="3403" w:type="dxa"/>
            <w:tcBorders>
              <w:bottom w:val="single" w:sz="4" w:space="0" w:color="auto"/>
            </w:tcBorders>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electricity price</w:t>
            </w:r>
          </w:p>
        </w:tc>
        <w:tc>
          <w:tcPr>
            <w:tcW w:w="992" w:type="dxa"/>
            <w:tcBorders>
              <w:bottom w:val="single" w:sz="4" w:space="0" w:color="auto"/>
            </w:tcBorders>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tcBorders>
              <w:bottom w:val="single" w:sz="4" w:space="0" w:color="auto"/>
            </w:tcBorders>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12</w:t>
            </w:r>
          </w:p>
        </w:tc>
      </w:tr>
      <w:tr w:rsidR="00405845" w:rsidRPr="00BD3134" w:rsidTr="00732979">
        <w:trPr>
          <w:trHeight w:val="285"/>
          <w:jc w:val="center"/>
        </w:trPr>
        <w:tc>
          <w:tcPr>
            <w:tcW w:w="1842" w:type="dxa"/>
            <w:vMerge w:val="restart"/>
            <w:vAlign w:val="center"/>
          </w:tcPr>
          <w:p w:rsidR="00405845" w:rsidRPr="00BD3134" w:rsidRDefault="00405845" w:rsidP="00732979">
            <w:pPr>
              <w:spacing w:line="240" w:lineRule="auto"/>
              <w:rPr>
                <w:rFonts w:eastAsia="宋体"/>
                <w:color w:val="000000" w:themeColor="text1"/>
                <w:sz w:val="20"/>
                <w:szCs w:val="20"/>
              </w:rPr>
            </w:pPr>
            <w:r w:rsidRPr="00BD3134">
              <w:rPr>
                <w:b/>
                <w:bCs/>
                <w:color w:val="000000" w:themeColor="text1"/>
                <w:sz w:val="20"/>
                <w:szCs w:val="20"/>
              </w:rPr>
              <w:t>Out-degree</w:t>
            </w:r>
          </w:p>
        </w:tc>
        <w:tc>
          <w:tcPr>
            <w:tcW w:w="3403" w:type="dxa"/>
            <w:tcBorders>
              <w:top w:val="single" w:sz="4" w:space="0" w:color="auto"/>
            </w:tcBorders>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Carbon tax</w:t>
            </w:r>
          </w:p>
        </w:tc>
        <w:tc>
          <w:tcPr>
            <w:tcW w:w="992" w:type="dxa"/>
            <w:tcBorders>
              <w:top w:val="single" w:sz="4" w:space="0" w:color="auto"/>
            </w:tcBorders>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Policy</w:t>
            </w:r>
          </w:p>
        </w:tc>
        <w:tc>
          <w:tcPr>
            <w:tcW w:w="1134" w:type="dxa"/>
            <w:tcBorders>
              <w:top w:val="single" w:sz="4" w:space="0" w:color="auto"/>
            </w:tcBorders>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44</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rPr>
                <w:rFonts w:eastAsia="宋体"/>
                <w:b/>
                <w:sz w:val="20"/>
                <w:szCs w:val="20"/>
                <w:shd w:val="clear" w:color="auto" w:fill="FFFFFF"/>
              </w:rPr>
            </w:pPr>
          </w:p>
        </w:tc>
        <w:tc>
          <w:tcPr>
            <w:tcW w:w="3403" w:type="dxa"/>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ETS</w:t>
            </w:r>
          </w:p>
        </w:tc>
        <w:tc>
          <w:tcPr>
            <w:tcW w:w="992" w:type="dxa"/>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Policy</w:t>
            </w:r>
          </w:p>
        </w:tc>
        <w:tc>
          <w:tcPr>
            <w:tcW w:w="1134" w:type="dxa"/>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24</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rPr>
                <w:rFonts w:eastAsia="宋体"/>
                <w:b/>
                <w:sz w:val="20"/>
                <w:szCs w:val="20"/>
                <w:shd w:val="clear" w:color="auto" w:fill="FFFFFF"/>
              </w:rPr>
            </w:pPr>
          </w:p>
        </w:tc>
        <w:tc>
          <w:tcPr>
            <w:tcW w:w="3403" w:type="dxa"/>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Subsidy</w:t>
            </w:r>
          </w:p>
        </w:tc>
        <w:tc>
          <w:tcPr>
            <w:tcW w:w="992" w:type="dxa"/>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Policy</w:t>
            </w:r>
          </w:p>
        </w:tc>
        <w:tc>
          <w:tcPr>
            <w:tcW w:w="1134" w:type="dxa"/>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16</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rPr>
                <w:rFonts w:eastAsia="宋体"/>
                <w:b/>
                <w:sz w:val="20"/>
                <w:szCs w:val="20"/>
                <w:shd w:val="clear" w:color="auto" w:fill="FFFFFF"/>
              </w:rPr>
            </w:pPr>
          </w:p>
        </w:tc>
        <w:tc>
          <w:tcPr>
            <w:tcW w:w="3403" w:type="dxa"/>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renewable energy market share</w:t>
            </w:r>
          </w:p>
        </w:tc>
        <w:tc>
          <w:tcPr>
            <w:tcW w:w="992" w:type="dxa"/>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11</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rPr>
                <w:rFonts w:eastAsia="宋体"/>
                <w:b/>
                <w:sz w:val="20"/>
                <w:szCs w:val="20"/>
                <w:shd w:val="clear" w:color="auto" w:fill="FFFFFF"/>
              </w:rPr>
            </w:pPr>
          </w:p>
        </w:tc>
        <w:tc>
          <w:tcPr>
            <w:tcW w:w="3403" w:type="dxa"/>
            <w:tcBorders>
              <w:bottom w:val="single" w:sz="4" w:space="0" w:color="auto"/>
            </w:tcBorders>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 xml:space="preserve">learning-by-doing (LBD) </w:t>
            </w:r>
          </w:p>
        </w:tc>
        <w:tc>
          <w:tcPr>
            <w:tcW w:w="992" w:type="dxa"/>
            <w:tcBorders>
              <w:bottom w:val="single" w:sz="4" w:space="0" w:color="auto"/>
            </w:tcBorders>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tcBorders>
              <w:bottom w:val="single" w:sz="4" w:space="0" w:color="auto"/>
            </w:tcBorders>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9</w:t>
            </w:r>
          </w:p>
        </w:tc>
      </w:tr>
      <w:tr w:rsidR="00405845" w:rsidRPr="00BD3134" w:rsidTr="00732979">
        <w:trPr>
          <w:trHeight w:val="285"/>
          <w:jc w:val="center"/>
        </w:trPr>
        <w:tc>
          <w:tcPr>
            <w:tcW w:w="1842" w:type="dxa"/>
            <w:vMerge w:val="restart"/>
            <w:vAlign w:val="center"/>
          </w:tcPr>
          <w:p w:rsidR="00405845" w:rsidRPr="00BD3134" w:rsidRDefault="00405845" w:rsidP="00732979">
            <w:pPr>
              <w:spacing w:line="240" w:lineRule="auto"/>
              <w:rPr>
                <w:rFonts w:eastAsia="宋体"/>
                <w:color w:val="000000" w:themeColor="text1"/>
                <w:sz w:val="20"/>
                <w:szCs w:val="20"/>
              </w:rPr>
            </w:pPr>
            <w:r w:rsidRPr="00BD3134">
              <w:rPr>
                <w:b/>
                <w:bCs/>
                <w:color w:val="000000" w:themeColor="text1"/>
                <w:sz w:val="20"/>
                <w:szCs w:val="20"/>
              </w:rPr>
              <w:t>Closeness centrality</w:t>
            </w:r>
          </w:p>
        </w:tc>
        <w:tc>
          <w:tcPr>
            <w:tcW w:w="3403" w:type="dxa"/>
            <w:tcBorders>
              <w:top w:val="single" w:sz="4" w:space="0" w:color="auto"/>
            </w:tcBorders>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Public health</w:t>
            </w:r>
          </w:p>
        </w:tc>
        <w:tc>
          <w:tcPr>
            <w:tcW w:w="992" w:type="dxa"/>
            <w:tcBorders>
              <w:top w:val="single" w:sz="4" w:space="0" w:color="auto"/>
            </w:tcBorders>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tcBorders>
              <w:top w:val="single" w:sz="4" w:space="0" w:color="auto"/>
            </w:tcBorders>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1</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rPr>
                <w:rFonts w:eastAsia="宋体"/>
                <w:b/>
                <w:sz w:val="20"/>
                <w:szCs w:val="20"/>
                <w:shd w:val="clear" w:color="auto" w:fill="FFFFFF"/>
              </w:rPr>
            </w:pPr>
          </w:p>
        </w:tc>
        <w:tc>
          <w:tcPr>
            <w:tcW w:w="3403" w:type="dxa"/>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regulated market</w:t>
            </w:r>
          </w:p>
        </w:tc>
        <w:tc>
          <w:tcPr>
            <w:tcW w:w="992" w:type="dxa"/>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1</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rPr>
                <w:rFonts w:eastAsia="宋体"/>
                <w:b/>
                <w:sz w:val="20"/>
                <w:szCs w:val="20"/>
                <w:shd w:val="clear" w:color="auto" w:fill="FFFFFF"/>
              </w:rPr>
            </w:pPr>
          </w:p>
        </w:tc>
        <w:tc>
          <w:tcPr>
            <w:tcW w:w="3403" w:type="dxa"/>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carbon emissions</w:t>
            </w:r>
          </w:p>
        </w:tc>
        <w:tc>
          <w:tcPr>
            <w:tcW w:w="992" w:type="dxa"/>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0.8</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rPr>
                <w:rFonts w:eastAsia="宋体"/>
                <w:b/>
                <w:sz w:val="20"/>
                <w:szCs w:val="20"/>
                <w:shd w:val="clear" w:color="auto" w:fill="FFFFFF"/>
              </w:rPr>
            </w:pPr>
          </w:p>
        </w:tc>
        <w:tc>
          <w:tcPr>
            <w:tcW w:w="3403" w:type="dxa"/>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carbon tax</w:t>
            </w:r>
          </w:p>
        </w:tc>
        <w:tc>
          <w:tcPr>
            <w:tcW w:w="992" w:type="dxa"/>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Policy</w:t>
            </w:r>
          </w:p>
        </w:tc>
        <w:tc>
          <w:tcPr>
            <w:tcW w:w="1134" w:type="dxa"/>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0.670213</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rPr>
                <w:rFonts w:eastAsia="宋体"/>
                <w:b/>
                <w:sz w:val="20"/>
                <w:szCs w:val="20"/>
                <w:shd w:val="clear" w:color="auto" w:fill="FFFFFF"/>
              </w:rPr>
            </w:pPr>
          </w:p>
        </w:tc>
        <w:tc>
          <w:tcPr>
            <w:tcW w:w="3403" w:type="dxa"/>
            <w:tcBorders>
              <w:bottom w:val="single" w:sz="4" w:space="0" w:color="auto"/>
            </w:tcBorders>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air pollution/bioenergy/land use</w:t>
            </w:r>
          </w:p>
        </w:tc>
        <w:tc>
          <w:tcPr>
            <w:tcW w:w="992" w:type="dxa"/>
            <w:tcBorders>
              <w:bottom w:val="single" w:sz="4" w:space="0" w:color="auto"/>
            </w:tcBorders>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tcBorders>
              <w:bottom w:val="single" w:sz="4" w:space="0" w:color="auto"/>
            </w:tcBorders>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0.666667</w:t>
            </w:r>
          </w:p>
        </w:tc>
      </w:tr>
      <w:tr w:rsidR="00405845" w:rsidRPr="00BD3134" w:rsidTr="00732979">
        <w:trPr>
          <w:trHeight w:val="285"/>
          <w:jc w:val="center"/>
        </w:trPr>
        <w:tc>
          <w:tcPr>
            <w:tcW w:w="1842" w:type="dxa"/>
            <w:vMerge w:val="restart"/>
            <w:vAlign w:val="center"/>
          </w:tcPr>
          <w:p w:rsidR="00405845" w:rsidRPr="00BD3134" w:rsidRDefault="00405845" w:rsidP="00732979">
            <w:pPr>
              <w:spacing w:line="240" w:lineRule="auto"/>
              <w:rPr>
                <w:rFonts w:eastAsia="宋体"/>
                <w:b/>
                <w:sz w:val="20"/>
                <w:szCs w:val="20"/>
                <w:shd w:val="clear" w:color="auto" w:fill="FFFFFF"/>
              </w:rPr>
            </w:pPr>
            <w:proofErr w:type="spellStart"/>
            <w:r w:rsidRPr="00BD3134">
              <w:rPr>
                <w:b/>
                <w:bCs/>
                <w:color w:val="000000" w:themeColor="text1"/>
                <w:sz w:val="20"/>
                <w:szCs w:val="20"/>
              </w:rPr>
              <w:t>Between</w:t>
            </w:r>
            <w:r w:rsidRPr="00BD3134">
              <w:rPr>
                <w:rFonts w:hint="eastAsia"/>
                <w:b/>
                <w:bCs/>
                <w:color w:val="000000" w:themeColor="text1"/>
                <w:sz w:val="20"/>
                <w:szCs w:val="20"/>
              </w:rPr>
              <w:t>n</w:t>
            </w:r>
            <w:r w:rsidRPr="00BD3134">
              <w:rPr>
                <w:b/>
                <w:bCs/>
                <w:color w:val="000000" w:themeColor="text1"/>
                <w:sz w:val="20"/>
                <w:szCs w:val="20"/>
              </w:rPr>
              <w:t>ess</w:t>
            </w:r>
            <w:proofErr w:type="spellEnd"/>
            <w:r w:rsidRPr="00BD3134">
              <w:rPr>
                <w:b/>
                <w:bCs/>
                <w:color w:val="000000" w:themeColor="text1"/>
                <w:sz w:val="20"/>
                <w:szCs w:val="20"/>
              </w:rPr>
              <w:t xml:space="preserve"> centrality</w:t>
            </w:r>
          </w:p>
        </w:tc>
        <w:tc>
          <w:tcPr>
            <w:tcW w:w="3403" w:type="dxa"/>
            <w:tcBorders>
              <w:top w:val="single" w:sz="4" w:space="0" w:color="auto"/>
            </w:tcBorders>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Carbon tax</w:t>
            </w:r>
          </w:p>
        </w:tc>
        <w:tc>
          <w:tcPr>
            <w:tcW w:w="992" w:type="dxa"/>
            <w:tcBorders>
              <w:top w:val="single" w:sz="4" w:space="0" w:color="auto"/>
            </w:tcBorders>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Policy</w:t>
            </w:r>
          </w:p>
        </w:tc>
        <w:tc>
          <w:tcPr>
            <w:tcW w:w="1134" w:type="dxa"/>
            <w:tcBorders>
              <w:top w:val="single" w:sz="4" w:space="0" w:color="auto"/>
            </w:tcBorders>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1476.041</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jc w:val="center"/>
              <w:rPr>
                <w:rFonts w:eastAsia="宋体"/>
                <w:b/>
                <w:sz w:val="20"/>
                <w:szCs w:val="20"/>
                <w:shd w:val="clear" w:color="auto" w:fill="FFFFFF"/>
              </w:rPr>
            </w:pPr>
          </w:p>
        </w:tc>
        <w:tc>
          <w:tcPr>
            <w:tcW w:w="3403" w:type="dxa"/>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electricity price</w:t>
            </w:r>
          </w:p>
        </w:tc>
        <w:tc>
          <w:tcPr>
            <w:tcW w:w="992" w:type="dxa"/>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1254.938</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jc w:val="center"/>
              <w:rPr>
                <w:rFonts w:eastAsia="宋体"/>
                <w:b/>
                <w:sz w:val="20"/>
                <w:szCs w:val="20"/>
                <w:shd w:val="clear" w:color="auto" w:fill="FFFFFF"/>
              </w:rPr>
            </w:pPr>
          </w:p>
        </w:tc>
        <w:tc>
          <w:tcPr>
            <w:tcW w:w="3403" w:type="dxa"/>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ETS</w:t>
            </w:r>
          </w:p>
        </w:tc>
        <w:tc>
          <w:tcPr>
            <w:tcW w:w="992" w:type="dxa"/>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Policy</w:t>
            </w:r>
          </w:p>
        </w:tc>
        <w:tc>
          <w:tcPr>
            <w:tcW w:w="1134" w:type="dxa"/>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726.738</w:t>
            </w:r>
          </w:p>
        </w:tc>
      </w:tr>
      <w:tr w:rsidR="00405845" w:rsidRPr="00BD3134" w:rsidTr="00732979">
        <w:trPr>
          <w:trHeight w:val="282"/>
          <w:jc w:val="center"/>
        </w:trPr>
        <w:tc>
          <w:tcPr>
            <w:tcW w:w="1842" w:type="dxa"/>
            <w:vMerge/>
            <w:vAlign w:val="center"/>
          </w:tcPr>
          <w:p w:rsidR="00405845" w:rsidRPr="00BD3134" w:rsidRDefault="00405845" w:rsidP="00732979">
            <w:pPr>
              <w:spacing w:line="240" w:lineRule="auto"/>
              <w:jc w:val="center"/>
              <w:rPr>
                <w:rFonts w:eastAsia="宋体"/>
                <w:b/>
                <w:sz w:val="20"/>
                <w:szCs w:val="20"/>
                <w:shd w:val="clear" w:color="auto" w:fill="FFFFFF"/>
              </w:rPr>
            </w:pPr>
          </w:p>
        </w:tc>
        <w:tc>
          <w:tcPr>
            <w:tcW w:w="3403" w:type="dxa"/>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renewable energy market share</w:t>
            </w:r>
          </w:p>
        </w:tc>
        <w:tc>
          <w:tcPr>
            <w:tcW w:w="992" w:type="dxa"/>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698.3742</w:t>
            </w:r>
          </w:p>
        </w:tc>
      </w:tr>
      <w:tr w:rsidR="00405845" w:rsidRPr="00BD3134" w:rsidTr="00732979">
        <w:trPr>
          <w:trHeight w:val="282"/>
          <w:jc w:val="center"/>
        </w:trPr>
        <w:tc>
          <w:tcPr>
            <w:tcW w:w="1842" w:type="dxa"/>
            <w:vMerge/>
            <w:tcBorders>
              <w:bottom w:val="single" w:sz="8" w:space="0" w:color="auto"/>
            </w:tcBorders>
            <w:vAlign w:val="center"/>
          </w:tcPr>
          <w:p w:rsidR="00405845" w:rsidRPr="00BD3134" w:rsidRDefault="00405845" w:rsidP="00732979">
            <w:pPr>
              <w:spacing w:line="240" w:lineRule="auto"/>
              <w:jc w:val="center"/>
              <w:rPr>
                <w:rFonts w:eastAsia="宋体"/>
                <w:b/>
                <w:sz w:val="20"/>
                <w:szCs w:val="20"/>
                <w:shd w:val="clear" w:color="auto" w:fill="FFFFFF"/>
              </w:rPr>
            </w:pPr>
          </w:p>
        </w:tc>
        <w:tc>
          <w:tcPr>
            <w:tcW w:w="3403" w:type="dxa"/>
            <w:tcBorders>
              <w:bottom w:val="single" w:sz="8" w:space="0" w:color="auto"/>
            </w:tcBorders>
            <w:vAlign w:val="center"/>
          </w:tcPr>
          <w:p w:rsidR="00405845" w:rsidRPr="00BD3134" w:rsidRDefault="00405845" w:rsidP="00732979">
            <w:pPr>
              <w:spacing w:line="240" w:lineRule="auto"/>
              <w:rPr>
                <w:rFonts w:eastAsia="宋体"/>
                <w:color w:val="000000" w:themeColor="text1"/>
                <w:sz w:val="20"/>
                <w:szCs w:val="20"/>
              </w:rPr>
            </w:pPr>
            <w:r w:rsidRPr="00BD3134">
              <w:rPr>
                <w:rFonts w:eastAsia="宋体"/>
                <w:color w:val="000000" w:themeColor="text1"/>
                <w:sz w:val="20"/>
                <w:szCs w:val="20"/>
              </w:rPr>
              <w:t>GDP</w:t>
            </w:r>
          </w:p>
        </w:tc>
        <w:tc>
          <w:tcPr>
            <w:tcW w:w="992" w:type="dxa"/>
            <w:tcBorders>
              <w:bottom w:val="single" w:sz="8" w:space="0" w:color="auto"/>
            </w:tcBorders>
          </w:tcPr>
          <w:p w:rsidR="00405845" w:rsidRPr="00BD3134" w:rsidRDefault="00405845" w:rsidP="00732979">
            <w:pPr>
              <w:spacing w:line="240" w:lineRule="auto"/>
              <w:jc w:val="center"/>
              <w:rPr>
                <w:rFonts w:eastAsia="宋体"/>
                <w:color w:val="000000" w:themeColor="text1"/>
                <w:sz w:val="20"/>
                <w:szCs w:val="20"/>
              </w:rPr>
            </w:pPr>
            <w:r w:rsidRPr="00BD3134">
              <w:rPr>
                <w:rFonts w:eastAsia="宋体" w:hint="eastAsia"/>
                <w:color w:val="000000" w:themeColor="text1"/>
                <w:sz w:val="20"/>
                <w:szCs w:val="20"/>
              </w:rPr>
              <w:t>Factor</w:t>
            </w:r>
          </w:p>
        </w:tc>
        <w:tc>
          <w:tcPr>
            <w:tcW w:w="1134" w:type="dxa"/>
            <w:tcBorders>
              <w:bottom w:val="single" w:sz="8" w:space="0" w:color="auto"/>
            </w:tcBorders>
            <w:vAlign w:val="center"/>
          </w:tcPr>
          <w:p w:rsidR="00405845" w:rsidRPr="00BD3134" w:rsidRDefault="00405845" w:rsidP="00732979">
            <w:pPr>
              <w:spacing w:line="240" w:lineRule="auto"/>
              <w:jc w:val="center"/>
              <w:rPr>
                <w:rFonts w:eastAsia="宋体"/>
                <w:color w:val="000000" w:themeColor="text1"/>
                <w:sz w:val="20"/>
                <w:szCs w:val="20"/>
              </w:rPr>
            </w:pPr>
            <w:r w:rsidRPr="00BD3134">
              <w:rPr>
                <w:rFonts w:eastAsia="宋体"/>
                <w:color w:val="000000" w:themeColor="text1"/>
                <w:sz w:val="20"/>
                <w:szCs w:val="20"/>
              </w:rPr>
              <w:t>678.0269</w:t>
            </w:r>
          </w:p>
        </w:tc>
      </w:tr>
    </w:tbl>
    <w:p w:rsidR="00405845" w:rsidRPr="00711B8C" w:rsidRDefault="00405845" w:rsidP="00405845">
      <w:pPr>
        <w:pStyle w:val="2"/>
        <w:spacing w:before="0" w:after="0" w:line="240" w:lineRule="auto"/>
        <w:rPr>
          <w:rFonts w:ascii="Times New Roman" w:hAnsi="Times New Roman" w:cs="Times New Roman"/>
          <w:sz w:val="28"/>
          <w:szCs w:val="28"/>
        </w:rPr>
      </w:pPr>
      <w:r>
        <w:rPr>
          <w:rFonts w:ascii="Times New Roman" w:hAnsi="Times New Roman" w:cs="Times New Roman"/>
          <w:sz w:val="28"/>
          <w:szCs w:val="28"/>
        </w:rPr>
        <w:t>M</w:t>
      </w:r>
      <w:r w:rsidRPr="00711B8C">
        <w:rPr>
          <w:rFonts w:ascii="Times New Roman" w:hAnsi="Times New Roman" w:cs="Times New Roman"/>
          <w:sz w:val="28"/>
          <w:szCs w:val="28"/>
        </w:rPr>
        <w:t xml:space="preserve">utual degree </w:t>
      </w:r>
      <w:proofErr w:type="spellStart"/>
      <w:r w:rsidRPr="00711B8C">
        <w:rPr>
          <w:rFonts w:ascii="Times New Roman" w:hAnsi="Times New Roman" w:cs="Times New Roman"/>
          <w:sz w:val="28"/>
          <w:szCs w:val="28"/>
        </w:rPr>
        <w:t>submap</w:t>
      </w:r>
      <w:proofErr w:type="spellEnd"/>
      <w:r>
        <w:rPr>
          <w:rFonts w:ascii="Times New Roman" w:hAnsi="Times New Roman" w:cs="Times New Roman"/>
          <w:sz w:val="28"/>
          <w:szCs w:val="28"/>
        </w:rPr>
        <w:t xml:space="preserve"> analysis</w:t>
      </w:r>
    </w:p>
    <w:p w:rsidR="00711B8C" w:rsidRPr="00B138B5" w:rsidRDefault="00711B8C" w:rsidP="00711B8C">
      <w:pPr>
        <w:spacing w:beforeLines="50" w:before="156" w:afterLines="50" w:after="156" w:line="240" w:lineRule="auto"/>
        <w:ind w:firstLineChars="200" w:firstLine="420"/>
        <w:rPr>
          <w:sz w:val="21"/>
          <w:szCs w:val="24"/>
        </w:rPr>
      </w:pPr>
      <w:r w:rsidRPr="00B138B5">
        <w:rPr>
          <w:sz w:val="21"/>
          <w:szCs w:val="24"/>
        </w:rPr>
        <w:t xml:space="preserve">This </w:t>
      </w:r>
      <w:proofErr w:type="spellStart"/>
      <w:r w:rsidRPr="00B138B5">
        <w:rPr>
          <w:sz w:val="21"/>
          <w:szCs w:val="24"/>
        </w:rPr>
        <w:t>submap</w:t>
      </w:r>
      <w:proofErr w:type="spellEnd"/>
      <w:r w:rsidRPr="00B138B5">
        <w:rPr>
          <w:sz w:val="21"/>
          <w:szCs w:val="24"/>
        </w:rPr>
        <w:t xml:space="preserve"> reflects pairs of variables that exhibit interactions within the causal network, revealing potential feedback mechanisms and synergetic pathways</w:t>
      </w:r>
      <w:r w:rsidR="000A328F">
        <w:rPr>
          <w:sz w:val="21"/>
          <w:szCs w:val="24"/>
        </w:rPr>
        <w:t xml:space="preserve"> </w:t>
      </w:r>
      <w:r w:rsidR="000A328F" w:rsidRPr="005E2A1F">
        <w:rPr>
          <w:sz w:val="21"/>
        </w:rPr>
        <w:t>(Fig. A</w:t>
      </w:r>
      <w:r w:rsidR="000A328F">
        <w:rPr>
          <w:sz w:val="21"/>
        </w:rPr>
        <w:t>2</w:t>
      </w:r>
      <w:r w:rsidR="000A328F" w:rsidRPr="005E2A1F">
        <w:rPr>
          <w:sz w:val="21"/>
        </w:rPr>
        <w:t>)</w:t>
      </w:r>
      <w:r w:rsidRPr="00B138B5">
        <w:rPr>
          <w:sz w:val="21"/>
          <w:szCs w:val="24"/>
        </w:rPr>
        <w:t>. For example, there is a bidirectional positive relationship between renewable energy market share and technological innovation: the expansion of renewable energy capacity provides a broader space for testing and promoting new technologies, while technological innovation, by improving efficiency and reducing costs, in turn drives the growth in the share of renewable energy.</w:t>
      </w:r>
    </w:p>
    <w:p w:rsidR="00711B8C" w:rsidRDefault="007C0AFF" w:rsidP="00711B8C">
      <w:pPr>
        <w:jc w:val="center"/>
        <w:rPr>
          <w:color w:val="000000" w:themeColor="text1"/>
        </w:rPr>
      </w:pPr>
      <w:r>
        <w:rPr>
          <w:noProof/>
          <w:color w:val="000000" w:themeColor="text1"/>
        </w:rPr>
        <w:lastRenderedPageBreak/>
        <w:drawing>
          <wp:inline distT="0" distB="0" distL="0" distR="0" wp14:anchorId="7FBAFA52" wp14:editId="432229DA">
            <wp:extent cx="4380183" cy="3479800"/>
            <wp:effectExtent l="0" t="0" r="190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act-20250905.png"/>
                    <pic:cNvPicPr/>
                  </pic:nvPicPr>
                  <pic:blipFill rotWithShape="1">
                    <a:blip r:embed="rId38">
                      <a:extLst>
                        <a:ext uri="{28A0092B-C50C-407E-A947-70E740481C1C}">
                          <a14:useLocalDpi xmlns:a14="http://schemas.microsoft.com/office/drawing/2010/main" val="0"/>
                        </a:ext>
                      </a:extLst>
                    </a:blip>
                    <a:srcRect l="3215" t="12620" r="2947" b="12831"/>
                    <a:stretch/>
                  </pic:blipFill>
                  <pic:spPr bwMode="auto">
                    <a:xfrm>
                      <a:off x="0" y="0"/>
                      <a:ext cx="4382713" cy="3481810"/>
                    </a:xfrm>
                    <a:prstGeom prst="rect">
                      <a:avLst/>
                    </a:prstGeom>
                    <a:ln>
                      <a:noFill/>
                    </a:ln>
                    <a:extLst>
                      <a:ext uri="{53640926-AAD7-44D8-BBD7-CCE9431645EC}">
                        <a14:shadowObscured xmlns:a14="http://schemas.microsoft.com/office/drawing/2010/main"/>
                      </a:ext>
                    </a:extLst>
                  </pic:spPr>
                </pic:pic>
              </a:graphicData>
            </a:graphic>
          </wp:inline>
        </w:drawing>
      </w:r>
    </w:p>
    <w:p w:rsidR="00711B8C" w:rsidRPr="00711B8C" w:rsidRDefault="00711B8C" w:rsidP="00711B8C">
      <w:pPr>
        <w:spacing w:line="240" w:lineRule="auto"/>
        <w:jc w:val="center"/>
        <w:rPr>
          <w:color w:val="000000" w:themeColor="text1"/>
          <w:sz w:val="20"/>
        </w:rPr>
      </w:pPr>
      <w:r w:rsidRPr="00711B8C">
        <w:rPr>
          <w:rFonts w:hint="eastAsia"/>
          <w:b/>
          <w:color w:val="000000" w:themeColor="text1"/>
          <w:sz w:val="20"/>
        </w:rPr>
        <w:t>F</w:t>
      </w:r>
      <w:r w:rsidRPr="00711B8C">
        <w:rPr>
          <w:b/>
          <w:color w:val="000000" w:themeColor="text1"/>
          <w:sz w:val="20"/>
        </w:rPr>
        <w:t>ig. A2</w:t>
      </w:r>
      <w:r w:rsidRPr="00711B8C">
        <w:rPr>
          <w:color w:val="000000" w:themeColor="text1"/>
          <w:sz w:val="20"/>
        </w:rPr>
        <w:t xml:space="preserve"> Mutual degree </w:t>
      </w:r>
      <w:proofErr w:type="spellStart"/>
      <w:r w:rsidRPr="00711B8C">
        <w:rPr>
          <w:color w:val="000000" w:themeColor="text1"/>
          <w:sz w:val="20"/>
        </w:rPr>
        <w:t>submap</w:t>
      </w:r>
      <w:proofErr w:type="spellEnd"/>
      <w:r w:rsidRPr="00711B8C">
        <w:rPr>
          <w:color w:val="000000" w:themeColor="text1"/>
          <w:sz w:val="20"/>
        </w:rPr>
        <w:t xml:space="preserve">. The nodes in the </w:t>
      </w:r>
      <w:proofErr w:type="spellStart"/>
      <w:r w:rsidRPr="00711B8C">
        <w:rPr>
          <w:color w:val="000000" w:themeColor="text1"/>
          <w:sz w:val="20"/>
        </w:rPr>
        <w:t>submap</w:t>
      </w:r>
      <w:proofErr w:type="spellEnd"/>
      <w:r w:rsidRPr="00711B8C">
        <w:rPr>
          <w:color w:val="000000" w:themeColor="text1"/>
          <w:sz w:val="20"/>
        </w:rPr>
        <w:t xml:space="preserve"> all have interactions with one or more other nodes.</w:t>
      </w:r>
    </w:p>
    <w:p w:rsidR="002560F8" w:rsidRPr="00711B8C" w:rsidRDefault="002560F8" w:rsidP="002560F8">
      <w:pPr>
        <w:spacing w:line="240" w:lineRule="auto"/>
        <w:rPr>
          <w:color w:val="222222"/>
          <w:sz w:val="21"/>
          <w:szCs w:val="21"/>
        </w:rPr>
      </w:pPr>
    </w:p>
    <w:p w:rsidR="002560F8" w:rsidRPr="002560F8" w:rsidRDefault="002560F8" w:rsidP="002560F8">
      <w:pPr>
        <w:spacing w:line="240" w:lineRule="auto"/>
        <w:rPr>
          <w:color w:val="222222"/>
          <w:sz w:val="21"/>
          <w:szCs w:val="21"/>
        </w:rPr>
      </w:pPr>
    </w:p>
    <w:p w:rsidR="002560F8" w:rsidRPr="006B6707" w:rsidRDefault="002560F8" w:rsidP="002560F8">
      <w:pPr>
        <w:spacing w:line="240" w:lineRule="auto"/>
        <w:rPr>
          <w:rFonts w:eastAsia="Times New Roman"/>
          <w:sz w:val="20"/>
          <w:szCs w:val="20"/>
        </w:rPr>
      </w:pPr>
      <w:r w:rsidRPr="006B6707">
        <w:rPr>
          <w:rFonts w:eastAsia="Times New Roman"/>
          <w:color w:val="222222"/>
          <w:sz w:val="20"/>
          <w:szCs w:val="20"/>
        </w:rPr>
        <w:t xml:space="preserve">Feng T, Qu L, </w:t>
      </w:r>
      <w:proofErr w:type="spellStart"/>
      <w:r w:rsidRPr="006B6707">
        <w:rPr>
          <w:rFonts w:eastAsia="Times New Roman"/>
          <w:color w:val="222222"/>
          <w:sz w:val="20"/>
          <w:szCs w:val="20"/>
        </w:rPr>
        <w:t>Tandon</w:t>
      </w:r>
      <w:proofErr w:type="spellEnd"/>
      <w:r w:rsidRPr="006B6707">
        <w:rPr>
          <w:rFonts w:eastAsia="Times New Roman"/>
          <w:color w:val="222222"/>
          <w:sz w:val="20"/>
          <w:szCs w:val="20"/>
        </w:rPr>
        <w:t xml:space="preserve"> N et al. (2024) From pre-training corpora to large language models: What factors influence </w:t>
      </w:r>
      <w:proofErr w:type="spellStart"/>
      <w:r w:rsidRPr="006B6707">
        <w:rPr>
          <w:rFonts w:eastAsia="Times New Roman"/>
          <w:color w:val="222222"/>
          <w:sz w:val="20"/>
          <w:szCs w:val="20"/>
        </w:rPr>
        <w:t>llm</w:t>
      </w:r>
      <w:proofErr w:type="spellEnd"/>
      <w:r w:rsidRPr="006B6707">
        <w:rPr>
          <w:rFonts w:eastAsia="Times New Roman"/>
          <w:color w:val="222222"/>
          <w:sz w:val="20"/>
          <w:szCs w:val="20"/>
        </w:rPr>
        <w:t xml:space="preserve"> performance in causal discovery tasks? preprint at </w:t>
      </w:r>
      <w:proofErr w:type="spellStart"/>
      <w:r w:rsidRPr="006B6707">
        <w:rPr>
          <w:rFonts w:eastAsia="Times New Roman"/>
          <w:color w:val="222222"/>
          <w:sz w:val="20"/>
          <w:szCs w:val="20"/>
        </w:rPr>
        <w:t>arXiv</w:t>
      </w:r>
      <w:proofErr w:type="spellEnd"/>
      <w:r w:rsidRPr="006B6707">
        <w:rPr>
          <w:rFonts w:eastAsia="Times New Roman"/>
          <w:color w:val="222222"/>
          <w:sz w:val="20"/>
          <w:szCs w:val="20"/>
        </w:rPr>
        <w:t xml:space="preserve"> </w:t>
      </w:r>
      <w:hyperlink r:id="rId39">
        <w:r w:rsidRPr="006B6707">
          <w:rPr>
            <w:rStyle w:val="a8"/>
            <w:rFonts w:eastAsia="Times New Roman"/>
            <w:color w:val="0000FF"/>
            <w:sz w:val="20"/>
            <w:szCs w:val="20"/>
          </w:rPr>
          <w:t>https://doi.org/10.48550/arXiv.2407.19638</w:t>
        </w:r>
      </w:hyperlink>
    </w:p>
    <w:p w:rsidR="00980ABD" w:rsidRPr="002560F8" w:rsidRDefault="00980ABD" w:rsidP="0007058A"/>
    <w:sectPr w:rsidR="00980ABD" w:rsidRPr="002560F8" w:rsidSect="003B3F69">
      <w:footerReference w:type="default" r:id="rId40"/>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1D2" w:rsidRDefault="00FF51D2" w:rsidP="00980ABD">
      <w:pPr>
        <w:spacing w:line="240" w:lineRule="auto"/>
      </w:pPr>
      <w:r>
        <w:separator/>
      </w:r>
    </w:p>
  </w:endnote>
  <w:endnote w:type="continuationSeparator" w:id="0">
    <w:p w:rsidR="00FF51D2" w:rsidRDefault="00FF51D2" w:rsidP="00980A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7646645"/>
      <w:docPartObj>
        <w:docPartGallery w:val="Page Numbers (Bottom of Page)"/>
        <w:docPartUnique/>
      </w:docPartObj>
    </w:sdtPr>
    <w:sdtEndPr>
      <w:rPr>
        <w:rFonts w:ascii="Times New Roman" w:hAnsi="Times New Roman" w:cs="Times New Roman"/>
      </w:rPr>
    </w:sdtEndPr>
    <w:sdtContent>
      <w:p w:rsidR="00BD0983" w:rsidRPr="00BD0983" w:rsidRDefault="00BD0983" w:rsidP="00BD0983">
        <w:pPr>
          <w:pStyle w:val="a5"/>
          <w:jc w:val="center"/>
          <w:rPr>
            <w:rFonts w:ascii="Times New Roman" w:hAnsi="Times New Roman" w:cs="Times New Roman"/>
          </w:rPr>
        </w:pPr>
        <w:r w:rsidRPr="00BD0983">
          <w:rPr>
            <w:rFonts w:ascii="Times New Roman" w:hAnsi="Times New Roman" w:cs="Times New Roman"/>
          </w:rPr>
          <w:fldChar w:fldCharType="begin"/>
        </w:r>
        <w:r w:rsidRPr="00BD0983">
          <w:rPr>
            <w:rFonts w:ascii="Times New Roman" w:hAnsi="Times New Roman" w:cs="Times New Roman"/>
          </w:rPr>
          <w:instrText>PAGE   \* MERGEFORMAT</w:instrText>
        </w:r>
        <w:r w:rsidRPr="00BD0983">
          <w:rPr>
            <w:rFonts w:ascii="Times New Roman" w:hAnsi="Times New Roman" w:cs="Times New Roman"/>
          </w:rPr>
          <w:fldChar w:fldCharType="separate"/>
        </w:r>
        <w:r w:rsidR="006B6707" w:rsidRPr="006B6707">
          <w:rPr>
            <w:rFonts w:ascii="Times New Roman" w:hAnsi="Times New Roman" w:cs="Times New Roman"/>
            <w:noProof/>
            <w:lang w:val="zh-CN"/>
          </w:rPr>
          <w:t>8</w:t>
        </w:r>
        <w:r w:rsidRPr="00BD0983">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1D2" w:rsidRDefault="00FF51D2" w:rsidP="00980ABD">
      <w:pPr>
        <w:spacing w:line="240" w:lineRule="auto"/>
      </w:pPr>
      <w:r>
        <w:separator/>
      </w:r>
    </w:p>
  </w:footnote>
  <w:footnote w:type="continuationSeparator" w:id="0">
    <w:p w:rsidR="00FF51D2" w:rsidRDefault="00FF51D2" w:rsidP="00980AB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4F0B1"/>
    <w:multiLevelType w:val="hybridMultilevel"/>
    <w:tmpl w:val="D1E260CC"/>
    <w:lvl w:ilvl="0" w:tplc="CA54B062">
      <w:start w:val="1"/>
      <w:numFmt w:val="bullet"/>
      <w:lvlText w:val=""/>
      <w:lvlJc w:val="left"/>
      <w:pPr>
        <w:ind w:left="720" w:hanging="360"/>
      </w:pPr>
      <w:rPr>
        <w:rFonts w:ascii="Symbol" w:hAnsi="Symbol" w:hint="default"/>
      </w:rPr>
    </w:lvl>
    <w:lvl w:ilvl="1" w:tplc="4A786676">
      <w:start w:val="1"/>
      <w:numFmt w:val="bullet"/>
      <w:lvlText w:val="o"/>
      <w:lvlJc w:val="left"/>
      <w:pPr>
        <w:ind w:left="1440" w:hanging="360"/>
      </w:pPr>
      <w:rPr>
        <w:rFonts w:ascii="Courier New" w:hAnsi="Courier New" w:hint="default"/>
      </w:rPr>
    </w:lvl>
    <w:lvl w:ilvl="2" w:tplc="419AFC1A">
      <w:start w:val="1"/>
      <w:numFmt w:val="bullet"/>
      <w:lvlText w:val=""/>
      <w:lvlJc w:val="left"/>
      <w:pPr>
        <w:ind w:left="2160" w:hanging="360"/>
      </w:pPr>
      <w:rPr>
        <w:rFonts w:ascii="Wingdings" w:hAnsi="Wingdings" w:hint="default"/>
      </w:rPr>
    </w:lvl>
    <w:lvl w:ilvl="3" w:tplc="2D847706">
      <w:start w:val="1"/>
      <w:numFmt w:val="bullet"/>
      <w:lvlText w:val=""/>
      <w:lvlJc w:val="left"/>
      <w:pPr>
        <w:ind w:left="2880" w:hanging="360"/>
      </w:pPr>
      <w:rPr>
        <w:rFonts w:ascii="Symbol" w:hAnsi="Symbol" w:hint="default"/>
      </w:rPr>
    </w:lvl>
    <w:lvl w:ilvl="4" w:tplc="A60222D6">
      <w:start w:val="1"/>
      <w:numFmt w:val="bullet"/>
      <w:lvlText w:val="o"/>
      <w:lvlJc w:val="left"/>
      <w:pPr>
        <w:ind w:left="3600" w:hanging="360"/>
      </w:pPr>
      <w:rPr>
        <w:rFonts w:ascii="Courier New" w:hAnsi="Courier New" w:hint="default"/>
      </w:rPr>
    </w:lvl>
    <w:lvl w:ilvl="5" w:tplc="CB20402C">
      <w:start w:val="1"/>
      <w:numFmt w:val="bullet"/>
      <w:lvlText w:val=""/>
      <w:lvlJc w:val="left"/>
      <w:pPr>
        <w:ind w:left="4320" w:hanging="360"/>
      </w:pPr>
      <w:rPr>
        <w:rFonts w:ascii="Wingdings" w:hAnsi="Wingdings" w:hint="default"/>
      </w:rPr>
    </w:lvl>
    <w:lvl w:ilvl="6" w:tplc="57DADF64">
      <w:start w:val="1"/>
      <w:numFmt w:val="bullet"/>
      <w:lvlText w:val=""/>
      <w:lvlJc w:val="left"/>
      <w:pPr>
        <w:ind w:left="5040" w:hanging="360"/>
      </w:pPr>
      <w:rPr>
        <w:rFonts w:ascii="Symbol" w:hAnsi="Symbol" w:hint="default"/>
      </w:rPr>
    </w:lvl>
    <w:lvl w:ilvl="7" w:tplc="B4D61CC8">
      <w:start w:val="1"/>
      <w:numFmt w:val="bullet"/>
      <w:lvlText w:val="o"/>
      <w:lvlJc w:val="left"/>
      <w:pPr>
        <w:ind w:left="5760" w:hanging="360"/>
      </w:pPr>
      <w:rPr>
        <w:rFonts w:ascii="Courier New" w:hAnsi="Courier New" w:hint="default"/>
      </w:rPr>
    </w:lvl>
    <w:lvl w:ilvl="8" w:tplc="7AA46148">
      <w:start w:val="1"/>
      <w:numFmt w:val="bullet"/>
      <w:lvlText w:val=""/>
      <w:lvlJc w:val="left"/>
      <w:pPr>
        <w:ind w:left="6480" w:hanging="360"/>
      </w:pPr>
      <w:rPr>
        <w:rFonts w:ascii="Wingdings" w:hAnsi="Wingdings" w:hint="default"/>
      </w:rPr>
    </w:lvl>
  </w:abstractNum>
  <w:abstractNum w:abstractNumId="1" w15:restartNumberingAfterBreak="0">
    <w:nsid w:val="1355D000"/>
    <w:multiLevelType w:val="hybridMultilevel"/>
    <w:tmpl w:val="95E4B852"/>
    <w:lvl w:ilvl="0" w:tplc="C2A4B374">
      <w:start w:val="1"/>
      <w:numFmt w:val="bullet"/>
      <w:lvlText w:val=""/>
      <w:lvlJc w:val="left"/>
      <w:pPr>
        <w:ind w:left="780" w:hanging="360"/>
      </w:pPr>
      <w:rPr>
        <w:rFonts w:ascii="Symbol" w:hAnsi="Symbol" w:hint="default"/>
      </w:rPr>
    </w:lvl>
    <w:lvl w:ilvl="1" w:tplc="E05262FC">
      <w:start w:val="1"/>
      <w:numFmt w:val="lowerLetter"/>
      <w:lvlText w:val="%2."/>
      <w:lvlJc w:val="left"/>
      <w:pPr>
        <w:ind w:left="1500" w:hanging="360"/>
      </w:pPr>
    </w:lvl>
    <w:lvl w:ilvl="2" w:tplc="C36CAC82">
      <w:start w:val="1"/>
      <w:numFmt w:val="lowerRoman"/>
      <w:lvlText w:val="%3."/>
      <w:lvlJc w:val="right"/>
      <w:pPr>
        <w:ind w:left="2220" w:hanging="180"/>
      </w:pPr>
    </w:lvl>
    <w:lvl w:ilvl="3" w:tplc="AA38D63C">
      <w:start w:val="1"/>
      <w:numFmt w:val="decimal"/>
      <w:lvlText w:val="%4."/>
      <w:lvlJc w:val="left"/>
      <w:pPr>
        <w:ind w:left="2940" w:hanging="360"/>
      </w:pPr>
    </w:lvl>
    <w:lvl w:ilvl="4" w:tplc="340649E0">
      <w:start w:val="1"/>
      <w:numFmt w:val="lowerLetter"/>
      <w:lvlText w:val="%5."/>
      <w:lvlJc w:val="left"/>
      <w:pPr>
        <w:ind w:left="3660" w:hanging="360"/>
      </w:pPr>
    </w:lvl>
    <w:lvl w:ilvl="5" w:tplc="7D0EE998">
      <w:start w:val="1"/>
      <w:numFmt w:val="lowerRoman"/>
      <w:lvlText w:val="%6."/>
      <w:lvlJc w:val="right"/>
      <w:pPr>
        <w:ind w:left="4380" w:hanging="180"/>
      </w:pPr>
    </w:lvl>
    <w:lvl w:ilvl="6" w:tplc="331E81E6">
      <w:start w:val="1"/>
      <w:numFmt w:val="decimal"/>
      <w:lvlText w:val="%7."/>
      <w:lvlJc w:val="left"/>
      <w:pPr>
        <w:ind w:left="5100" w:hanging="360"/>
      </w:pPr>
    </w:lvl>
    <w:lvl w:ilvl="7" w:tplc="C96CC7FC">
      <w:start w:val="1"/>
      <w:numFmt w:val="lowerLetter"/>
      <w:lvlText w:val="%8."/>
      <w:lvlJc w:val="left"/>
      <w:pPr>
        <w:ind w:left="5820" w:hanging="360"/>
      </w:pPr>
    </w:lvl>
    <w:lvl w:ilvl="8" w:tplc="903236B4">
      <w:start w:val="1"/>
      <w:numFmt w:val="lowerRoman"/>
      <w:lvlText w:val="%9."/>
      <w:lvlJc w:val="right"/>
      <w:pPr>
        <w:ind w:left="6540" w:hanging="180"/>
      </w:pPr>
    </w:lvl>
  </w:abstractNum>
  <w:abstractNum w:abstractNumId="2" w15:restartNumberingAfterBreak="0">
    <w:nsid w:val="2197587C"/>
    <w:multiLevelType w:val="hybridMultilevel"/>
    <w:tmpl w:val="B080B386"/>
    <w:lvl w:ilvl="0" w:tplc="A210EFCA">
      <w:start w:val="1"/>
      <w:numFmt w:val="bullet"/>
      <w:lvlText w:val=""/>
      <w:lvlJc w:val="left"/>
      <w:pPr>
        <w:ind w:left="720" w:hanging="360"/>
      </w:pPr>
      <w:rPr>
        <w:rFonts w:ascii="Symbol" w:hAnsi="Symbol" w:hint="default"/>
      </w:rPr>
    </w:lvl>
    <w:lvl w:ilvl="1" w:tplc="B1B28E0E">
      <w:start w:val="1"/>
      <w:numFmt w:val="bullet"/>
      <w:lvlText w:val="o"/>
      <w:lvlJc w:val="left"/>
      <w:pPr>
        <w:ind w:left="1440" w:hanging="360"/>
      </w:pPr>
      <w:rPr>
        <w:rFonts w:ascii="Courier New" w:hAnsi="Courier New" w:hint="default"/>
      </w:rPr>
    </w:lvl>
    <w:lvl w:ilvl="2" w:tplc="117E7144">
      <w:start w:val="1"/>
      <w:numFmt w:val="bullet"/>
      <w:lvlText w:val=""/>
      <w:lvlJc w:val="left"/>
      <w:pPr>
        <w:ind w:left="2160" w:hanging="360"/>
      </w:pPr>
      <w:rPr>
        <w:rFonts w:ascii="Wingdings" w:hAnsi="Wingdings" w:hint="default"/>
      </w:rPr>
    </w:lvl>
    <w:lvl w:ilvl="3" w:tplc="C9B49A24">
      <w:start w:val="1"/>
      <w:numFmt w:val="bullet"/>
      <w:lvlText w:val=""/>
      <w:lvlJc w:val="left"/>
      <w:pPr>
        <w:ind w:left="2880" w:hanging="360"/>
      </w:pPr>
      <w:rPr>
        <w:rFonts w:ascii="Symbol" w:hAnsi="Symbol" w:hint="default"/>
      </w:rPr>
    </w:lvl>
    <w:lvl w:ilvl="4" w:tplc="F73EC5D8">
      <w:start w:val="1"/>
      <w:numFmt w:val="bullet"/>
      <w:lvlText w:val="o"/>
      <w:lvlJc w:val="left"/>
      <w:pPr>
        <w:ind w:left="3600" w:hanging="360"/>
      </w:pPr>
      <w:rPr>
        <w:rFonts w:ascii="Courier New" w:hAnsi="Courier New" w:hint="default"/>
      </w:rPr>
    </w:lvl>
    <w:lvl w:ilvl="5" w:tplc="99E0A468">
      <w:start w:val="1"/>
      <w:numFmt w:val="bullet"/>
      <w:lvlText w:val=""/>
      <w:lvlJc w:val="left"/>
      <w:pPr>
        <w:ind w:left="4320" w:hanging="360"/>
      </w:pPr>
      <w:rPr>
        <w:rFonts w:ascii="Wingdings" w:hAnsi="Wingdings" w:hint="default"/>
      </w:rPr>
    </w:lvl>
    <w:lvl w:ilvl="6" w:tplc="A1469290">
      <w:start w:val="1"/>
      <w:numFmt w:val="bullet"/>
      <w:lvlText w:val=""/>
      <w:lvlJc w:val="left"/>
      <w:pPr>
        <w:ind w:left="5040" w:hanging="360"/>
      </w:pPr>
      <w:rPr>
        <w:rFonts w:ascii="Symbol" w:hAnsi="Symbol" w:hint="default"/>
      </w:rPr>
    </w:lvl>
    <w:lvl w:ilvl="7" w:tplc="3A32F8D0">
      <w:start w:val="1"/>
      <w:numFmt w:val="bullet"/>
      <w:lvlText w:val="o"/>
      <w:lvlJc w:val="left"/>
      <w:pPr>
        <w:ind w:left="5760" w:hanging="360"/>
      </w:pPr>
      <w:rPr>
        <w:rFonts w:ascii="Courier New" w:hAnsi="Courier New" w:hint="default"/>
      </w:rPr>
    </w:lvl>
    <w:lvl w:ilvl="8" w:tplc="E990F808">
      <w:start w:val="1"/>
      <w:numFmt w:val="bullet"/>
      <w:lvlText w:val=""/>
      <w:lvlJc w:val="left"/>
      <w:pPr>
        <w:ind w:left="6480" w:hanging="360"/>
      </w:pPr>
      <w:rPr>
        <w:rFonts w:ascii="Wingdings" w:hAnsi="Wingdings" w:hint="default"/>
      </w:rPr>
    </w:lvl>
  </w:abstractNum>
  <w:abstractNum w:abstractNumId="3" w15:restartNumberingAfterBreak="0">
    <w:nsid w:val="5870B3B2"/>
    <w:multiLevelType w:val="hybridMultilevel"/>
    <w:tmpl w:val="812AA6B2"/>
    <w:lvl w:ilvl="0" w:tplc="7E309772">
      <w:start w:val="1"/>
      <w:numFmt w:val="bullet"/>
      <w:lvlText w:val=""/>
      <w:lvlJc w:val="left"/>
      <w:pPr>
        <w:ind w:left="720" w:hanging="360"/>
      </w:pPr>
      <w:rPr>
        <w:rFonts w:ascii="Symbol" w:hAnsi="Symbol" w:hint="default"/>
      </w:rPr>
    </w:lvl>
    <w:lvl w:ilvl="1" w:tplc="5F6C344C">
      <w:start w:val="1"/>
      <w:numFmt w:val="bullet"/>
      <w:lvlText w:val="o"/>
      <w:lvlJc w:val="left"/>
      <w:pPr>
        <w:ind w:left="1440" w:hanging="360"/>
      </w:pPr>
      <w:rPr>
        <w:rFonts w:ascii="Courier New" w:hAnsi="Courier New" w:hint="default"/>
      </w:rPr>
    </w:lvl>
    <w:lvl w:ilvl="2" w:tplc="ADF8B9AC">
      <w:start w:val="1"/>
      <w:numFmt w:val="bullet"/>
      <w:lvlText w:val=""/>
      <w:lvlJc w:val="left"/>
      <w:pPr>
        <w:ind w:left="2160" w:hanging="360"/>
      </w:pPr>
      <w:rPr>
        <w:rFonts w:ascii="Wingdings" w:hAnsi="Wingdings" w:hint="default"/>
      </w:rPr>
    </w:lvl>
    <w:lvl w:ilvl="3" w:tplc="74AEAF52">
      <w:start w:val="1"/>
      <w:numFmt w:val="bullet"/>
      <w:lvlText w:val=""/>
      <w:lvlJc w:val="left"/>
      <w:pPr>
        <w:ind w:left="2880" w:hanging="360"/>
      </w:pPr>
      <w:rPr>
        <w:rFonts w:ascii="Symbol" w:hAnsi="Symbol" w:hint="default"/>
      </w:rPr>
    </w:lvl>
    <w:lvl w:ilvl="4" w:tplc="91DC4074">
      <w:start w:val="1"/>
      <w:numFmt w:val="bullet"/>
      <w:lvlText w:val="o"/>
      <w:lvlJc w:val="left"/>
      <w:pPr>
        <w:ind w:left="3600" w:hanging="360"/>
      </w:pPr>
      <w:rPr>
        <w:rFonts w:ascii="Courier New" w:hAnsi="Courier New" w:hint="default"/>
      </w:rPr>
    </w:lvl>
    <w:lvl w:ilvl="5" w:tplc="04C2D0D8">
      <w:start w:val="1"/>
      <w:numFmt w:val="bullet"/>
      <w:lvlText w:val=""/>
      <w:lvlJc w:val="left"/>
      <w:pPr>
        <w:ind w:left="4320" w:hanging="360"/>
      </w:pPr>
      <w:rPr>
        <w:rFonts w:ascii="Wingdings" w:hAnsi="Wingdings" w:hint="default"/>
      </w:rPr>
    </w:lvl>
    <w:lvl w:ilvl="6" w:tplc="891C8324">
      <w:start w:val="1"/>
      <w:numFmt w:val="bullet"/>
      <w:lvlText w:val=""/>
      <w:lvlJc w:val="left"/>
      <w:pPr>
        <w:ind w:left="5040" w:hanging="360"/>
      </w:pPr>
      <w:rPr>
        <w:rFonts w:ascii="Symbol" w:hAnsi="Symbol" w:hint="default"/>
      </w:rPr>
    </w:lvl>
    <w:lvl w:ilvl="7" w:tplc="5D527722">
      <w:start w:val="1"/>
      <w:numFmt w:val="bullet"/>
      <w:lvlText w:val="o"/>
      <w:lvlJc w:val="left"/>
      <w:pPr>
        <w:ind w:left="5760" w:hanging="360"/>
      </w:pPr>
      <w:rPr>
        <w:rFonts w:ascii="Courier New" w:hAnsi="Courier New" w:hint="default"/>
      </w:rPr>
    </w:lvl>
    <w:lvl w:ilvl="8" w:tplc="DFDCADE4">
      <w:start w:val="1"/>
      <w:numFmt w:val="bullet"/>
      <w:lvlText w:val=""/>
      <w:lvlJc w:val="left"/>
      <w:pPr>
        <w:ind w:left="6480" w:hanging="360"/>
      </w:pPr>
      <w:rPr>
        <w:rFonts w:ascii="Wingdings" w:hAnsi="Wingdings" w:hint="default"/>
      </w:rPr>
    </w:lvl>
  </w:abstractNum>
  <w:abstractNum w:abstractNumId="4" w15:restartNumberingAfterBreak="0">
    <w:nsid w:val="66D18C4C"/>
    <w:multiLevelType w:val="hybridMultilevel"/>
    <w:tmpl w:val="D6E822F4"/>
    <w:lvl w:ilvl="0" w:tplc="6E7E2F60">
      <w:start w:val="1"/>
      <w:numFmt w:val="bullet"/>
      <w:lvlText w:val=""/>
      <w:lvlJc w:val="left"/>
      <w:pPr>
        <w:ind w:left="780" w:hanging="360"/>
      </w:pPr>
      <w:rPr>
        <w:rFonts w:ascii="Symbol" w:hAnsi="Symbol" w:hint="default"/>
      </w:rPr>
    </w:lvl>
    <w:lvl w:ilvl="1" w:tplc="E5CC889A">
      <w:start w:val="1"/>
      <w:numFmt w:val="lowerLetter"/>
      <w:lvlText w:val="%2."/>
      <w:lvlJc w:val="left"/>
      <w:pPr>
        <w:ind w:left="1500" w:hanging="360"/>
      </w:pPr>
    </w:lvl>
    <w:lvl w:ilvl="2" w:tplc="0248CE92">
      <w:start w:val="1"/>
      <w:numFmt w:val="lowerRoman"/>
      <w:lvlText w:val="%3."/>
      <w:lvlJc w:val="right"/>
      <w:pPr>
        <w:ind w:left="2220" w:hanging="180"/>
      </w:pPr>
    </w:lvl>
    <w:lvl w:ilvl="3" w:tplc="6E52D552">
      <w:start w:val="1"/>
      <w:numFmt w:val="decimal"/>
      <w:lvlText w:val="%4."/>
      <w:lvlJc w:val="left"/>
      <w:pPr>
        <w:ind w:left="2940" w:hanging="360"/>
      </w:pPr>
    </w:lvl>
    <w:lvl w:ilvl="4" w:tplc="4E767D56">
      <w:start w:val="1"/>
      <w:numFmt w:val="lowerLetter"/>
      <w:lvlText w:val="%5."/>
      <w:lvlJc w:val="left"/>
      <w:pPr>
        <w:ind w:left="3660" w:hanging="360"/>
      </w:pPr>
    </w:lvl>
    <w:lvl w:ilvl="5" w:tplc="EE8C0E6A">
      <w:start w:val="1"/>
      <w:numFmt w:val="lowerRoman"/>
      <w:lvlText w:val="%6."/>
      <w:lvlJc w:val="right"/>
      <w:pPr>
        <w:ind w:left="4380" w:hanging="180"/>
      </w:pPr>
    </w:lvl>
    <w:lvl w:ilvl="6" w:tplc="4B6A8480">
      <w:start w:val="1"/>
      <w:numFmt w:val="decimal"/>
      <w:lvlText w:val="%7."/>
      <w:lvlJc w:val="left"/>
      <w:pPr>
        <w:ind w:left="5100" w:hanging="360"/>
      </w:pPr>
    </w:lvl>
    <w:lvl w:ilvl="7" w:tplc="87428E1C">
      <w:start w:val="1"/>
      <w:numFmt w:val="lowerLetter"/>
      <w:lvlText w:val="%8."/>
      <w:lvlJc w:val="left"/>
      <w:pPr>
        <w:ind w:left="5820" w:hanging="360"/>
      </w:pPr>
    </w:lvl>
    <w:lvl w:ilvl="8" w:tplc="532052C4">
      <w:start w:val="1"/>
      <w:numFmt w:val="lowerRoman"/>
      <w:lvlText w:val="%9."/>
      <w:lvlJc w:val="right"/>
      <w:pPr>
        <w:ind w:left="654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n-US" w:vendorID="64" w:dllVersion="131078"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20A"/>
    <w:rsid w:val="0007058A"/>
    <w:rsid w:val="000A328F"/>
    <w:rsid w:val="001F2BC3"/>
    <w:rsid w:val="002560F8"/>
    <w:rsid w:val="002A720A"/>
    <w:rsid w:val="003235DD"/>
    <w:rsid w:val="00405845"/>
    <w:rsid w:val="004A7D66"/>
    <w:rsid w:val="005E2A1F"/>
    <w:rsid w:val="00666BCA"/>
    <w:rsid w:val="006B6707"/>
    <w:rsid w:val="00711B8C"/>
    <w:rsid w:val="007C0AFF"/>
    <w:rsid w:val="007E3F14"/>
    <w:rsid w:val="00851143"/>
    <w:rsid w:val="00895015"/>
    <w:rsid w:val="008E09CD"/>
    <w:rsid w:val="008F7307"/>
    <w:rsid w:val="00980ABD"/>
    <w:rsid w:val="00A83A00"/>
    <w:rsid w:val="00BA28BA"/>
    <w:rsid w:val="00BD0983"/>
    <w:rsid w:val="00C47A87"/>
    <w:rsid w:val="00C549B5"/>
    <w:rsid w:val="00CB6F82"/>
    <w:rsid w:val="00D136A3"/>
    <w:rsid w:val="00E45840"/>
    <w:rsid w:val="00ED5124"/>
    <w:rsid w:val="00FB5B1C"/>
    <w:rsid w:val="00FE0610"/>
    <w:rsid w:val="00FF5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349221"/>
  <w15:chartTrackingRefBased/>
  <w15:docId w15:val="{AD9CAB58-4AC5-4918-A286-94FC4603E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0ABD"/>
    <w:pPr>
      <w:widowControl w:val="0"/>
      <w:spacing w:line="360" w:lineRule="auto"/>
      <w:jc w:val="both"/>
    </w:pPr>
    <w:rPr>
      <w:rFonts w:ascii="Times New Roman" w:hAnsi="Times New Roman" w:cs="Times New Roman"/>
      <w:sz w:val="22"/>
    </w:rPr>
  </w:style>
  <w:style w:type="paragraph" w:styleId="1">
    <w:name w:val="heading 1"/>
    <w:basedOn w:val="a"/>
    <w:next w:val="a"/>
    <w:link w:val="10"/>
    <w:uiPriority w:val="9"/>
    <w:qFormat/>
    <w:rsid w:val="00980ABD"/>
    <w:pPr>
      <w:keepNext/>
      <w:keepLines/>
      <w:spacing w:before="340" w:after="330"/>
      <w:outlineLvl w:val="0"/>
    </w:pPr>
    <w:rPr>
      <w:b/>
      <w:bCs/>
      <w:sz w:val="44"/>
      <w:szCs w:val="44"/>
    </w:rPr>
  </w:style>
  <w:style w:type="paragraph" w:styleId="2">
    <w:name w:val="heading 2"/>
    <w:basedOn w:val="a"/>
    <w:next w:val="a"/>
    <w:link w:val="20"/>
    <w:uiPriority w:val="9"/>
    <w:unhideWhenUsed/>
    <w:qFormat/>
    <w:rsid w:val="005E2A1F"/>
    <w:pPr>
      <w:keepNext/>
      <w:keepLines/>
      <w:spacing w:before="260" w:after="260"/>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0ABD"/>
    <w:pPr>
      <w:pBdr>
        <w:bottom w:val="single" w:sz="6" w:space="1" w:color="auto"/>
      </w:pBdr>
      <w:tabs>
        <w:tab w:val="center" w:pos="4153"/>
        <w:tab w:val="right" w:pos="8306"/>
      </w:tabs>
      <w:snapToGrid w:val="0"/>
      <w:spacing w:line="240" w:lineRule="auto"/>
      <w:jc w:val="center"/>
    </w:pPr>
    <w:rPr>
      <w:rFonts w:asciiTheme="minorHAnsi" w:hAnsiTheme="minorHAnsi" w:cstheme="minorBidi"/>
      <w:sz w:val="18"/>
      <w:szCs w:val="18"/>
    </w:rPr>
  </w:style>
  <w:style w:type="character" w:customStyle="1" w:styleId="a4">
    <w:name w:val="页眉 字符"/>
    <w:basedOn w:val="a0"/>
    <w:link w:val="a3"/>
    <w:uiPriority w:val="99"/>
    <w:rsid w:val="00980ABD"/>
    <w:rPr>
      <w:sz w:val="18"/>
      <w:szCs w:val="18"/>
    </w:rPr>
  </w:style>
  <w:style w:type="paragraph" w:styleId="a5">
    <w:name w:val="footer"/>
    <w:basedOn w:val="a"/>
    <w:link w:val="a6"/>
    <w:uiPriority w:val="99"/>
    <w:unhideWhenUsed/>
    <w:rsid w:val="00980ABD"/>
    <w:pPr>
      <w:tabs>
        <w:tab w:val="center" w:pos="4153"/>
        <w:tab w:val="right" w:pos="8306"/>
      </w:tabs>
      <w:snapToGrid w:val="0"/>
      <w:spacing w:line="240" w:lineRule="auto"/>
      <w:jc w:val="left"/>
    </w:pPr>
    <w:rPr>
      <w:rFonts w:asciiTheme="minorHAnsi" w:hAnsiTheme="minorHAnsi" w:cstheme="minorBidi"/>
      <w:sz w:val="18"/>
      <w:szCs w:val="18"/>
    </w:rPr>
  </w:style>
  <w:style w:type="character" w:customStyle="1" w:styleId="a6">
    <w:name w:val="页脚 字符"/>
    <w:basedOn w:val="a0"/>
    <w:link w:val="a5"/>
    <w:uiPriority w:val="99"/>
    <w:rsid w:val="00980ABD"/>
    <w:rPr>
      <w:sz w:val="18"/>
      <w:szCs w:val="18"/>
    </w:rPr>
  </w:style>
  <w:style w:type="character" w:customStyle="1" w:styleId="10">
    <w:name w:val="标题 1 字符"/>
    <w:basedOn w:val="a0"/>
    <w:link w:val="1"/>
    <w:uiPriority w:val="9"/>
    <w:rsid w:val="00980ABD"/>
    <w:rPr>
      <w:rFonts w:ascii="Times New Roman" w:hAnsi="Times New Roman" w:cs="Times New Roman"/>
      <w:b/>
      <w:bCs/>
      <w:sz w:val="44"/>
      <w:szCs w:val="44"/>
    </w:rPr>
  </w:style>
  <w:style w:type="table" w:styleId="a7">
    <w:name w:val="Table Grid"/>
    <w:basedOn w:val="a1"/>
    <w:uiPriority w:val="59"/>
    <w:rsid w:val="00980A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TDisplayEquation">
    <w:name w:val="MTDisplayEquation"/>
    <w:basedOn w:val="a"/>
    <w:next w:val="a"/>
    <w:link w:val="MTDisplayEquation0"/>
    <w:rsid w:val="00980ABD"/>
    <w:pPr>
      <w:tabs>
        <w:tab w:val="center" w:pos="4520"/>
        <w:tab w:val="right" w:pos="9020"/>
      </w:tabs>
      <w:spacing w:line="240" w:lineRule="auto"/>
    </w:pPr>
    <w:rPr>
      <w:rFonts w:asciiTheme="minorHAnsi" w:hAnsiTheme="minorHAnsi" w:cstheme="minorBidi"/>
      <w:sz w:val="21"/>
    </w:rPr>
  </w:style>
  <w:style w:type="character" w:customStyle="1" w:styleId="MTDisplayEquation0">
    <w:name w:val="MTDisplayEquation 字符"/>
    <w:basedOn w:val="a0"/>
    <w:link w:val="MTDisplayEquation"/>
    <w:rsid w:val="00980ABD"/>
  </w:style>
  <w:style w:type="character" w:styleId="a8">
    <w:name w:val="Hyperlink"/>
    <w:basedOn w:val="a0"/>
    <w:uiPriority w:val="99"/>
    <w:unhideWhenUsed/>
    <w:rsid w:val="007E3F14"/>
    <w:rPr>
      <w:color w:val="0563C1" w:themeColor="hyperlink"/>
      <w:u w:val="single"/>
    </w:rPr>
  </w:style>
  <w:style w:type="paragraph" w:styleId="a9">
    <w:name w:val="List Paragraph"/>
    <w:basedOn w:val="a"/>
    <w:uiPriority w:val="34"/>
    <w:qFormat/>
    <w:rsid w:val="00CB6F82"/>
    <w:pPr>
      <w:ind w:firstLine="420"/>
    </w:pPr>
  </w:style>
  <w:style w:type="character" w:customStyle="1" w:styleId="20">
    <w:name w:val="标题 2 字符"/>
    <w:basedOn w:val="a0"/>
    <w:link w:val="2"/>
    <w:uiPriority w:val="9"/>
    <w:rsid w:val="005E2A1F"/>
    <w:rPr>
      <w:rFonts w:asciiTheme="majorHAnsi" w:eastAsiaTheme="majorEastAsia" w:hAnsiTheme="majorHAnsi" w:cstheme="majorBidi"/>
      <w:b/>
      <w:bCs/>
      <w:sz w:val="32"/>
      <w:szCs w:val="32"/>
    </w:rPr>
  </w:style>
  <w:style w:type="table" w:customStyle="1" w:styleId="11">
    <w:name w:val="网格型1"/>
    <w:basedOn w:val="a1"/>
    <w:next w:val="a7"/>
    <w:uiPriority w:val="39"/>
    <w:rsid w:val="00405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00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7.bin"/><Relationship Id="rId26" Type="http://schemas.openxmlformats.org/officeDocument/2006/relationships/image" Target="media/image8.wmf"/><Relationship Id="rId39" Type="http://schemas.openxmlformats.org/officeDocument/2006/relationships/hyperlink" Target="https://doi.org/10.48550/arXiv.2407.19638" TargetMode="External"/><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9.bin"/><Relationship Id="rId29" Type="http://schemas.openxmlformats.org/officeDocument/2006/relationships/oleObject" Target="embeddings/oleObject14.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package" Target="embeddings/Microsoft_Visio___.vsdx"/><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oleObject" Target="embeddings/oleObject11.bin"/><Relationship Id="rId28" Type="http://schemas.openxmlformats.org/officeDocument/2006/relationships/image" Target="media/image9.wmf"/><Relationship Id="rId36" Type="http://schemas.openxmlformats.org/officeDocument/2006/relationships/image" Target="media/image13.emf"/><Relationship Id="rId10" Type="http://schemas.openxmlformats.org/officeDocument/2006/relationships/oleObject" Target="embeddings/oleObject2.bin"/><Relationship Id="rId19" Type="http://schemas.openxmlformats.org/officeDocument/2006/relationships/oleObject" Target="embeddings/oleObject8.bin"/><Relationship Id="rId31" Type="http://schemas.openxmlformats.org/officeDocument/2006/relationships/oleObject" Target="embeddings/oleObject15.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10.bin"/><Relationship Id="rId27" Type="http://schemas.openxmlformats.org/officeDocument/2006/relationships/oleObject" Target="embeddings/oleObject13.bin"/><Relationship Id="rId30" Type="http://schemas.openxmlformats.org/officeDocument/2006/relationships/image" Target="media/image10.wmf"/><Relationship Id="rId35" Type="http://schemas.openxmlformats.org/officeDocument/2006/relationships/oleObject" Target="embeddings/oleObject17.bin"/><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5.wmf"/><Relationship Id="rId25" Type="http://schemas.openxmlformats.org/officeDocument/2006/relationships/oleObject" Target="embeddings/oleObject12.bin"/><Relationship Id="rId33" Type="http://schemas.openxmlformats.org/officeDocument/2006/relationships/oleObject" Target="embeddings/oleObject16.bin"/><Relationship Id="rId38"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8</Pages>
  <Words>2713</Words>
  <Characters>15467</Characters>
  <Application>Microsoft Office Word</Application>
  <DocSecurity>0</DocSecurity>
  <Lines>128</Lines>
  <Paragraphs>36</Paragraphs>
  <ScaleCrop>false</ScaleCrop>
  <Company/>
  <LinksUpToDate>false</LinksUpToDate>
  <CharactersWithSpaces>18144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付媛</dc:creator>
  <cp:keywords/>
  <dc:description/>
  <cp:lastModifiedBy>付媛</cp:lastModifiedBy>
  <cp:revision>18</cp:revision>
  <dcterms:created xsi:type="dcterms:W3CDTF">2025-04-10T12:46:00Z</dcterms:created>
  <dcterms:modified xsi:type="dcterms:W3CDTF">2026-02-02T07:51:00Z</dcterms:modified>
</cp:coreProperties>
</file>