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CBBFC" w14:textId="77777777" w:rsidR="00572C87" w:rsidRPr="005A4338" w:rsidRDefault="00551F05" w:rsidP="005A4338">
      <w:pPr>
        <w:ind w:left="708" w:hanging="708"/>
        <w:jc w:val="center"/>
        <w:rPr>
          <w:rFonts w:ascii="Arial" w:hAnsi="Arial" w:cs="Arial"/>
          <w:b/>
          <w:sz w:val="36"/>
          <w:szCs w:val="36"/>
        </w:rPr>
      </w:pPr>
      <w:bookmarkStart w:id="0" w:name="_Hlk163809433"/>
      <w:bookmarkEnd w:id="0"/>
      <w:r w:rsidRPr="00B27DC4">
        <w:rPr>
          <w:rFonts w:ascii="Arial" w:hAnsi="Arial" w:cs="Arial"/>
          <w:b/>
          <w:sz w:val="36"/>
          <w:szCs w:val="36"/>
        </w:rPr>
        <w:t>Supplementary</w:t>
      </w:r>
      <w:r w:rsidR="00E77D5E">
        <w:rPr>
          <w:rFonts w:ascii="Arial" w:hAnsi="Arial" w:cs="Arial"/>
          <w:b/>
          <w:sz w:val="36"/>
          <w:szCs w:val="36"/>
        </w:rPr>
        <w:t xml:space="preserve"> </w:t>
      </w:r>
      <w:r w:rsidR="005A4338">
        <w:rPr>
          <w:rFonts w:ascii="Arial" w:hAnsi="Arial" w:cs="Arial"/>
          <w:b/>
          <w:sz w:val="36"/>
          <w:szCs w:val="36"/>
        </w:rPr>
        <w:t>F</w:t>
      </w:r>
      <w:r w:rsidRPr="00B27DC4">
        <w:rPr>
          <w:rFonts w:ascii="Arial" w:hAnsi="Arial" w:cs="Arial"/>
          <w:b/>
          <w:sz w:val="36"/>
          <w:szCs w:val="36"/>
        </w:rPr>
        <w:t xml:space="preserve">igures and </w:t>
      </w:r>
      <w:r w:rsidR="00211666">
        <w:rPr>
          <w:rFonts w:ascii="Arial" w:hAnsi="Arial" w:cs="Arial"/>
          <w:b/>
          <w:sz w:val="36"/>
          <w:szCs w:val="36"/>
        </w:rPr>
        <w:t>T</w:t>
      </w:r>
      <w:r w:rsidRPr="00B27DC4">
        <w:rPr>
          <w:rFonts w:ascii="Arial" w:hAnsi="Arial" w:cs="Arial"/>
          <w:b/>
          <w:sz w:val="36"/>
          <w:szCs w:val="36"/>
        </w:rPr>
        <w:t>ables</w:t>
      </w:r>
    </w:p>
    <w:p w14:paraId="0684A8A3" w14:textId="77777777" w:rsidR="00E54178" w:rsidRDefault="00E54178" w:rsidP="00A50A3E">
      <w:pPr>
        <w:rPr>
          <w:rFonts w:ascii="Arial" w:hAnsi="Arial" w:cs="Arial"/>
          <w:sz w:val="36"/>
          <w:szCs w:val="36"/>
        </w:rPr>
      </w:pPr>
    </w:p>
    <w:p w14:paraId="2A4632E2" w14:textId="77777777" w:rsidR="008769D5" w:rsidRDefault="008769D5" w:rsidP="00A50A3E">
      <w:pPr>
        <w:rPr>
          <w:rFonts w:ascii="Arial" w:hAnsi="Arial" w:cs="Arial"/>
          <w:sz w:val="36"/>
          <w:szCs w:val="36"/>
        </w:rPr>
      </w:pPr>
    </w:p>
    <w:p w14:paraId="42D1A435" w14:textId="1988EDFD" w:rsidR="00BE648C" w:rsidRDefault="00BE648C" w:rsidP="00BE648C">
      <w:pPr>
        <w:pStyle w:val="AbstractSummary"/>
        <w:spacing w:line="360" w:lineRule="auto"/>
        <w:rPr>
          <w:rFonts w:ascii="Arial" w:hAnsi="Arial" w:cs="Arial"/>
          <w:b/>
          <w:color w:val="000000" w:themeColor="text1"/>
          <w:sz w:val="28"/>
          <w:szCs w:val="28"/>
        </w:rPr>
      </w:pPr>
      <w:r w:rsidRPr="00A50A3E">
        <w:rPr>
          <w:rFonts w:ascii="Arial" w:hAnsi="Arial" w:cs="Arial"/>
          <w:b/>
          <w:color w:val="000000" w:themeColor="text1"/>
          <w:sz w:val="28"/>
          <w:szCs w:val="28"/>
        </w:rPr>
        <w:t xml:space="preserve">Supplementary </w:t>
      </w:r>
      <w:r>
        <w:rPr>
          <w:rFonts w:ascii="Arial" w:hAnsi="Arial" w:cs="Arial"/>
          <w:b/>
          <w:color w:val="000000" w:themeColor="text1"/>
          <w:sz w:val="28"/>
          <w:szCs w:val="28"/>
        </w:rPr>
        <w:t>Figures</w:t>
      </w:r>
    </w:p>
    <w:p w14:paraId="351EB21E" w14:textId="77777777" w:rsidR="00F27CFE" w:rsidRPr="00F5165B" w:rsidRDefault="00F27CFE" w:rsidP="00BE648C">
      <w:pPr>
        <w:pStyle w:val="AbstractSummary"/>
        <w:spacing w:line="360" w:lineRule="auto"/>
        <w:rPr>
          <w:rFonts w:ascii="Arial" w:hAnsi="Arial" w:cs="Arial"/>
          <w:b/>
          <w:color w:val="000000" w:themeColor="text1"/>
          <w:sz w:val="28"/>
          <w:szCs w:val="28"/>
        </w:rPr>
      </w:pPr>
    </w:p>
    <w:p w14:paraId="621ACE62" w14:textId="6680F883" w:rsidR="00A27A97" w:rsidRDefault="00F27CFE" w:rsidP="00A50A3E">
      <w:pPr>
        <w:jc w:val="center"/>
        <w:rPr>
          <w:rFonts w:ascii="Arial" w:hAnsi="Arial" w:cs="Arial"/>
          <w:sz w:val="36"/>
          <w:szCs w:val="36"/>
        </w:rPr>
      </w:pPr>
      <w:r>
        <w:rPr>
          <w:noProof/>
        </w:rPr>
        <w:drawing>
          <wp:inline distT="0" distB="0" distL="0" distR="0" wp14:anchorId="26BAA5C7" wp14:editId="40A36185">
            <wp:extent cx="2571750" cy="25717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2188" cy="2612188"/>
                    </a:xfrm>
                    <a:prstGeom prst="rect">
                      <a:avLst/>
                    </a:prstGeom>
                    <a:noFill/>
                    <a:ln>
                      <a:noFill/>
                    </a:ln>
                  </pic:spPr>
                </pic:pic>
              </a:graphicData>
            </a:graphic>
          </wp:inline>
        </w:drawing>
      </w:r>
      <w:r>
        <w:rPr>
          <w:noProof/>
        </w:rPr>
        <w:t xml:space="preserve">       </w:t>
      </w:r>
      <w:r>
        <w:rPr>
          <w:noProof/>
        </w:rPr>
        <w:drawing>
          <wp:inline distT="0" distB="0" distL="0" distR="0" wp14:anchorId="7CCA9A78" wp14:editId="022D28F5">
            <wp:extent cx="2457450" cy="245745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3896" cy="2473896"/>
                    </a:xfrm>
                    <a:prstGeom prst="rect">
                      <a:avLst/>
                    </a:prstGeom>
                    <a:noFill/>
                    <a:ln>
                      <a:noFill/>
                    </a:ln>
                  </pic:spPr>
                </pic:pic>
              </a:graphicData>
            </a:graphic>
          </wp:inline>
        </w:drawing>
      </w:r>
    </w:p>
    <w:p w14:paraId="396C6DFA" w14:textId="77777777" w:rsidR="00A27A97" w:rsidRDefault="00A27A97" w:rsidP="00551F05">
      <w:pPr>
        <w:jc w:val="center"/>
        <w:rPr>
          <w:rFonts w:ascii="Arial" w:hAnsi="Arial" w:cs="Arial"/>
          <w:sz w:val="36"/>
          <w:szCs w:val="36"/>
        </w:rPr>
      </w:pPr>
    </w:p>
    <w:p w14:paraId="0FC3EAA3" w14:textId="19912EE1" w:rsidR="00A27A97" w:rsidRDefault="00904A16" w:rsidP="00A27A97">
      <w:r w:rsidRPr="00BE648C">
        <w:rPr>
          <w:b/>
        </w:rPr>
        <w:t xml:space="preserve">Supplementary </w:t>
      </w:r>
      <w:r w:rsidR="00256DE4" w:rsidRPr="00BE648C">
        <w:rPr>
          <w:b/>
        </w:rPr>
        <w:t>Figure</w:t>
      </w:r>
      <w:r w:rsidR="00A27A97" w:rsidRPr="00BE648C">
        <w:rPr>
          <w:b/>
        </w:rPr>
        <w:t xml:space="preserve"> </w:t>
      </w:r>
      <w:r w:rsidR="00E4236C" w:rsidRPr="00BE648C">
        <w:rPr>
          <w:b/>
        </w:rPr>
        <w:t>1</w:t>
      </w:r>
      <w:r w:rsidR="00A27A97" w:rsidRPr="00551F05">
        <w:t xml:space="preserve">. </w:t>
      </w:r>
      <w:r w:rsidR="006863C1">
        <w:t xml:space="preserve">UMAPs from Smart-Seq2 (left) and 10x Genomics (right) of endometrial biopsies from interrupted pregnancies. Cell types were defined from reported sub cell-types in studies defined in Table 1 (main manuscript).  </w:t>
      </w:r>
    </w:p>
    <w:p w14:paraId="6A0D2862" w14:textId="1BE0912E" w:rsidR="00A27A97" w:rsidRDefault="00A27A97" w:rsidP="00551F05">
      <w:pPr>
        <w:jc w:val="center"/>
        <w:rPr>
          <w:rFonts w:ascii="Arial" w:hAnsi="Arial" w:cs="Arial"/>
          <w:sz w:val="36"/>
          <w:szCs w:val="36"/>
        </w:rPr>
      </w:pPr>
    </w:p>
    <w:p w14:paraId="112E58AC" w14:textId="3A0C727C" w:rsidR="00180EB5" w:rsidRDefault="00180EB5" w:rsidP="00551F05">
      <w:pPr>
        <w:jc w:val="center"/>
        <w:rPr>
          <w:rFonts w:ascii="Arial" w:hAnsi="Arial" w:cs="Arial"/>
          <w:sz w:val="36"/>
          <w:szCs w:val="36"/>
        </w:rPr>
      </w:pPr>
    </w:p>
    <w:p w14:paraId="0A90DB23" w14:textId="72338A41" w:rsidR="00180EB5" w:rsidRDefault="00180EB5" w:rsidP="00551F05">
      <w:pPr>
        <w:jc w:val="center"/>
        <w:rPr>
          <w:rFonts w:ascii="Arial" w:hAnsi="Arial" w:cs="Arial"/>
          <w:sz w:val="36"/>
          <w:szCs w:val="36"/>
        </w:rPr>
      </w:pPr>
    </w:p>
    <w:p w14:paraId="3E4BD6D3" w14:textId="7E7D3630" w:rsidR="00180EB5" w:rsidRDefault="00180EB5" w:rsidP="00551F05">
      <w:pPr>
        <w:jc w:val="center"/>
        <w:rPr>
          <w:rFonts w:ascii="Arial" w:hAnsi="Arial" w:cs="Arial"/>
          <w:sz w:val="36"/>
          <w:szCs w:val="36"/>
        </w:rPr>
      </w:pPr>
    </w:p>
    <w:p w14:paraId="2494D1F7" w14:textId="7C47B463" w:rsidR="00180EB5" w:rsidRDefault="00180EB5" w:rsidP="00551F05">
      <w:pPr>
        <w:jc w:val="center"/>
        <w:rPr>
          <w:rFonts w:ascii="Arial" w:hAnsi="Arial" w:cs="Arial"/>
          <w:sz w:val="36"/>
          <w:szCs w:val="36"/>
        </w:rPr>
      </w:pPr>
    </w:p>
    <w:p w14:paraId="65E03AFD" w14:textId="6643F405" w:rsidR="00180EB5" w:rsidRDefault="00180EB5" w:rsidP="00551F05">
      <w:pPr>
        <w:jc w:val="center"/>
        <w:rPr>
          <w:rFonts w:ascii="Arial" w:hAnsi="Arial" w:cs="Arial"/>
          <w:sz w:val="36"/>
          <w:szCs w:val="36"/>
        </w:rPr>
      </w:pPr>
    </w:p>
    <w:p w14:paraId="57F5442C" w14:textId="77453C73" w:rsidR="00180EB5" w:rsidRDefault="00180EB5" w:rsidP="00551F05">
      <w:pPr>
        <w:jc w:val="center"/>
        <w:rPr>
          <w:rFonts w:ascii="Arial" w:hAnsi="Arial" w:cs="Arial"/>
          <w:sz w:val="36"/>
          <w:szCs w:val="36"/>
        </w:rPr>
      </w:pPr>
    </w:p>
    <w:p w14:paraId="362CFA45" w14:textId="7689F185" w:rsidR="00180EB5" w:rsidRDefault="00180EB5" w:rsidP="00551F05">
      <w:pPr>
        <w:jc w:val="center"/>
        <w:rPr>
          <w:rFonts w:ascii="Arial" w:hAnsi="Arial" w:cs="Arial"/>
          <w:sz w:val="36"/>
          <w:szCs w:val="36"/>
        </w:rPr>
      </w:pPr>
    </w:p>
    <w:p w14:paraId="25036DF5" w14:textId="0F9E268D" w:rsidR="00180EB5" w:rsidRDefault="00180EB5" w:rsidP="00551F05">
      <w:pPr>
        <w:jc w:val="center"/>
        <w:rPr>
          <w:rFonts w:ascii="Arial" w:hAnsi="Arial" w:cs="Arial"/>
          <w:sz w:val="36"/>
          <w:szCs w:val="36"/>
        </w:rPr>
      </w:pPr>
    </w:p>
    <w:p w14:paraId="41399AD5" w14:textId="59F5AC47" w:rsidR="00180EB5" w:rsidRDefault="00180EB5" w:rsidP="00551F05">
      <w:pPr>
        <w:jc w:val="center"/>
        <w:rPr>
          <w:rFonts w:ascii="Arial" w:hAnsi="Arial" w:cs="Arial"/>
          <w:sz w:val="36"/>
          <w:szCs w:val="36"/>
        </w:rPr>
      </w:pPr>
    </w:p>
    <w:p w14:paraId="40DF03E6" w14:textId="77777777" w:rsidR="00180EB5" w:rsidRDefault="00180EB5" w:rsidP="00551F05">
      <w:pPr>
        <w:jc w:val="center"/>
        <w:rPr>
          <w:rFonts w:ascii="Arial" w:hAnsi="Arial" w:cs="Arial"/>
          <w:sz w:val="36"/>
          <w:szCs w:val="36"/>
        </w:rPr>
      </w:pPr>
    </w:p>
    <w:p w14:paraId="15D32826" w14:textId="77777777" w:rsidR="00016EA9" w:rsidRDefault="00016EA9" w:rsidP="00551F05">
      <w:pPr>
        <w:jc w:val="center"/>
        <w:rPr>
          <w:rFonts w:ascii="Arial" w:hAnsi="Arial" w:cs="Arial"/>
          <w:sz w:val="36"/>
          <w:szCs w:val="36"/>
        </w:rPr>
      </w:pPr>
    </w:p>
    <w:p w14:paraId="60B7E689" w14:textId="18B82E96" w:rsidR="0009490F" w:rsidRDefault="00180EB5" w:rsidP="00551F05">
      <w:pPr>
        <w:jc w:val="center"/>
        <w:rPr>
          <w:rFonts w:ascii="Arial" w:hAnsi="Arial" w:cs="Arial"/>
          <w:sz w:val="36"/>
          <w:szCs w:val="36"/>
        </w:rPr>
      </w:pPr>
      <w:r>
        <w:rPr>
          <w:noProof/>
        </w:rPr>
        <w:lastRenderedPageBreak/>
        <w:t xml:space="preserve"> </w:t>
      </w:r>
      <w:r w:rsidR="000166F3">
        <w:rPr>
          <w:noProof/>
        </w:rPr>
        <w:drawing>
          <wp:inline distT="0" distB="0" distL="0" distR="0" wp14:anchorId="0E22AE4D" wp14:editId="465CAEFF">
            <wp:extent cx="4495800" cy="44958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61855" cy="4561855"/>
                    </a:xfrm>
                    <a:prstGeom prst="rect">
                      <a:avLst/>
                    </a:prstGeom>
                    <a:noFill/>
                    <a:ln>
                      <a:noFill/>
                    </a:ln>
                  </pic:spPr>
                </pic:pic>
              </a:graphicData>
            </a:graphic>
          </wp:inline>
        </w:drawing>
      </w:r>
    </w:p>
    <w:p w14:paraId="0A140079" w14:textId="77777777" w:rsidR="0009490F" w:rsidRDefault="0009490F" w:rsidP="00551F05">
      <w:pPr>
        <w:jc w:val="center"/>
        <w:rPr>
          <w:rFonts w:ascii="Arial" w:hAnsi="Arial" w:cs="Arial"/>
          <w:sz w:val="36"/>
          <w:szCs w:val="36"/>
        </w:rPr>
      </w:pPr>
    </w:p>
    <w:p w14:paraId="2CF170A3" w14:textId="22F487AC" w:rsidR="000166F3" w:rsidRDefault="000166F3" w:rsidP="000166F3">
      <w:r w:rsidRPr="00BE648C">
        <w:rPr>
          <w:b/>
        </w:rPr>
        <w:t xml:space="preserve">Supplementary Figure </w:t>
      </w:r>
      <w:r>
        <w:rPr>
          <w:b/>
        </w:rPr>
        <w:t>2</w:t>
      </w:r>
      <w:r w:rsidRPr="00551F05">
        <w:t xml:space="preserve">. </w:t>
      </w:r>
      <w:r w:rsidR="00326C31">
        <w:t xml:space="preserve">Correlation of mean </w:t>
      </w:r>
      <w:r w:rsidR="00FC502D">
        <w:t>STER</w:t>
      </w:r>
      <w:r w:rsidR="00326C31">
        <w:t xml:space="preserve"> across cells of the same </w:t>
      </w:r>
      <w:r w:rsidR="007B2DA6">
        <w:t>cell type</w:t>
      </w:r>
      <w:r w:rsidR="00326C31">
        <w:t xml:space="preserve"> </w:t>
      </w:r>
      <w:r w:rsidR="007B2DA6">
        <w:t>obtained from the two independent platforms</w:t>
      </w:r>
      <w:r w:rsidR="00326C31">
        <w:t xml:space="preserve"> Smart-Seq2 and 10x Genomics</w:t>
      </w:r>
      <w:r w:rsidR="007B2DA6">
        <w:t>.</w:t>
      </w:r>
    </w:p>
    <w:p w14:paraId="3C62C83F" w14:textId="77777777" w:rsidR="0009490F" w:rsidRDefault="0009490F" w:rsidP="00551F05">
      <w:pPr>
        <w:jc w:val="center"/>
        <w:rPr>
          <w:rFonts w:ascii="Arial" w:hAnsi="Arial" w:cs="Arial"/>
          <w:sz w:val="36"/>
          <w:szCs w:val="36"/>
        </w:rPr>
      </w:pPr>
    </w:p>
    <w:p w14:paraId="27A12B52" w14:textId="7DD5833D" w:rsidR="00DE2FB1" w:rsidRDefault="00DE2FB1" w:rsidP="00DE2FB1">
      <w:pPr>
        <w:pStyle w:val="SMHeading"/>
        <w:keepNext w:val="0"/>
        <w:widowControl w:val="0"/>
        <w:spacing w:before="0"/>
      </w:pPr>
    </w:p>
    <w:p w14:paraId="70F8C514" w14:textId="714AE664" w:rsidR="009F1B73" w:rsidRDefault="00B924EE" w:rsidP="009F1B73">
      <w:pPr>
        <w:rPr>
          <w:b/>
        </w:rPr>
      </w:pPr>
      <w:r>
        <w:rPr>
          <w:noProof/>
        </w:rPr>
        <w:lastRenderedPageBreak/>
        <w:drawing>
          <wp:inline distT="0" distB="0" distL="0" distR="0" wp14:anchorId="68352D7F" wp14:editId="183EED72">
            <wp:extent cx="5740400" cy="5740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0" cy="5740400"/>
                    </a:xfrm>
                    <a:prstGeom prst="rect">
                      <a:avLst/>
                    </a:prstGeom>
                    <a:noFill/>
                    <a:ln>
                      <a:noFill/>
                    </a:ln>
                  </pic:spPr>
                </pic:pic>
              </a:graphicData>
            </a:graphic>
          </wp:inline>
        </w:drawing>
      </w:r>
    </w:p>
    <w:p w14:paraId="5F5A603C" w14:textId="77777777" w:rsidR="002D722A" w:rsidRDefault="002D722A" w:rsidP="009F1B73">
      <w:pPr>
        <w:rPr>
          <w:b/>
        </w:rPr>
      </w:pPr>
    </w:p>
    <w:p w14:paraId="06AA0503" w14:textId="77777777" w:rsidR="002D722A" w:rsidRDefault="002D722A" w:rsidP="009F1B73">
      <w:pPr>
        <w:rPr>
          <w:b/>
        </w:rPr>
      </w:pPr>
    </w:p>
    <w:p w14:paraId="41FA4DDB" w14:textId="6DDAFCB8" w:rsidR="009F1B73" w:rsidRDefault="009F1B73" w:rsidP="009F1B73">
      <w:r w:rsidRPr="00BE648C">
        <w:rPr>
          <w:b/>
        </w:rPr>
        <w:t xml:space="preserve">Supplementary Figure </w:t>
      </w:r>
      <w:r w:rsidR="002D722A">
        <w:rPr>
          <w:b/>
        </w:rPr>
        <w:t>3</w:t>
      </w:r>
      <w:r w:rsidRPr="00551F05">
        <w:t xml:space="preserve">. </w:t>
      </w:r>
      <w:r w:rsidR="00B924EE">
        <w:t>Characteristics of filtered allelic specific expression data from endometrial samples over 18 donors. (</w:t>
      </w:r>
      <w:r w:rsidR="00B924EE" w:rsidRPr="00B924EE">
        <w:rPr>
          <w:b/>
        </w:rPr>
        <w:t>a</w:t>
      </w:r>
      <w:r w:rsidR="00B924EE">
        <w:t>) histogram of number of cells observed for a heterozygous allele from contributing donor. Alleles expressed in at least 5 cells were selected for downstream analysis. (</w:t>
      </w:r>
      <w:r w:rsidR="00B924EE" w:rsidRPr="00B924EE">
        <w:rPr>
          <w:b/>
        </w:rPr>
        <w:t>b</w:t>
      </w:r>
      <w:r w:rsidR="00B924EE">
        <w:t>) Counts per allele across the cells of a subject</w:t>
      </w:r>
      <w:r w:rsidR="00D72AC4">
        <w:t>. Alleles with more than 10 counts were selected for downstream analysis. (</w:t>
      </w:r>
      <w:r w:rsidR="00D72AC4" w:rsidRPr="00D72AC4">
        <w:rPr>
          <w:b/>
        </w:rPr>
        <w:t>c</w:t>
      </w:r>
      <w:r w:rsidR="00D72AC4">
        <w:t>)</w:t>
      </w:r>
      <w:r w:rsidR="00B924EE">
        <w:t xml:space="preserve"> </w:t>
      </w:r>
      <w:r w:rsidR="00D72AC4">
        <w:t>Proportion of cells for which the reference allele is the major expressed allele. Alleles with proven heterozygous expression across the donors’ cells with proportions between 0.4 and 0.6 were selected for downstream analysis. (</w:t>
      </w:r>
      <w:r w:rsidR="00D72AC4" w:rsidRPr="00D72AC4">
        <w:rPr>
          <w:b/>
        </w:rPr>
        <w:t>d</w:t>
      </w:r>
      <w:r w:rsidR="00D72AC4">
        <w:t xml:space="preserve">)  Total counts per allele in a cell. The median of log10(counts)=1.14 (median counts=14) show low allele counts in X-linked genes per cell.   </w:t>
      </w:r>
      <w:r w:rsidR="00B924EE">
        <w:t xml:space="preserve">      </w:t>
      </w:r>
    </w:p>
    <w:p w14:paraId="3A89A034" w14:textId="77777777" w:rsidR="009F1B73" w:rsidRDefault="009F1B73" w:rsidP="009F1B73">
      <w:pPr>
        <w:jc w:val="center"/>
        <w:rPr>
          <w:rFonts w:ascii="Arial" w:hAnsi="Arial" w:cs="Arial"/>
          <w:sz w:val="36"/>
          <w:szCs w:val="36"/>
        </w:rPr>
      </w:pPr>
    </w:p>
    <w:p w14:paraId="0318B200" w14:textId="632EC51E" w:rsidR="009F1B73" w:rsidRDefault="009F1B73" w:rsidP="00DE2FB1">
      <w:pPr>
        <w:pStyle w:val="SMHeading"/>
        <w:keepNext w:val="0"/>
        <w:widowControl w:val="0"/>
        <w:spacing w:before="0"/>
      </w:pPr>
    </w:p>
    <w:p w14:paraId="144CEEE9" w14:textId="66762068" w:rsidR="006B4797" w:rsidRDefault="006B4797" w:rsidP="00DE2FB1">
      <w:pPr>
        <w:pStyle w:val="SMHeading"/>
        <w:keepNext w:val="0"/>
        <w:widowControl w:val="0"/>
        <w:spacing w:before="0"/>
      </w:pPr>
    </w:p>
    <w:p w14:paraId="5CC625B9" w14:textId="38A21248" w:rsidR="006B4797" w:rsidRDefault="006B4797" w:rsidP="00DE2FB1">
      <w:pPr>
        <w:pStyle w:val="SMHeading"/>
        <w:keepNext w:val="0"/>
        <w:widowControl w:val="0"/>
        <w:spacing w:before="0"/>
      </w:pPr>
    </w:p>
    <w:p w14:paraId="3CA43976" w14:textId="1B7971A4" w:rsidR="006B4797" w:rsidRDefault="00FC502D" w:rsidP="00DE2FB1">
      <w:pPr>
        <w:pStyle w:val="SMHeading"/>
        <w:keepNext w:val="0"/>
        <w:widowControl w:val="0"/>
        <w:spacing w:before="0"/>
      </w:pPr>
      <w:r>
        <w:rPr>
          <w:noProof/>
        </w:rPr>
        <w:lastRenderedPageBreak/>
        <w:drawing>
          <wp:inline distT="0" distB="0" distL="0" distR="0" wp14:anchorId="6E9F012B" wp14:editId="5474071D">
            <wp:extent cx="5400040" cy="30368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036890"/>
                    </a:xfrm>
                    <a:prstGeom prst="rect">
                      <a:avLst/>
                    </a:prstGeom>
                    <a:noFill/>
                    <a:ln>
                      <a:noFill/>
                    </a:ln>
                  </pic:spPr>
                </pic:pic>
              </a:graphicData>
            </a:graphic>
          </wp:inline>
        </w:drawing>
      </w:r>
    </w:p>
    <w:p w14:paraId="747D94CA" w14:textId="77777777" w:rsidR="00FC502D" w:rsidRDefault="00FC502D" w:rsidP="00DE2FB1">
      <w:pPr>
        <w:pStyle w:val="SMHeading"/>
        <w:keepNext w:val="0"/>
        <w:widowControl w:val="0"/>
        <w:spacing w:before="0"/>
      </w:pPr>
    </w:p>
    <w:p w14:paraId="5D08365C" w14:textId="2208704F" w:rsidR="006B4797" w:rsidRDefault="006B4797" w:rsidP="00DE2FB1">
      <w:pPr>
        <w:pStyle w:val="SMHeading"/>
        <w:keepNext w:val="0"/>
        <w:widowControl w:val="0"/>
        <w:spacing w:before="0"/>
        <w:rPr>
          <w:b w:val="0"/>
        </w:rPr>
      </w:pPr>
      <w:r w:rsidRPr="00BE648C">
        <w:t xml:space="preserve">Supplementary Figure </w:t>
      </w:r>
      <w:r w:rsidR="00E837F9">
        <w:t>4</w:t>
      </w:r>
      <w:r w:rsidRPr="00551F05">
        <w:t>.</w:t>
      </w:r>
      <w:r w:rsidR="00C30A54">
        <w:t xml:space="preserve"> </w:t>
      </w:r>
      <w:r w:rsidR="00C30A54">
        <w:rPr>
          <w:b w:val="0"/>
        </w:rPr>
        <w:t xml:space="preserve">Bayesian network analysis for the </w:t>
      </w:r>
      <w:r w:rsidR="001E4DF5">
        <w:rPr>
          <w:b w:val="0"/>
        </w:rPr>
        <w:t xml:space="preserve">cell type transcriptomic markers of bulk endometrium samples, including </w:t>
      </w:r>
      <w:r w:rsidR="00FC502D">
        <w:rPr>
          <w:b w:val="0"/>
        </w:rPr>
        <w:t>STER</w:t>
      </w:r>
      <w:r w:rsidR="001E4DF5">
        <w:rPr>
          <w:b w:val="0"/>
        </w:rPr>
        <w:t xml:space="preserve">. </w:t>
      </w:r>
      <w:r w:rsidR="00FC502D">
        <w:rPr>
          <w:b w:val="0"/>
        </w:rPr>
        <w:t>STER</w:t>
      </w:r>
      <w:r w:rsidR="001E4DF5">
        <w:rPr>
          <w:b w:val="0"/>
        </w:rPr>
        <w:t xml:space="preserve"> variation immediately depends on </w:t>
      </w:r>
      <w:r w:rsidR="001E4DF5" w:rsidRPr="001E4DF5">
        <w:rPr>
          <w:b w:val="0"/>
          <w:i/>
        </w:rPr>
        <w:t>MMP11</w:t>
      </w:r>
      <w:r w:rsidR="001E4DF5">
        <w:rPr>
          <w:b w:val="0"/>
        </w:rPr>
        <w:t xml:space="preserve"> </w:t>
      </w:r>
      <w:r w:rsidR="001E4DF5" w:rsidRPr="001E4DF5">
        <w:rPr>
          <w:b w:val="0"/>
        </w:rPr>
        <w:t xml:space="preserve">a stromal </w:t>
      </w:r>
      <w:r w:rsidR="001E4DF5">
        <w:rPr>
          <w:b w:val="0"/>
        </w:rPr>
        <w:t xml:space="preserve">cell </w:t>
      </w:r>
      <w:r w:rsidR="001E4DF5" w:rsidRPr="001E4DF5">
        <w:rPr>
          <w:b w:val="0"/>
        </w:rPr>
        <w:t>marker involved in tissue remodeling and aggressive cancer</w:t>
      </w:r>
      <w:r w:rsidR="001E4DF5">
        <w:rPr>
          <w:b w:val="0"/>
        </w:rPr>
        <w:t>.</w:t>
      </w:r>
    </w:p>
    <w:p w14:paraId="38C95394" w14:textId="77777777" w:rsidR="0041710A" w:rsidRPr="00C30A54" w:rsidRDefault="0041710A" w:rsidP="00DE2FB1">
      <w:pPr>
        <w:pStyle w:val="SMHeading"/>
        <w:keepNext w:val="0"/>
        <w:widowControl w:val="0"/>
        <w:spacing w:before="0"/>
        <w:rPr>
          <w:b w:val="0"/>
        </w:rPr>
      </w:pPr>
      <w:bookmarkStart w:id="1" w:name="_GoBack"/>
      <w:bookmarkEnd w:id="1"/>
    </w:p>
    <w:p w14:paraId="4E604357" w14:textId="77777777" w:rsidR="006B4797" w:rsidRDefault="006B4797" w:rsidP="00DE2FB1">
      <w:pPr>
        <w:pStyle w:val="SMHeading"/>
        <w:keepNext w:val="0"/>
        <w:widowControl w:val="0"/>
        <w:spacing w:before="0"/>
      </w:pPr>
    </w:p>
    <w:p w14:paraId="499A5D4E" w14:textId="51791809" w:rsidR="009F1B73" w:rsidRDefault="009F1B73" w:rsidP="00DE2FB1">
      <w:pPr>
        <w:pStyle w:val="SMHeading"/>
        <w:keepNext w:val="0"/>
        <w:widowControl w:val="0"/>
        <w:spacing w:before="0"/>
      </w:pPr>
    </w:p>
    <w:p w14:paraId="2D9BF740" w14:textId="53690DE4" w:rsidR="007F20A0" w:rsidRDefault="007F20A0" w:rsidP="00DE2FB1">
      <w:pPr>
        <w:pStyle w:val="SMHeading"/>
        <w:keepNext w:val="0"/>
        <w:widowControl w:val="0"/>
        <w:spacing w:before="0"/>
      </w:pPr>
    </w:p>
    <w:p w14:paraId="0046D426" w14:textId="5B068530" w:rsidR="007F20A0" w:rsidRDefault="002114E6" w:rsidP="00DE2FB1">
      <w:pPr>
        <w:pStyle w:val="SMHeading"/>
        <w:keepNext w:val="0"/>
        <w:widowControl w:val="0"/>
        <w:spacing w:before="0"/>
      </w:pPr>
      <w:r>
        <w:rPr>
          <w:noProof/>
        </w:rPr>
        <w:lastRenderedPageBreak/>
        <w:drawing>
          <wp:inline distT="0" distB="0" distL="0" distR="0" wp14:anchorId="29B5BDB1" wp14:editId="1DCF7E31">
            <wp:extent cx="5400040" cy="404710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4047102"/>
                    </a:xfrm>
                    <a:prstGeom prst="rect">
                      <a:avLst/>
                    </a:prstGeom>
                    <a:noFill/>
                    <a:ln>
                      <a:noFill/>
                    </a:ln>
                  </pic:spPr>
                </pic:pic>
              </a:graphicData>
            </a:graphic>
          </wp:inline>
        </w:drawing>
      </w:r>
    </w:p>
    <w:p w14:paraId="433C788F" w14:textId="3C51C03B" w:rsidR="007F20A0" w:rsidRPr="001E4DF5" w:rsidRDefault="007F20A0" w:rsidP="007F20A0">
      <w:pPr>
        <w:pStyle w:val="SMHeading"/>
        <w:keepNext w:val="0"/>
        <w:widowControl w:val="0"/>
        <w:spacing w:before="0"/>
        <w:rPr>
          <w:b w:val="0"/>
        </w:rPr>
      </w:pPr>
      <w:r w:rsidRPr="00BE648C">
        <w:t xml:space="preserve">Supplementary Figure </w:t>
      </w:r>
      <w:r>
        <w:t>5</w:t>
      </w:r>
      <w:r w:rsidRPr="00551F05">
        <w:t>.</w:t>
      </w:r>
      <w:r w:rsidR="001E4DF5">
        <w:t xml:space="preserve"> </w:t>
      </w:r>
      <w:r w:rsidR="001E4DF5">
        <w:rPr>
          <w:b w:val="0"/>
        </w:rPr>
        <w:t xml:space="preserve">Enrichment analysis for genes significantly associated with </w:t>
      </w:r>
      <w:r w:rsidR="00FC502D">
        <w:rPr>
          <w:b w:val="0"/>
        </w:rPr>
        <w:t>STER</w:t>
      </w:r>
      <w:r w:rsidR="001E4DF5">
        <w:rPr>
          <w:b w:val="0"/>
        </w:rPr>
        <w:t xml:space="preserve"> in endometrial bulk samples across the menstrual cycle. </w:t>
      </w:r>
    </w:p>
    <w:p w14:paraId="5B7FCE56" w14:textId="511B9328" w:rsidR="007F20A0" w:rsidRDefault="007F20A0" w:rsidP="00DE2FB1">
      <w:pPr>
        <w:pStyle w:val="SMHeading"/>
        <w:keepNext w:val="0"/>
        <w:widowControl w:val="0"/>
        <w:spacing w:before="0"/>
      </w:pPr>
    </w:p>
    <w:p w14:paraId="29E93E2C" w14:textId="08C06090" w:rsidR="007F20A0" w:rsidRDefault="007F20A0" w:rsidP="00DE2FB1">
      <w:pPr>
        <w:pStyle w:val="SMHeading"/>
        <w:keepNext w:val="0"/>
        <w:widowControl w:val="0"/>
        <w:spacing w:before="0"/>
      </w:pPr>
    </w:p>
    <w:p w14:paraId="57453606" w14:textId="1536697C" w:rsidR="00EF52C9" w:rsidRDefault="00EF52C9" w:rsidP="00DE2FB1">
      <w:pPr>
        <w:pStyle w:val="SMHeading"/>
        <w:keepNext w:val="0"/>
        <w:widowControl w:val="0"/>
        <w:spacing w:before="0"/>
      </w:pPr>
    </w:p>
    <w:p w14:paraId="6F1A800D" w14:textId="477CEF48" w:rsidR="004818FB" w:rsidRDefault="004818FB"/>
    <w:sectPr w:rsidR="004818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05"/>
    <w:rsid w:val="00014996"/>
    <w:rsid w:val="000166F3"/>
    <w:rsid w:val="000168A7"/>
    <w:rsid w:val="00016EA9"/>
    <w:rsid w:val="0007421B"/>
    <w:rsid w:val="000901FA"/>
    <w:rsid w:val="0009351D"/>
    <w:rsid w:val="0009490F"/>
    <w:rsid w:val="0009582F"/>
    <w:rsid w:val="000C378D"/>
    <w:rsid w:val="000F1912"/>
    <w:rsid w:val="00112CE7"/>
    <w:rsid w:val="00116D40"/>
    <w:rsid w:val="00117A83"/>
    <w:rsid w:val="00131CEF"/>
    <w:rsid w:val="0017143C"/>
    <w:rsid w:val="001718F3"/>
    <w:rsid w:val="00180EB5"/>
    <w:rsid w:val="001C1FBF"/>
    <w:rsid w:val="001C46F5"/>
    <w:rsid w:val="001E4DF5"/>
    <w:rsid w:val="001E79E7"/>
    <w:rsid w:val="002114E6"/>
    <w:rsid w:val="00211666"/>
    <w:rsid w:val="00214886"/>
    <w:rsid w:val="00252C4C"/>
    <w:rsid w:val="00256DE4"/>
    <w:rsid w:val="00280216"/>
    <w:rsid w:val="00291985"/>
    <w:rsid w:val="00293158"/>
    <w:rsid w:val="002D4B0D"/>
    <w:rsid w:val="002D722A"/>
    <w:rsid w:val="002E3BAF"/>
    <w:rsid w:val="002F2180"/>
    <w:rsid w:val="003018AD"/>
    <w:rsid w:val="00326C31"/>
    <w:rsid w:val="00330ED6"/>
    <w:rsid w:val="00342D31"/>
    <w:rsid w:val="00360B31"/>
    <w:rsid w:val="00362509"/>
    <w:rsid w:val="003723AE"/>
    <w:rsid w:val="00382D64"/>
    <w:rsid w:val="00396983"/>
    <w:rsid w:val="003A25A0"/>
    <w:rsid w:val="003B1FF5"/>
    <w:rsid w:val="003C2250"/>
    <w:rsid w:val="003D0684"/>
    <w:rsid w:val="003E525A"/>
    <w:rsid w:val="003F1819"/>
    <w:rsid w:val="004138DE"/>
    <w:rsid w:val="00414B6B"/>
    <w:rsid w:val="0041710A"/>
    <w:rsid w:val="00427FB3"/>
    <w:rsid w:val="00443A12"/>
    <w:rsid w:val="00450A08"/>
    <w:rsid w:val="004818FB"/>
    <w:rsid w:val="004834FB"/>
    <w:rsid w:val="00484A7B"/>
    <w:rsid w:val="004B18A5"/>
    <w:rsid w:val="004F19D9"/>
    <w:rsid w:val="004F57B4"/>
    <w:rsid w:val="004F76C8"/>
    <w:rsid w:val="0051137B"/>
    <w:rsid w:val="00531F86"/>
    <w:rsid w:val="00551F05"/>
    <w:rsid w:val="00572C87"/>
    <w:rsid w:val="005976C6"/>
    <w:rsid w:val="005A4338"/>
    <w:rsid w:val="005A79CF"/>
    <w:rsid w:val="005C6626"/>
    <w:rsid w:val="005F04A1"/>
    <w:rsid w:val="00602DC7"/>
    <w:rsid w:val="006120C9"/>
    <w:rsid w:val="00637AB4"/>
    <w:rsid w:val="00652B35"/>
    <w:rsid w:val="00672361"/>
    <w:rsid w:val="006863C1"/>
    <w:rsid w:val="0069190C"/>
    <w:rsid w:val="006928B1"/>
    <w:rsid w:val="006B4797"/>
    <w:rsid w:val="006C417A"/>
    <w:rsid w:val="00720E79"/>
    <w:rsid w:val="0073439E"/>
    <w:rsid w:val="00760A72"/>
    <w:rsid w:val="00760ACA"/>
    <w:rsid w:val="007668B7"/>
    <w:rsid w:val="00775849"/>
    <w:rsid w:val="00786550"/>
    <w:rsid w:val="007B2DA6"/>
    <w:rsid w:val="007B4EA2"/>
    <w:rsid w:val="007B69D9"/>
    <w:rsid w:val="007C4F0C"/>
    <w:rsid w:val="007D58C0"/>
    <w:rsid w:val="007E39D6"/>
    <w:rsid w:val="007E4FFC"/>
    <w:rsid w:val="007F20A0"/>
    <w:rsid w:val="00810F56"/>
    <w:rsid w:val="00836E25"/>
    <w:rsid w:val="008373B1"/>
    <w:rsid w:val="00856378"/>
    <w:rsid w:val="0086099B"/>
    <w:rsid w:val="008769D5"/>
    <w:rsid w:val="00891309"/>
    <w:rsid w:val="00894FE0"/>
    <w:rsid w:val="0089558E"/>
    <w:rsid w:val="008B1B1E"/>
    <w:rsid w:val="008C4451"/>
    <w:rsid w:val="008C452E"/>
    <w:rsid w:val="008D1D8C"/>
    <w:rsid w:val="008E42FB"/>
    <w:rsid w:val="008E6E6D"/>
    <w:rsid w:val="008F10C9"/>
    <w:rsid w:val="00904A16"/>
    <w:rsid w:val="0093144B"/>
    <w:rsid w:val="0097273A"/>
    <w:rsid w:val="009807C4"/>
    <w:rsid w:val="00987F52"/>
    <w:rsid w:val="009A6C45"/>
    <w:rsid w:val="009D1041"/>
    <w:rsid w:val="009D7DED"/>
    <w:rsid w:val="009F1B73"/>
    <w:rsid w:val="00A00E4C"/>
    <w:rsid w:val="00A047A4"/>
    <w:rsid w:val="00A2050C"/>
    <w:rsid w:val="00A24436"/>
    <w:rsid w:val="00A27A97"/>
    <w:rsid w:val="00A452EF"/>
    <w:rsid w:val="00A50A3E"/>
    <w:rsid w:val="00A607C1"/>
    <w:rsid w:val="00AB0945"/>
    <w:rsid w:val="00AE58B4"/>
    <w:rsid w:val="00AF44D4"/>
    <w:rsid w:val="00B04939"/>
    <w:rsid w:val="00B23848"/>
    <w:rsid w:val="00B25D82"/>
    <w:rsid w:val="00B27DC4"/>
    <w:rsid w:val="00B778DB"/>
    <w:rsid w:val="00B806A0"/>
    <w:rsid w:val="00B85E57"/>
    <w:rsid w:val="00B924EE"/>
    <w:rsid w:val="00B977BA"/>
    <w:rsid w:val="00BA2184"/>
    <w:rsid w:val="00BB69EC"/>
    <w:rsid w:val="00BB746D"/>
    <w:rsid w:val="00BC4B9B"/>
    <w:rsid w:val="00BE648C"/>
    <w:rsid w:val="00BF6EAC"/>
    <w:rsid w:val="00C1556F"/>
    <w:rsid w:val="00C30A54"/>
    <w:rsid w:val="00C51C15"/>
    <w:rsid w:val="00C607F5"/>
    <w:rsid w:val="00C61CB9"/>
    <w:rsid w:val="00C61DA4"/>
    <w:rsid w:val="00C6512A"/>
    <w:rsid w:val="00C71E03"/>
    <w:rsid w:val="00C76B84"/>
    <w:rsid w:val="00C81535"/>
    <w:rsid w:val="00CA420A"/>
    <w:rsid w:val="00CC28F2"/>
    <w:rsid w:val="00CC4511"/>
    <w:rsid w:val="00CD637D"/>
    <w:rsid w:val="00CE4FBF"/>
    <w:rsid w:val="00D20E21"/>
    <w:rsid w:val="00D44D1F"/>
    <w:rsid w:val="00D61C28"/>
    <w:rsid w:val="00D72AC4"/>
    <w:rsid w:val="00D7711E"/>
    <w:rsid w:val="00DB3C86"/>
    <w:rsid w:val="00DD0831"/>
    <w:rsid w:val="00DD7962"/>
    <w:rsid w:val="00DE2FB1"/>
    <w:rsid w:val="00E05632"/>
    <w:rsid w:val="00E4236C"/>
    <w:rsid w:val="00E45CFE"/>
    <w:rsid w:val="00E47910"/>
    <w:rsid w:val="00E54178"/>
    <w:rsid w:val="00E67025"/>
    <w:rsid w:val="00E77D5E"/>
    <w:rsid w:val="00E837F9"/>
    <w:rsid w:val="00E91433"/>
    <w:rsid w:val="00EA6E1D"/>
    <w:rsid w:val="00EF3FA3"/>
    <w:rsid w:val="00EF52C9"/>
    <w:rsid w:val="00F05FAF"/>
    <w:rsid w:val="00F137BD"/>
    <w:rsid w:val="00F27CFE"/>
    <w:rsid w:val="00F3794E"/>
    <w:rsid w:val="00F5165B"/>
    <w:rsid w:val="00F62F99"/>
    <w:rsid w:val="00F80564"/>
    <w:rsid w:val="00F85BF2"/>
    <w:rsid w:val="00FC1DEC"/>
    <w:rsid w:val="00FC502D"/>
    <w:rsid w:val="00FC6618"/>
    <w:rsid w:val="00FE01B2"/>
    <w:rsid w:val="00FF06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6A10"/>
  <w15:chartTrackingRefBased/>
  <w15:docId w15:val="{0ED58517-7A0D-4EEB-B821-BD5FA229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F05"/>
    <w:rPr>
      <w:rFonts w:ascii="Times New Roman" w:eastAsia="Times New Roman" w:hAnsi="Times New Roman" w:cs="Times New Roman"/>
      <w:sz w:val="24"/>
      <w:szCs w:val="20"/>
      <w:lang w:val="en-US"/>
    </w:rPr>
  </w:style>
  <w:style w:type="paragraph" w:styleId="Ttulo1">
    <w:name w:val="heading 1"/>
    <w:basedOn w:val="Normal"/>
    <w:next w:val="Normal"/>
    <w:link w:val="Ttulo1Car"/>
    <w:uiPriority w:val="9"/>
    <w:qFormat/>
    <w:rsid w:val="00551F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MHeading">
    <w:name w:val="SM Heading"/>
    <w:basedOn w:val="Ttulo1"/>
    <w:qFormat/>
    <w:rsid w:val="00551F05"/>
    <w:pPr>
      <w:keepLines w:val="0"/>
      <w:spacing w:after="60"/>
    </w:pPr>
    <w:rPr>
      <w:rFonts w:ascii="Times New Roman" w:eastAsia="Times New Roman" w:hAnsi="Times New Roman" w:cs="Times New Roman"/>
      <w:b/>
      <w:bCs/>
      <w:color w:val="auto"/>
      <w:kern w:val="32"/>
      <w:sz w:val="24"/>
      <w:szCs w:val="24"/>
    </w:rPr>
  </w:style>
  <w:style w:type="paragraph" w:customStyle="1" w:styleId="SMcaption">
    <w:name w:val="SM caption"/>
    <w:basedOn w:val="Normal"/>
    <w:qFormat/>
    <w:rsid w:val="00551F05"/>
  </w:style>
  <w:style w:type="character" w:customStyle="1" w:styleId="Ttulo1Car">
    <w:name w:val="Título 1 Car"/>
    <w:basedOn w:val="Fuentedeprrafopredeter"/>
    <w:link w:val="Ttulo1"/>
    <w:uiPriority w:val="9"/>
    <w:rsid w:val="00551F05"/>
    <w:rPr>
      <w:rFonts w:asciiTheme="majorHAnsi" w:eastAsiaTheme="majorEastAsia" w:hAnsiTheme="majorHAnsi" w:cstheme="majorBidi"/>
      <w:color w:val="2F5496" w:themeColor="accent1" w:themeShade="BF"/>
      <w:sz w:val="32"/>
      <w:szCs w:val="32"/>
      <w:lang w:val="en-US"/>
    </w:rPr>
  </w:style>
  <w:style w:type="paragraph" w:customStyle="1" w:styleId="SMText">
    <w:name w:val="SM Text"/>
    <w:basedOn w:val="Normal"/>
    <w:qFormat/>
    <w:rsid w:val="00551F05"/>
    <w:pPr>
      <w:ind w:firstLine="480"/>
    </w:pPr>
  </w:style>
  <w:style w:type="paragraph" w:customStyle="1" w:styleId="Compact">
    <w:name w:val="Compact"/>
    <w:basedOn w:val="Normal"/>
    <w:qFormat/>
    <w:rsid w:val="00551F05"/>
    <w:pPr>
      <w:spacing w:before="36" w:after="36"/>
    </w:pPr>
    <w:rPr>
      <w:rFonts w:asciiTheme="minorHAnsi" w:eastAsiaTheme="minorHAnsi" w:hAnsiTheme="minorHAnsi" w:cstheme="minorBidi"/>
      <w:szCs w:val="24"/>
    </w:rPr>
  </w:style>
  <w:style w:type="table" w:styleId="Tablanormal2">
    <w:name w:val="Plain Table 2"/>
    <w:basedOn w:val="Tablanormal"/>
    <w:uiPriority w:val="42"/>
    <w:rsid w:val="00551F05"/>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734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Summary">
    <w:name w:val="Abstract/Summary"/>
    <w:basedOn w:val="Normal"/>
    <w:rsid w:val="00A50A3E"/>
    <w:pPr>
      <w:spacing w:before="120"/>
    </w:pPr>
    <w:rPr>
      <w:szCs w:val="24"/>
    </w:rPr>
  </w:style>
  <w:style w:type="paragraph" w:customStyle="1" w:styleId="Acknowledgement">
    <w:name w:val="Acknowledgement"/>
    <w:basedOn w:val="Normal"/>
    <w:rsid w:val="00A50A3E"/>
    <w:pPr>
      <w:spacing w:before="120"/>
      <w:ind w:left="720" w:hanging="720"/>
    </w:pPr>
    <w:rPr>
      <w:szCs w:val="24"/>
    </w:rPr>
  </w:style>
  <w:style w:type="paragraph" w:customStyle="1" w:styleId="Refhead">
    <w:name w:val="Ref head"/>
    <w:basedOn w:val="Normal"/>
    <w:rsid w:val="00A50A3E"/>
    <w:pPr>
      <w:keepNext/>
      <w:spacing w:before="120" w:after="120"/>
      <w:outlineLvl w:val="0"/>
    </w:pPr>
    <w:rPr>
      <w:b/>
      <w:bCs/>
      <w:kern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264328">
      <w:bodyDiv w:val="1"/>
      <w:marLeft w:val="0"/>
      <w:marRight w:val="0"/>
      <w:marTop w:val="0"/>
      <w:marBottom w:val="0"/>
      <w:divBdr>
        <w:top w:val="none" w:sz="0" w:space="0" w:color="auto"/>
        <w:left w:val="none" w:sz="0" w:space="0" w:color="auto"/>
        <w:bottom w:val="none" w:sz="0" w:space="0" w:color="auto"/>
        <w:right w:val="none" w:sz="0" w:space="0" w:color="auto"/>
      </w:divBdr>
    </w:div>
    <w:div w:id="496310100">
      <w:bodyDiv w:val="1"/>
      <w:marLeft w:val="0"/>
      <w:marRight w:val="0"/>
      <w:marTop w:val="0"/>
      <w:marBottom w:val="0"/>
      <w:divBdr>
        <w:top w:val="none" w:sz="0" w:space="0" w:color="auto"/>
        <w:left w:val="none" w:sz="0" w:space="0" w:color="auto"/>
        <w:bottom w:val="none" w:sz="0" w:space="0" w:color="auto"/>
        <w:right w:val="none" w:sz="0" w:space="0" w:color="auto"/>
      </w:divBdr>
    </w:div>
    <w:div w:id="1784692768">
      <w:bodyDiv w:val="1"/>
      <w:marLeft w:val="0"/>
      <w:marRight w:val="0"/>
      <w:marTop w:val="0"/>
      <w:marBottom w:val="0"/>
      <w:divBdr>
        <w:top w:val="none" w:sz="0" w:space="0" w:color="auto"/>
        <w:left w:val="none" w:sz="0" w:space="0" w:color="auto"/>
        <w:bottom w:val="none" w:sz="0" w:space="0" w:color="auto"/>
        <w:right w:val="none" w:sz="0" w:space="0" w:color="auto"/>
      </w:divBdr>
    </w:div>
    <w:div w:id="181583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24B6D5-38A0-4959-9E19-B25716EB7942}">
  <we:reference id="wa104382081" version="1.55.1.0" store="es-E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6C032-108D-4312-A22A-02DB1777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5</Pages>
  <Words>254</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CÁCERES DOMÍNGUEZ</dc:creator>
  <cp:keywords/>
  <dc:description/>
  <cp:lastModifiedBy>ALEJANDRO, CÁCERES DOMÍNGUEZ</cp:lastModifiedBy>
  <cp:revision>51</cp:revision>
  <cp:lastPrinted>2025-01-27T11:51:00Z</cp:lastPrinted>
  <dcterms:created xsi:type="dcterms:W3CDTF">2024-11-20T10:04:00Z</dcterms:created>
  <dcterms:modified xsi:type="dcterms:W3CDTF">2026-01-23T17:29:00Z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http://www.zotero.org/styles/bmc-medicine</vt:lpwstr>
  </property>
  <property fmtid="{D5CDD505-2E9C-101B-9397-08002B2CF9AE}" pid="5" name="Mendeley Recent Style Name 1_1">
    <vt:lpwstr>BMC Medicine</vt:lpwstr>
  </property>
  <property fmtid="{D5CDD505-2E9C-101B-9397-08002B2CF9AE}" pid="6" name="Mendeley Recent Style Id 2_1">
    <vt:lpwstr>http://www.zotero.org/styles/cancer-letters</vt:lpwstr>
  </property>
  <property fmtid="{D5CDD505-2E9C-101B-9397-08002B2CF9AE}" pid="7" name="Mendeley Recent Style Name 2_1">
    <vt:lpwstr>Cancer Letters</vt:lpwstr>
  </property>
  <property fmtid="{D5CDD505-2E9C-101B-9397-08002B2CF9AE}" pid="8" name="Mendeley Recent Style Id 3_1">
    <vt:lpwstr>http://www.zotero.org/styles/cancer-research</vt:lpwstr>
  </property>
  <property fmtid="{D5CDD505-2E9C-101B-9397-08002B2CF9AE}" pid="9" name="Mendeley Recent Style Name 3_1">
    <vt:lpwstr>Cancer Research</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http://www.zotero.org/styles/science</vt:lpwstr>
  </property>
  <property fmtid="{D5CDD505-2E9C-101B-9397-08002B2CF9AE}" pid="21" name="Mendeley Recent Style Name 9_1">
    <vt:lpwstr>Science</vt:lpwstr>
  </property>
  <property fmtid="{D5CDD505-2E9C-101B-9397-08002B2CF9AE}" pid="22" name="Mendeley Document_1">
    <vt:lpwstr>True</vt:lpwstr>
  </property>
  <property fmtid="{D5CDD505-2E9C-101B-9397-08002B2CF9AE}" pid="23" name="Mendeley Citation Style_1">
    <vt:lpwstr>http://www.zotero.org/styles/cancer-letters</vt:lpwstr>
  </property>
  <property fmtid="{D5CDD505-2E9C-101B-9397-08002B2CF9AE}" pid="24" name="Mendeley Unique User Id_1">
    <vt:lpwstr>cd3ae22c-cf71-34c1-994c-0a3cf7f15c52</vt:lpwstr>
  </property>
</Properties>
</file>