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3427" w14:textId="77777777" w:rsidR="00112690" w:rsidRPr="00DF124E" w:rsidRDefault="00112690" w:rsidP="00112690">
      <w:pPr>
        <w:pBdr>
          <w:bottom w:val="single" w:sz="6" w:space="0" w:color="97B1C8"/>
        </w:pBdr>
        <w:spacing w:line="360" w:lineRule="auto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DF124E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4"/>
          <w:szCs w:val="24"/>
        </w:rPr>
        <w:t>Real-world effectiveness of palbociclib in HR+/HER2− metastatic breast cancer: A multicenter prospective cohort study</w:t>
      </w:r>
    </w:p>
    <w:p w14:paraId="5CF69A8F" w14:textId="77777777" w:rsidR="00112690" w:rsidRPr="00DF124E" w:rsidRDefault="00112690" w:rsidP="00112690">
      <w:pPr>
        <w:pBdr>
          <w:bottom w:val="single" w:sz="6" w:space="0" w:color="97B1C8"/>
        </w:pBdr>
        <w:spacing w:line="360" w:lineRule="auto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102695A6" w14:textId="77777777" w:rsidR="00112690" w:rsidRDefault="00112690" w:rsidP="00112690">
      <w:pPr>
        <w:pBdr>
          <w:bottom w:val="single" w:sz="6" w:space="0" w:color="97B1C8"/>
        </w:pBdr>
        <w:spacing w:line="360" w:lineRule="auto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</w:pPr>
      <w:r w:rsidRPr="00DF124E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Supplementary Information</w:t>
      </w:r>
    </w:p>
    <w:p w14:paraId="464A78ED" w14:textId="70F4D800" w:rsidR="00112690" w:rsidRPr="00112690" w:rsidRDefault="00112690" w:rsidP="00112690">
      <w:pPr>
        <w:pBdr>
          <w:bottom w:val="single" w:sz="6" w:space="0" w:color="97B1C8"/>
        </w:pBd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2690">
        <w:rPr>
          <w:rFonts w:ascii="Times New Roman" w:hAnsi="Times New Roman" w:cs="Times New Roman"/>
          <w:sz w:val="24"/>
          <w:szCs w:val="24"/>
        </w:rPr>
        <w:t xml:space="preserve">The tables in the supplementary information provide additional details of the study. These details include the specific anticancer agents used (Supplementary Table 1), </w:t>
      </w:r>
      <w:r w:rsidR="00AA74FA">
        <w:rPr>
          <w:rFonts w:ascii="Times New Roman" w:hAnsi="Times New Roman" w:cs="Times New Roman"/>
          <w:sz w:val="24"/>
          <w:szCs w:val="24"/>
        </w:rPr>
        <w:t xml:space="preserve">the </w:t>
      </w:r>
      <w:r w:rsidRPr="00112690">
        <w:rPr>
          <w:rFonts w:ascii="Times New Roman" w:hAnsi="Times New Roman" w:cs="Times New Roman"/>
          <w:sz w:val="24"/>
          <w:szCs w:val="24"/>
        </w:rPr>
        <w:t>adverse events (Supplementary Table 2), and the doses of palbociclib (Supplementary Table 3) in each cohor</w:t>
      </w:r>
      <w:r w:rsidR="00AA74FA">
        <w:rPr>
          <w:rFonts w:ascii="Times New Roman" w:hAnsi="Times New Roman" w:cs="Times New Roman"/>
          <w:sz w:val="24"/>
          <w:szCs w:val="24"/>
        </w:rPr>
        <w:t>t</w:t>
      </w:r>
      <w:r w:rsidRPr="00112690">
        <w:rPr>
          <w:rFonts w:ascii="Times New Roman" w:hAnsi="Times New Roman" w:cs="Times New Roman"/>
          <w:sz w:val="24"/>
          <w:szCs w:val="24"/>
        </w:rPr>
        <w:t>.</w:t>
      </w:r>
    </w:p>
    <w:p w14:paraId="6667518D" w14:textId="77777777" w:rsidR="00112690" w:rsidRPr="00112690" w:rsidRDefault="00112690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9B1F5EF" w14:textId="77777777" w:rsidR="00112690" w:rsidRPr="00112690" w:rsidRDefault="00112690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EB44F7" w14:textId="536A4182" w:rsidR="00746362" w:rsidRPr="00746362" w:rsidRDefault="002F21C5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746362">
        <w:rPr>
          <w:rFonts w:ascii="Times New Roman" w:hAnsi="Times New Roman" w:cs="Times New Roman"/>
          <w:sz w:val="24"/>
          <w:szCs w:val="24"/>
        </w:rPr>
        <w:t>Suppl</w:t>
      </w:r>
      <w:r w:rsidR="00746362">
        <w:rPr>
          <w:rFonts w:ascii="Times New Roman" w:hAnsi="Times New Roman" w:cs="Times New Roman"/>
          <w:sz w:val="24"/>
          <w:szCs w:val="24"/>
        </w:rPr>
        <w:t>ementa</w:t>
      </w:r>
      <w:r w:rsidR="004F0535">
        <w:rPr>
          <w:rFonts w:ascii="Times New Roman" w:hAnsi="Times New Roman" w:cs="Times New Roman"/>
          <w:sz w:val="24"/>
          <w:szCs w:val="24"/>
        </w:rPr>
        <w:t>ry</w:t>
      </w:r>
      <w:r w:rsidR="00746362">
        <w:rPr>
          <w:rFonts w:ascii="Times New Roman" w:hAnsi="Times New Roman" w:cs="Times New Roman"/>
          <w:sz w:val="24"/>
          <w:szCs w:val="24"/>
        </w:rPr>
        <w:t xml:space="preserve"> Table </w:t>
      </w:r>
      <w:r w:rsidRPr="00746362">
        <w:rPr>
          <w:rFonts w:ascii="Times New Roman" w:hAnsi="Times New Roman" w:cs="Times New Roman"/>
          <w:sz w:val="24"/>
          <w:szCs w:val="24"/>
        </w:rPr>
        <w:t>1</w:t>
      </w:r>
      <w:r w:rsidR="00746362">
        <w:rPr>
          <w:rFonts w:ascii="Times New Roman" w:hAnsi="Times New Roman" w:cs="Times New Roman"/>
          <w:sz w:val="24"/>
          <w:szCs w:val="24"/>
        </w:rPr>
        <w:t>. Use of a</w:t>
      </w:r>
      <w:r w:rsidR="00746362" w:rsidRPr="0074636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nti-hormone agent</w:t>
      </w:r>
      <w:r w:rsidR="0074636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s </w:t>
      </w:r>
      <w:r w:rsidR="00746362" w:rsidRPr="0074636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in combination with PAL</w:t>
      </w:r>
    </w:p>
    <w:tbl>
      <w:tblPr>
        <w:tblW w:w="6681" w:type="dxa"/>
        <w:jc w:val="center"/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5"/>
        <w:gridCol w:w="1422"/>
        <w:gridCol w:w="1422"/>
        <w:gridCol w:w="1422"/>
      </w:tblGrid>
      <w:tr w:rsidR="00746362" w:rsidRPr="00746362" w14:paraId="4DFB4EB5" w14:textId="77777777" w:rsidTr="008627B9">
        <w:trPr>
          <w:trHeight w:val="28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A93152" w14:textId="67E01180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Agent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D61710" w14:textId="7E912499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Cohort 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3FBFD0" w14:textId="3F922A91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Cohort B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AE8A46" w14:textId="0B81273A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Cohort C</w:t>
            </w:r>
          </w:p>
        </w:tc>
      </w:tr>
      <w:tr w:rsidR="00746362" w:rsidRPr="00746362" w14:paraId="02B89842" w14:textId="77777777" w:rsidTr="008627B9">
        <w:trPr>
          <w:trHeight w:val="285"/>
          <w:jc w:val="center"/>
        </w:trPr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0EC327" w14:textId="6EF3240D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618EC7" w14:textId="77777777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N=246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AF3972" w14:textId="77777777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N=282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7307" w14:textId="77777777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N=65</w:t>
            </w:r>
          </w:p>
        </w:tc>
      </w:tr>
      <w:tr w:rsidR="00746362" w:rsidRPr="00746362" w14:paraId="084E1983" w14:textId="77777777" w:rsidTr="008627B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6363A8" w14:textId="0D2B0418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Tamoxifen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F2EC57" w14:textId="1D9A49BC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3 (1.2%)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6183F2" w14:textId="430B74E2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 (0.7%)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0FB98D" w14:textId="298FD5CC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 (1.5%)</w:t>
            </w:r>
          </w:p>
        </w:tc>
      </w:tr>
      <w:tr w:rsidR="00746362" w:rsidRPr="00746362" w14:paraId="036CCB52" w14:textId="77777777" w:rsidTr="008627B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D99859" w14:textId="34E58441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Anastrozole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B65EE2" w14:textId="12915C70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10 4.1%)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62C1B2" w14:textId="2E17338F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8 (2.8%)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AD88FB" w14:textId="4D3E078C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11 (16.9%)</w:t>
            </w:r>
          </w:p>
        </w:tc>
      </w:tr>
      <w:tr w:rsidR="00746362" w:rsidRPr="00746362" w14:paraId="310EE79E" w14:textId="77777777" w:rsidTr="008627B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1A4D58" w14:textId="6A17DEDE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Letrozole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15E18B" w14:textId="6D940276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179 (72.8%)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7A4A4A" w14:textId="622F5789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58 (20.6%)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80ECF3" w14:textId="5FB46B76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20 (30.8%)</w:t>
            </w:r>
          </w:p>
        </w:tc>
      </w:tr>
      <w:tr w:rsidR="00746362" w:rsidRPr="00746362" w14:paraId="6676F8AA" w14:textId="77777777" w:rsidTr="008627B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2882F" w14:textId="4C2EBF3E" w:rsidR="00746362" w:rsidRPr="00746362" w:rsidRDefault="0074636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Exemestane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CF39E2" w14:textId="69EAA90C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 (0.8%)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EC5F88" w14:textId="7D9B89C3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11 (3.9%)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19A260" w14:textId="2BD6C841" w:rsidR="00746362" w:rsidRPr="00746362" w:rsidRDefault="0074636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5 (7.7%)</w:t>
            </w:r>
          </w:p>
        </w:tc>
      </w:tr>
      <w:tr w:rsidR="00662E12" w:rsidRPr="00746362" w14:paraId="33C17313" w14:textId="77777777" w:rsidTr="008627B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79F66" w14:textId="0CF172E0" w:rsidR="00662E12" w:rsidRPr="00746362" w:rsidRDefault="00662E1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Medroxyprogesterone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8B03DE" w14:textId="5229CEDB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0 (0.0%)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202036" w14:textId="57C6AC25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0 (0.0%)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8072D0" w14:textId="168406ED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 (1.5%)</w:t>
            </w:r>
          </w:p>
        </w:tc>
      </w:tr>
      <w:tr w:rsidR="00662E12" w:rsidRPr="00746362" w14:paraId="67B660DF" w14:textId="77777777" w:rsidTr="00AB7DE9">
        <w:trPr>
          <w:trHeight w:val="285"/>
          <w:jc w:val="center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475464" w14:textId="47EC9BC6" w:rsidR="00662E12" w:rsidRPr="00746362" w:rsidRDefault="00662E12" w:rsidP="002F21C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Fulvestrant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7D3A8C" w14:textId="189D3810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52 (21.1%)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3BEBDE" w14:textId="5F7F8299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203 (72.0%)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D489C7" w14:textId="668EB1EF" w:rsidR="00662E12" w:rsidRPr="00746362" w:rsidRDefault="00662E12" w:rsidP="008627B9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27 (41.5%)</w:t>
            </w:r>
          </w:p>
        </w:tc>
      </w:tr>
    </w:tbl>
    <w:p w14:paraId="75C7FB92" w14:textId="7E997616" w:rsidR="002F21C5" w:rsidRDefault="00746362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are shown as n (%)</w:t>
      </w:r>
    </w:p>
    <w:p w14:paraId="252D6C3B" w14:textId="4A572211" w:rsidR="00746362" w:rsidRDefault="00746362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42B52D" w14:textId="4C751544" w:rsidR="00746362" w:rsidRPr="00746362" w:rsidRDefault="000349A7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746362">
        <w:rPr>
          <w:rFonts w:ascii="Times New Roman" w:hAnsi="Times New Roman" w:cs="Times New Roman"/>
          <w:sz w:val="24"/>
          <w:szCs w:val="24"/>
        </w:rPr>
        <w:lastRenderedPageBreak/>
        <w:t>Supple</w:t>
      </w:r>
      <w:r w:rsidR="00746362">
        <w:rPr>
          <w:rFonts w:ascii="Times New Roman" w:hAnsi="Times New Roman" w:cs="Times New Roman"/>
          <w:sz w:val="24"/>
          <w:szCs w:val="24"/>
        </w:rPr>
        <w:t>menta</w:t>
      </w:r>
      <w:r w:rsidR="004F0535">
        <w:rPr>
          <w:rFonts w:ascii="Times New Roman" w:hAnsi="Times New Roman" w:cs="Times New Roman"/>
          <w:sz w:val="24"/>
          <w:szCs w:val="24"/>
        </w:rPr>
        <w:t>ry</w:t>
      </w:r>
      <w:r w:rsidR="00746362">
        <w:rPr>
          <w:rFonts w:ascii="Times New Roman" w:hAnsi="Times New Roman" w:cs="Times New Roman"/>
          <w:sz w:val="24"/>
          <w:szCs w:val="24"/>
        </w:rPr>
        <w:t xml:space="preserve"> Table </w:t>
      </w:r>
      <w:r w:rsidR="002F21C5" w:rsidRPr="00746362">
        <w:rPr>
          <w:rFonts w:ascii="Times New Roman" w:hAnsi="Times New Roman" w:cs="Times New Roman"/>
          <w:sz w:val="24"/>
          <w:szCs w:val="24"/>
        </w:rPr>
        <w:t>2</w:t>
      </w:r>
      <w:r w:rsidR="00746362">
        <w:rPr>
          <w:rFonts w:ascii="Times New Roman" w:hAnsi="Times New Roman" w:cs="Times New Roman"/>
          <w:sz w:val="24"/>
          <w:szCs w:val="24"/>
        </w:rPr>
        <w:t>. Adver</w:t>
      </w:r>
      <w:r w:rsidR="00E27D8C">
        <w:rPr>
          <w:rFonts w:ascii="Times New Roman" w:hAnsi="Times New Roman" w:cs="Times New Roman"/>
          <w:sz w:val="24"/>
          <w:szCs w:val="24"/>
        </w:rPr>
        <w:t>se events in cohorts A, B and C</w:t>
      </w:r>
    </w:p>
    <w:tbl>
      <w:tblPr>
        <w:tblStyle w:val="aa"/>
        <w:tblW w:w="10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990"/>
        <w:gridCol w:w="724"/>
        <w:gridCol w:w="815"/>
        <w:gridCol w:w="782"/>
        <w:gridCol w:w="718"/>
        <w:gridCol w:w="688"/>
        <w:gridCol w:w="684"/>
        <w:gridCol w:w="654"/>
        <w:gridCol w:w="684"/>
        <w:gridCol w:w="654"/>
        <w:gridCol w:w="770"/>
      </w:tblGrid>
      <w:tr w:rsidR="00746362" w:rsidRPr="00746362" w14:paraId="56B44B7D" w14:textId="77777777" w:rsidTr="008627B9">
        <w:trPr>
          <w:jc w:val="center"/>
        </w:trPr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61AB12" w14:textId="1CDF5350" w:rsidR="000349A7" w:rsidRPr="00746362" w:rsidRDefault="00746362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Adverse Event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EC9308" w14:textId="2684E2DE" w:rsidR="000349A7" w:rsidRPr="00746362" w:rsidRDefault="00746362" w:rsidP="002950E5">
            <w:pPr>
              <w:jc w:val="center"/>
              <w:rPr>
                <w:rFonts w:ascii="Times New Roman" w:eastAsia="AR P丸ゴシック体M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349A7" w:rsidRPr="00746362">
              <w:rPr>
                <w:rFonts w:ascii="Times New Roman" w:hAnsi="Times New Roman" w:cs="Times New Roman"/>
                <w:sz w:val="24"/>
                <w:szCs w:val="24"/>
              </w:rPr>
              <w:t>ohort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D143F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284A9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G0s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C1A19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614D4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G1s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DDE5A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BFD0C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G2s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B8E9A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E7E46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G3s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3273F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G4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97200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46362" w:rsidRPr="00746362" w14:paraId="0DCE2F06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5DC0D4EC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Alopecia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49B54BC2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4B282C24" w14:textId="67C6402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2.4%)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5F3232A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175 (71.1%)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23CEE94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58 (23.6%)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53D7CE69" w14:textId="030C32E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191683E3" w14:textId="4A13EE6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0FCE6AF8" w14:textId="370E08E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7CEA54D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44C6283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01013A3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27233C5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37C700D3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39EEA341" w14:textId="7B6738C2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12F9BAF0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11853B8B" w14:textId="0DBD7AB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1.4%)</w:t>
            </w:r>
          </w:p>
        </w:tc>
        <w:tc>
          <w:tcPr>
            <w:tcW w:w="815" w:type="dxa"/>
            <w:hideMark/>
          </w:tcPr>
          <w:p w14:paraId="3F49F95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220 (78.0%)</w:t>
            </w:r>
          </w:p>
        </w:tc>
        <w:tc>
          <w:tcPr>
            <w:tcW w:w="782" w:type="dxa"/>
            <w:hideMark/>
          </w:tcPr>
          <w:p w14:paraId="13F07BF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47 (16.7%)</w:t>
            </w:r>
          </w:p>
        </w:tc>
        <w:tc>
          <w:tcPr>
            <w:tcW w:w="718" w:type="dxa"/>
            <w:hideMark/>
          </w:tcPr>
          <w:p w14:paraId="0BD187E2" w14:textId="05AA476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1.8%)</w:t>
            </w:r>
          </w:p>
        </w:tc>
        <w:tc>
          <w:tcPr>
            <w:tcW w:w="688" w:type="dxa"/>
            <w:hideMark/>
          </w:tcPr>
          <w:p w14:paraId="00569CF5" w14:textId="48EE3E0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1.4%)</w:t>
            </w:r>
          </w:p>
        </w:tc>
        <w:tc>
          <w:tcPr>
            <w:tcW w:w="684" w:type="dxa"/>
            <w:hideMark/>
          </w:tcPr>
          <w:p w14:paraId="15D00AC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693AD28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10AB89E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1FD5139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4C5D710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34FBE32D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68777737" w14:textId="41F96F06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4A256DA5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18EC25AA" w14:textId="7745D5D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366DB29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45 (69.2%)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296A124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16 (24.6%)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654C983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467969E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3AE1760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767A991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5850661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F6A677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5010F10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1F046D26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3E470752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45F0A3B0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3BC47B0B" w14:textId="52EABAF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7BB1223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180 (73.2%)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557BAF2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37 (15.0%)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04FAD36B" w14:textId="35046C1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3.7%)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258D7375" w14:textId="2C105DE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4.1%)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3E932333" w14:textId="12ABFCA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DBA313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5B000FE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C7019B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63967B4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0602E1B3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07DC052D" w14:textId="19251F76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1EBF55EF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2D506959" w14:textId="4E1226C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2.5%)</w:t>
            </w:r>
          </w:p>
        </w:tc>
        <w:tc>
          <w:tcPr>
            <w:tcW w:w="815" w:type="dxa"/>
            <w:hideMark/>
          </w:tcPr>
          <w:p w14:paraId="00E645A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218 (77.3%)</w:t>
            </w:r>
          </w:p>
        </w:tc>
        <w:tc>
          <w:tcPr>
            <w:tcW w:w="782" w:type="dxa"/>
            <w:hideMark/>
          </w:tcPr>
          <w:p w14:paraId="1D0B456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36 (12.8%)</w:t>
            </w:r>
          </w:p>
        </w:tc>
        <w:tc>
          <w:tcPr>
            <w:tcW w:w="718" w:type="dxa"/>
            <w:hideMark/>
          </w:tcPr>
          <w:p w14:paraId="5473490E" w14:textId="5FB80A5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3.2%)</w:t>
            </w:r>
          </w:p>
        </w:tc>
        <w:tc>
          <w:tcPr>
            <w:tcW w:w="688" w:type="dxa"/>
            <w:hideMark/>
          </w:tcPr>
          <w:p w14:paraId="65C676FD" w14:textId="69167C2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2.5%)</w:t>
            </w:r>
          </w:p>
        </w:tc>
        <w:tc>
          <w:tcPr>
            <w:tcW w:w="684" w:type="dxa"/>
            <w:hideMark/>
          </w:tcPr>
          <w:p w14:paraId="09CFA26D" w14:textId="316C5A8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0.7%)</w:t>
            </w:r>
          </w:p>
        </w:tc>
        <w:tc>
          <w:tcPr>
            <w:tcW w:w="654" w:type="dxa"/>
            <w:hideMark/>
          </w:tcPr>
          <w:p w14:paraId="7D96F341" w14:textId="798C12A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22FF05A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2C88365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0098EE8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71842C5B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379935CB" w14:textId="4034A305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0BB180B4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33A32659" w14:textId="7254DDE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9.2%)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1502FD9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51 (78.5%)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2EC6B0B1" w14:textId="60FD442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17754A4C" w14:textId="7DBADC1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09B010D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4282C9A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2E7F7C7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6BD7994E" w14:textId="4C176F9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492133A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19C68FB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6209EAF1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76A686D5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Constipation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6D8F893F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36911712" w14:textId="7E0B7C8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2.4%)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772ED7A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172 (69.9%)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5B13A11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44 (17.9%)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1B16F7FF" w14:textId="4670148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5B34BDEA" w14:textId="00BF71A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4.9%)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11669067" w14:textId="728C591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6BE8374" w14:textId="34E0076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75C5D047" w14:textId="73EBEE5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0D43D8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29489F0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6E9FCC46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3187151D" w14:textId="3E5ED6A6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2641D327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464E3BEF" w14:textId="0F8D233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2.5%)</w:t>
            </w:r>
          </w:p>
        </w:tc>
        <w:tc>
          <w:tcPr>
            <w:tcW w:w="815" w:type="dxa"/>
            <w:hideMark/>
          </w:tcPr>
          <w:p w14:paraId="425E259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225 (79.8%)</w:t>
            </w:r>
          </w:p>
        </w:tc>
        <w:tc>
          <w:tcPr>
            <w:tcW w:w="782" w:type="dxa"/>
            <w:hideMark/>
          </w:tcPr>
          <w:p w14:paraId="30D46BD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32 (11.3%)</w:t>
            </w:r>
          </w:p>
        </w:tc>
        <w:tc>
          <w:tcPr>
            <w:tcW w:w="718" w:type="dxa"/>
            <w:hideMark/>
          </w:tcPr>
          <w:p w14:paraId="603AF9F7" w14:textId="014FCFA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688" w:type="dxa"/>
            <w:hideMark/>
          </w:tcPr>
          <w:p w14:paraId="51945C29" w14:textId="1C491BB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8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684" w:type="dxa"/>
            <w:hideMark/>
          </w:tcPr>
          <w:p w14:paraId="43A06C28" w14:textId="22D016F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1.4%)</w:t>
            </w:r>
          </w:p>
        </w:tc>
        <w:tc>
          <w:tcPr>
            <w:tcW w:w="654" w:type="dxa"/>
            <w:hideMark/>
          </w:tcPr>
          <w:p w14:paraId="7C621D82" w14:textId="1FDE52A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5B13026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0350252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34AD123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16606630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036C8E8C" w14:textId="575D845B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76A540BC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3CB16F1F" w14:textId="3F3760E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7E00D7C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55 (84.6%)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0163774B" w14:textId="04594135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7.7%)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5FE4252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4E71354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68151B3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0CC1D89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039EB08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79E73A8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36BD472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4A5749CE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0B3CF4F1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3C8D6930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180933A7" w14:textId="4F0340C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1.6%)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340F3FA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203 (82.5%)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48097CB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29 (11.8%)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2F01BE1D" w14:textId="6867293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1.2%)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70E72544" w14:textId="2B8691E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1.6%)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6E8D8D8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77B3634" w14:textId="562FC7F9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5CDB51B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64DAB7B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5C7BAD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08E59563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11B7482B" w14:textId="39AB8009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3F58556A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3AD19B66" w14:textId="5AE4604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815" w:type="dxa"/>
            <w:hideMark/>
          </w:tcPr>
          <w:p w14:paraId="1643745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236 (83.7%)</w:t>
            </w:r>
          </w:p>
        </w:tc>
        <w:tc>
          <w:tcPr>
            <w:tcW w:w="782" w:type="dxa"/>
            <w:hideMark/>
          </w:tcPr>
          <w:p w14:paraId="34D40B9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30 (10.6%)</w:t>
            </w:r>
          </w:p>
        </w:tc>
        <w:tc>
          <w:tcPr>
            <w:tcW w:w="718" w:type="dxa"/>
            <w:hideMark/>
          </w:tcPr>
          <w:p w14:paraId="45CDB111" w14:textId="22973F8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2.5%)</w:t>
            </w:r>
          </w:p>
        </w:tc>
        <w:tc>
          <w:tcPr>
            <w:tcW w:w="688" w:type="dxa"/>
            <w:hideMark/>
          </w:tcPr>
          <w:p w14:paraId="7F0EB3C3" w14:textId="5F38C6E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684" w:type="dxa"/>
            <w:hideMark/>
          </w:tcPr>
          <w:p w14:paraId="721330D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654531EB" w14:textId="605A5BD9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2A98FCC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4A265A8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3C6BA6A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19D1F50E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6AA0B155" w14:textId="035B9F1B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31BFF6D3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2C6CDA8A" w14:textId="7A53F305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6708AA7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50 (76.9%)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528051E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9 (13.8%)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1FD2C70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74298B7D" w14:textId="4CA0BF5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78D92C9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3E90E2E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575D21A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2AE1529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212B6BC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5CEFEB04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26B2CC11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Hot flash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344B6192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4AEAFD1F" w14:textId="382D91B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33FD7B5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217 (88.2%)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1E723DE2" w14:textId="36169B9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6.5%)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1FBCC931" w14:textId="22A7543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2.4%)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287F1838" w14:textId="61FF975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1.2%)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2ED0F7C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1BD980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017E3A7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629656C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C8BDED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44B8BB8E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7B17D24A" w14:textId="6CF38D5F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5BEB58EB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6EBF08E8" w14:textId="37C5037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815" w:type="dxa"/>
            <w:hideMark/>
          </w:tcPr>
          <w:p w14:paraId="31C5AEC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248 (87.9%)</w:t>
            </w:r>
          </w:p>
        </w:tc>
        <w:tc>
          <w:tcPr>
            <w:tcW w:w="782" w:type="dxa"/>
            <w:hideMark/>
          </w:tcPr>
          <w:p w14:paraId="07CFFEDD" w14:textId="233CFAC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8.2%)</w:t>
            </w:r>
          </w:p>
        </w:tc>
        <w:tc>
          <w:tcPr>
            <w:tcW w:w="718" w:type="dxa"/>
            <w:hideMark/>
          </w:tcPr>
          <w:p w14:paraId="51711896" w14:textId="6D5FBAF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2.5%)</w:t>
            </w:r>
          </w:p>
        </w:tc>
        <w:tc>
          <w:tcPr>
            <w:tcW w:w="688" w:type="dxa"/>
            <w:hideMark/>
          </w:tcPr>
          <w:p w14:paraId="7AC90416" w14:textId="22A05F9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0CAEB8C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25F37CA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09016AF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1671088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09600BF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22BD5E01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7E001DD5" w14:textId="5683690D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6585801E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4D90F5F6" w14:textId="15DA4DE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4D38A9E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57 (87.7%)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11DA93A1" w14:textId="31E60FF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095E4E60" w14:textId="16CEF03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01F165E9" w14:textId="6E83971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24DF557E" w14:textId="5E84C52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26DF7EF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6715CEE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4AB018B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60B1DEC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76A8859E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55CC05AF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Insomnia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0F02E2B1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7CBF6B27" w14:textId="11777C5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567EA29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202 (82.1%)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53314D28" w14:textId="3DCD0BF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7.7%)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2569D57E" w14:textId="23441EE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4.9%)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68301412" w14:textId="09CFB63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1.2%)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177ED374" w14:textId="6CFDF09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7782C59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6EE3BB8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319EEDF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91BB2D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3DC322A9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3A1B0259" w14:textId="0A61F529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3935E53A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63A7B431" w14:textId="47E64DA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1.8%)</w:t>
            </w:r>
          </w:p>
        </w:tc>
        <w:tc>
          <w:tcPr>
            <w:tcW w:w="815" w:type="dxa"/>
            <w:hideMark/>
          </w:tcPr>
          <w:p w14:paraId="33B898A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234 (83.0%)</w:t>
            </w:r>
          </w:p>
        </w:tc>
        <w:tc>
          <w:tcPr>
            <w:tcW w:w="782" w:type="dxa"/>
            <w:hideMark/>
          </w:tcPr>
          <w:p w14:paraId="4BC48114" w14:textId="2D656E6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8.2%)</w:t>
            </w:r>
          </w:p>
        </w:tc>
        <w:tc>
          <w:tcPr>
            <w:tcW w:w="718" w:type="dxa"/>
            <w:hideMark/>
          </w:tcPr>
          <w:p w14:paraId="4C98AA44" w14:textId="2716982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3.5%)</w:t>
            </w:r>
          </w:p>
        </w:tc>
        <w:tc>
          <w:tcPr>
            <w:tcW w:w="688" w:type="dxa"/>
            <w:hideMark/>
          </w:tcPr>
          <w:p w14:paraId="17C8CFEB" w14:textId="6BC0952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2.1%)</w:t>
            </w:r>
          </w:p>
        </w:tc>
        <w:tc>
          <w:tcPr>
            <w:tcW w:w="684" w:type="dxa"/>
            <w:hideMark/>
          </w:tcPr>
          <w:p w14:paraId="0DDD1C5A" w14:textId="177D001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0.7%)</w:t>
            </w:r>
          </w:p>
        </w:tc>
        <w:tc>
          <w:tcPr>
            <w:tcW w:w="654" w:type="dxa"/>
            <w:hideMark/>
          </w:tcPr>
          <w:p w14:paraId="7695621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5BE0EB7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5EB514D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63EE085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628CDF5D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02158F8E" w14:textId="6B06ECC6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1030EC1E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3FDEF0D9" w14:textId="135923C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66CA9D4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56 (86.2%)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0600B4F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642A3699" w14:textId="5422D31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427D7C8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631E0A1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2755100" w14:textId="68B1DD9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39B1152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5985AD8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785EA92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4736A83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5161DFA8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32CE06F3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24ED66BB" w14:textId="3412E4B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4.1%)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428ACE3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129 (52.4%)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62166D0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71 (28.9%)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1162475E" w14:textId="7F65752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8.1%)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0258AB1B" w14:textId="5C8D68E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4.5%)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1EA8E900" w14:textId="12D195D9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1.2%)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50FF75B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7353368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5A60E05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518A71A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452BCBE7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16DF7D87" w14:textId="03B661B1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16DF6515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1335A395" w14:textId="5D5F3DA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1.4%)</w:t>
            </w:r>
          </w:p>
        </w:tc>
        <w:tc>
          <w:tcPr>
            <w:tcW w:w="815" w:type="dxa"/>
            <w:hideMark/>
          </w:tcPr>
          <w:p w14:paraId="0BD1538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148 (52.5%)</w:t>
            </w:r>
          </w:p>
        </w:tc>
        <w:tc>
          <w:tcPr>
            <w:tcW w:w="782" w:type="dxa"/>
            <w:hideMark/>
          </w:tcPr>
          <w:p w14:paraId="787D8DE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81 (28.7%)</w:t>
            </w:r>
          </w:p>
        </w:tc>
        <w:tc>
          <w:tcPr>
            <w:tcW w:w="718" w:type="dxa"/>
            <w:hideMark/>
          </w:tcPr>
          <w:p w14:paraId="03B98B12" w14:textId="189F11B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7.8%)</w:t>
            </w:r>
          </w:p>
        </w:tc>
        <w:tc>
          <w:tcPr>
            <w:tcW w:w="688" w:type="dxa"/>
            <w:hideMark/>
          </w:tcPr>
          <w:p w14:paraId="0018F534" w14:textId="08002155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8.9%)</w:t>
            </w:r>
          </w:p>
        </w:tc>
        <w:tc>
          <w:tcPr>
            <w:tcW w:w="684" w:type="dxa"/>
            <w:hideMark/>
          </w:tcPr>
          <w:p w14:paraId="5883803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47D9A96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04448E1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550CC32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65A6A59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6E96D2B9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3C3A3748" w14:textId="06CE7D39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2067A13F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42A1AA6E" w14:textId="39ED880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4F140EC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36 (55.4%)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4F88F4A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15 (23.1%)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541EF2F3" w14:textId="62F43F4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6.2%)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425B4246" w14:textId="14AC862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6.2%)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420A43C8" w14:textId="30D0F37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ED72D0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3FE6D8B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1615557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4B7BFC9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7F82D4C6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2B1EEC2F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Oral mucositis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5C578CFB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25C8651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13DA9FB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176 (71.5%)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452CDA3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50 (20.3%)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64BD0B95" w14:textId="0890E70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43724086" w14:textId="0CC4AC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5.7%)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1122360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687EE90E" w14:textId="0D9F455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67BFA15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3D9E607A" w14:textId="217A2D2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7FE7ED2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032420D4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5929B2D4" w14:textId="3AA6B6D8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2FBE5572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33E0B581" w14:textId="55A9ADC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815" w:type="dxa"/>
            <w:hideMark/>
          </w:tcPr>
          <w:p w14:paraId="4E9FED7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191 (67.7%)</w:t>
            </w:r>
          </w:p>
        </w:tc>
        <w:tc>
          <w:tcPr>
            <w:tcW w:w="782" w:type="dxa"/>
            <w:hideMark/>
          </w:tcPr>
          <w:p w14:paraId="686561F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71 (25.2%)</w:t>
            </w:r>
          </w:p>
        </w:tc>
        <w:tc>
          <w:tcPr>
            <w:tcW w:w="718" w:type="dxa"/>
            <w:hideMark/>
          </w:tcPr>
          <w:p w14:paraId="146B3C7C" w14:textId="63ED75F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0.7%)</w:t>
            </w:r>
          </w:p>
        </w:tc>
        <w:tc>
          <w:tcPr>
            <w:tcW w:w="688" w:type="dxa"/>
            <w:hideMark/>
          </w:tcPr>
          <w:p w14:paraId="70FC2408" w14:textId="20B588C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5.0%)</w:t>
            </w:r>
          </w:p>
        </w:tc>
        <w:tc>
          <w:tcPr>
            <w:tcW w:w="684" w:type="dxa"/>
            <w:hideMark/>
          </w:tcPr>
          <w:p w14:paraId="13FF2F9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3FD13787" w14:textId="205D002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584C0C0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7877895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1CDDC6E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78DDBE1B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1C0C0C21" w14:textId="28C14CB8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153A20CA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7208A4D8" w14:textId="3D56520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50A8ECE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52 (80.0%)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7B952C4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 (10.8%)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24CFF81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596D0D47" w14:textId="6A01EDE5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47A339D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5BEF50F6" w14:textId="77CF246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0701D55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6C63557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39D343D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75DBFEBB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6DD30472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535E8652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6C53C9D5" w14:textId="03BDAF7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6572EC9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203 (82.5%)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04EBFCC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31 (12.6%)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6C4E4665" w14:textId="0B67FFB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1.2%)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11EF8F8C" w14:textId="6372716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2.0%)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2E62B54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1BD0CF8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34B5BE5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3B52E83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76A3680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3198D63E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13C852BC" w14:textId="1AA8F6ED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071AA116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23A2719B" w14:textId="38D1A6E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815" w:type="dxa"/>
            <w:hideMark/>
          </w:tcPr>
          <w:p w14:paraId="29ED0C0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226 (80.1%)</w:t>
            </w:r>
          </w:p>
        </w:tc>
        <w:tc>
          <w:tcPr>
            <w:tcW w:w="782" w:type="dxa"/>
            <w:hideMark/>
          </w:tcPr>
          <w:p w14:paraId="05F2E4F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41 (14.5%)</w:t>
            </w:r>
          </w:p>
        </w:tc>
        <w:tc>
          <w:tcPr>
            <w:tcW w:w="718" w:type="dxa"/>
            <w:hideMark/>
          </w:tcPr>
          <w:p w14:paraId="5245FC8B" w14:textId="429233C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688" w:type="dxa"/>
            <w:hideMark/>
          </w:tcPr>
          <w:p w14:paraId="61F63829" w14:textId="2FDC685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1.8%)</w:t>
            </w:r>
          </w:p>
        </w:tc>
        <w:tc>
          <w:tcPr>
            <w:tcW w:w="684" w:type="dxa"/>
            <w:hideMark/>
          </w:tcPr>
          <w:p w14:paraId="3DD56AAA" w14:textId="26CC70A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hideMark/>
          </w:tcPr>
          <w:p w14:paraId="3F69D992" w14:textId="097C7DC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684" w:type="dxa"/>
            <w:hideMark/>
          </w:tcPr>
          <w:p w14:paraId="5ACC796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715A233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2A058A5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67794A6A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4F5FC990" w14:textId="5F15B1E5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28C46644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1194071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76E09C4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52 (80.0%)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21D9107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 (10.8%)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1F5A4F1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66984033" w14:textId="40B60AA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4.6%)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79E3DC7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358E79D5" w14:textId="2A28D31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35E4B2B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21A954F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782CBDC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5C25E26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3328BD85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3CFB5834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1173A846" w14:textId="32D8939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8.1%)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1D0B2FB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148 (60.2%)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51315DD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35 (14.2%)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6DEAA27A" w14:textId="4A1AF32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9.3%)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5D680F31" w14:textId="05D9ADF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3.7%)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7C1BA1CA" w14:textId="3A3E31F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B1ABE2A" w14:textId="15BC43F9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5BFE2DCB" w14:textId="77E6A88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12FAB1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5CC3BC9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7C316842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346AD665" w14:textId="5E568930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01AF9FC9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4991933F" w14:textId="223EFF0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6.7%)</w:t>
            </w:r>
          </w:p>
        </w:tc>
        <w:tc>
          <w:tcPr>
            <w:tcW w:w="815" w:type="dxa"/>
            <w:hideMark/>
          </w:tcPr>
          <w:p w14:paraId="70CABEB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195 (69.1%)</w:t>
            </w:r>
          </w:p>
        </w:tc>
        <w:tc>
          <w:tcPr>
            <w:tcW w:w="782" w:type="dxa"/>
            <w:hideMark/>
          </w:tcPr>
          <w:p w14:paraId="2D025EE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29 (10.3%)</w:t>
            </w:r>
          </w:p>
        </w:tc>
        <w:tc>
          <w:tcPr>
            <w:tcW w:w="718" w:type="dxa"/>
            <w:hideMark/>
          </w:tcPr>
          <w:p w14:paraId="4EFE7172" w14:textId="22818EC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7.1%)</w:t>
            </w:r>
          </w:p>
        </w:tc>
        <w:tc>
          <w:tcPr>
            <w:tcW w:w="688" w:type="dxa"/>
            <w:hideMark/>
          </w:tcPr>
          <w:p w14:paraId="1252F37D" w14:textId="59EE6B0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4.3%)</w:t>
            </w:r>
          </w:p>
        </w:tc>
        <w:tc>
          <w:tcPr>
            <w:tcW w:w="684" w:type="dxa"/>
            <w:hideMark/>
          </w:tcPr>
          <w:p w14:paraId="1353CA6B" w14:textId="14554F05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1.4%)</w:t>
            </w:r>
          </w:p>
        </w:tc>
        <w:tc>
          <w:tcPr>
            <w:tcW w:w="654" w:type="dxa"/>
            <w:hideMark/>
          </w:tcPr>
          <w:p w14:paraId="108933B4" w14:textId="50C8438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7A91492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32AFF89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23E0A54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39E78B5D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0E79B985" w14:textId="38D9DEF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6ECEDB6F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10C53367" w14:textId="0E8E98B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9.2%)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7851B67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44 (67.7%)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71D2722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7 (10.8%)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31718075" w14:textId="1C9A283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6A59D6F4" w14:textId="284E037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13982F4D" w14:textId="13CDD30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505B5C96" w14:textId="106E4A0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5BFBC87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6547A07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07E366B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4D969686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02DA3A51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08FBEC80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43ACB162" w14:textId="6EC1321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531DE6F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201 (81.7%)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3D33662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32 (13.0%)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77E1E13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2F8AFEE3" w14:textId="2CE5941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10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4.1%)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02610B9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600600A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6155243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1A5A953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201B2CE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0FC4ACCC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25196F25" w14:textId="194B6C1F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5BC99776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5FC46C79" w14:textId="24BC5B8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0.7%)</w:t>
            </w:r>
          </w:p>
        </w:tc>
        <w:tc>
          <w:tcPr>
            <w:tcW w:w="815" w:type="dxa"/>
            <w:hideMark/>
          </w:tcPr>
          <w:p w14:paraId="0D82394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235 (83.3%)</w:t>
            </w:r>
          </w:p>
        </w:tc>
        <w:tc>
          <w:tcPr>
            <w:tcW w:w="782" w:type="dxa"/>
            <w:hideMark/>
          </w:tcPr>
          <w:p w14:paraId="57DCDC3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31 (11.0%)</w:t>
            </w:r>
          </w:p>
        </w:tc>
        <w:tc>
          <w:tcPr>
            <w:tcW w:w="718" w:type="dxa"/>
            <w:hideMark/>
          </w:tcPr>
          <w:p w14:paraId="4EF83DDC" w14:textId="427B9B1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1.1%)</w:t>
            </w:r>
          </w:p>
        </w:tc>
        <w:tc>
          <w:tcPr>
            <w:tcW w:w="688" w:type="dxa"/>
            <w:hideMark/>
          </w:tcPr>
          <w:p w14:paraId="2469F6A4" w14:textId="55DD02BD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3.2%)</w:t>
            </w:r>
          </w:p>
        </w:tc>
        <w:tc>
          <w:tcPr>
            <w:tcW w:w="684" w:type="dxa"/>
            <w:hideMark/>
          </w:tcPr>
          <w:p w14:paraId="1027C3A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6088A6F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757B3E4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1410379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4D31EFA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4AC0B3A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0725C5A3" w14:textId="7D7F9230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4F1BA22E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72299FBE" w14:textId="2C24259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41E21E7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50 (76.9%)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1AB8223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10 (15.4%)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25063190" w14:textId="07161BC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79A82C03" w14:textId="49CB811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43AD72F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70203B9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1F9A926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07EF5A2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046250C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0EB5CEE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5DB83E8B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Vaginal discharge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00443B88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54AC8C7F" w14:textId="769EAAE0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7A96D7E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235 (95.5%)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07E59323" w14:textId="7D678C03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6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2.4%)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0D4A4D81" w14:textId="4C900C9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768C12A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76B43A6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7B3161F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3089791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4F707C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3F30FE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29216243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6FCE9641" w14:textId="22182CBB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636739DE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0A23D60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hideMark/>
          </w:tcPr>
          <w:p w14:paraId="1BD6EFB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271 (96.1%)</w:t>
            </w:r>
          </w:p>
        </w:tc>
        <w:tc>
          <w:tcPr>
            <w:tcW w:w="782" w:type="dxa"/>
            <w:hideMark/>
          </w:tcPr>
          <w:p w14:paraId="1FB5F34E" w14:textId="1561118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8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718" w:type="dxa"/>
            <w:hideMark/>
          </w:tcPr>
          <w:p w14:paraId="2243ABF0" w14:textId="783A90FF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8" w:type="dxa"/>
            <w:hideMark/>
          </w:tcPr>
          <w:p w14:paraId="1927DD4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29616E8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19DAC4B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78B9110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6ECFC32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337EF8F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1290DE88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00C371F8" w14:textId="1478CDFD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64F7F176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16F728D1" w14:textId="2A784806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3.1%)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22E59CE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61 (93.8%)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5DC17F5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633E3D1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65BB509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5E0F562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0D699AF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276BE74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719462E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64A46A5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5545AC54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5AB5C718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Vaginal dryness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0AA3CCB2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48F08E7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4F97831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236 (95.9%)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028BF05B" w14:textId="52341264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8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3.3%)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4D9089F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3D0A417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4D7F716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2D2EC5E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766AF2F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7FF751C7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4E094916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5FC61237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6CF0FC76" w14:textId="79832465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741234EC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79853DE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hideMark/>
          </w:tcPr>
          <w:p w14:paraId="07A42CE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270 (95.7%)</w:t>
            </w:r>
          </w:p>
        </w:tc>
        <w:tc>
          <w:tcPr>
            <w:tcW w:w="782" w:type="dxa"/>
            <w:hideMark/>
          </w:tcPr>
          <w:p w14:paraId="405C0C29" w14:textId="0195D27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8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2.8%)</w:t>
            </w:r>
          </w:p>
        </w:tc>
        <w:tc>
          <w:tcPr>
            <w:tcW w:w="718" w:type="dxa"/>
            <w:hideMark/>
          </w:tcPr>
          <w:p w14:paraId="264B641A" w14:textId="22FC6ECE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8" w:type="dxa"/>
            <w:hideMark/>
          </w:tcPr>
          <w:p w14:paraId="354BFFCE" w14:textId="590136BC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3FA14AD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29C00A9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47642F4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6977B05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2FB577E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103C22E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4CB5A963" w14:textId="37182D74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703019E5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005E6BB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41571955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63 (96.9%)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4573A12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7FFA442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3F14CCE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1C06949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43800FD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22EBBB6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4880A57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0A58EB0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  <w:tr w:rsidR="00746362" w:rsidRPr="00746362" w14:paraId="08437583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</w:tcBorders>
            <w:hideMark/>
          </w:tcPr>
          <w:p w14:paraId="6E1327AB" w14:textId="77777777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2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6FE5B6B7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4" w:type="dxa"/>
            <w:tcBorders>
              <w:top w:val="single" w:sz="4" w:space="0" w:color="auto"/>
            </w:tcBorders>
            <w:hideMark/>
          </w:tcPr>
          <w:p w14:paraId="5A9F846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14:paraId="34A6B82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233 (94.7%)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hideMark/>
          </w:tcPr>
          <w:p w14:paraId="7AF4C454" w14:textId="209D652A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9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3.7%)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1B1CC1E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hideMark/>
          </w:tcPr>
          <w:p w14:paraId="394695DA" w14:textId="708BE71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0.8%)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63EFA01D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7ADE632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hideMark/>
          </w:tcPr>
          <w:p w14:paraId="408EE194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</w:tcBorders>
            <w:hideMark/>
          </w:tcPr>
          <w:p w14:paraId="4470C1E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4CBC4A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(0.8%)</w:t>
            </w:r>
          </w:p>
        </w:tc>
      </w:tr>
      <w:tr w:rsidR="00746362" w:rsidRPr="00746362" w14:paraId="489351EC" w14:textId="77777777" w:rsidTr="008627B9">
        <w:trPr>
          <w:trHeight w:hRule="exact" w:val="288"/>
          <w:jc w:val="center"/>
        </w:trPr>
        <w:tc>
          <w:tcPr>
            <w:tcW w:w="1894" w:type="dxa"/>
            <w:hideMark/>
          </w:tcPr>
          <w:p w14:paraId="1EFFE355" w14:textId="3594913C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59C0E4F5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4" w:type="dxa"/>
            <w:hideMark/>
          </w:tcPr>
          <w:p w14:paraId="581C63D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15" w:type="dxa"/>
            <w:hideMark/>
          </w:tcPr>
          <w:p w14:paraId="543025D2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260 (92.2%)</w:t>
            </w:r>
          </w:p>
        </w:tc>
        <w:tc>
          <w:tcPr>
            <w:tcW w:w="782" w:type="dxa"/>
            <w:hideMark/>
          </w:tcPr>
          <w:p w14:paraId="5627D1E3" w14:textId="3A3B0C0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17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6.0%)</w:t>
            </w:r>
          </w:p>
        </w:tc>
        <w:tc>
          <w:tcPr>
            <w:tcW w:w="718" w:type="dxa"/>
            <w:hideMark/>
          </w:tcPr>
          <w:p w14:paraId="50ABE12F" w14:textId="5AEDCDA1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0.7%)</w:t>
            </w:r>
          </w:p>
        </w:tc>
        <w:tc>
          <w:tcPr>
            <w:tcW w:w="688" w:type="dxa"/>
            <w:hideMark/>
          </w:tcPr>
          <w:p w14:paraId="6CEA9B3E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4" w:type="dxa"/>
            <w:hideMark/>
          </w:tcPr>
          <w:p w14:paraId="7F528B30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1CB29F69" w14:textId="5CC74E4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0.4%)</w:t>
            </w:r>
          </w:p>
        </w:tc>
        <w:tc>
          <w:tcPr>
            <w:tcW w:w="684" w:type="dxa"/>
            <w:hideMark/>
          </w:tcPr>
          <w:p w14:paraId="0B9A3313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hideMark/>
          </w:tcPr>
          <w:p w14:paraId="35A60EA9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hideMark/>
          </w:tcPr>
          <w:p w14:paraId="3E8D2A0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(0.7%)</w:t>
            </w:r>
          </w:p>
        </w:tc>
      </w:tr>
      <w:tr w:rsidR="00746362" w:rsidRPr="00746362" w14:paraId="0C1C851D" w14:textId="77777777" w:rsidTr="008627B9">
        <w:trPr>
          <w:trHeight w:hRule="exact" w:val="288"/>
          <w:jc w:val="center"/>
        </w:trPr>
        <w:tc>
          <w:tcPr>
            <w:tcW w:w="1894" w:type="dxa"/>
            <w:tcBorders>
              <w:bottom w:val="single" w:sz="4" w:space="0" w:color="auto"/>
            </w:tcBorders>
            <w:hideMark/>
          </w:tcPr>
          <w:p w14:paraId="56BAA7B8" w14:textId="1F947953" w:rsidR="000349A7" w:rsidRPr="00746362" w:rsidRDefault="000349A7" w:rsidP="0023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hideMark/>
          </w:tcPr>
          <w:p w14:paraId="51C127A4" w14:textId="77777777" w:rsidR="000349A7" w:rsidRPr="008627B9" w:rsidRDefault="000349A7" w:rsidP="0029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hideMark/>
          </w:tcPr>
          <w:p w14:paraId="7A1AAAB2" w14:textId="256C2D88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14:paraId="6C1372FC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59 (90.8%)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hideMark/>
          </w:tcPr>
          <w:p w14:paraId="412F255C" w14:textId="36668E5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14:paraId="48B8FEFB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7C1AC4BD" w14:textId="0A928CAB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29FA7388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082EFF67" w14:textId="1B9CC8F2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  <w:r w:rsidR="002950E5" w:rsidRPr="00746362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1.5%)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hideMark/>
          </w:tcPr>
          <w:p w14:paraId="0E08C17A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hideMark/>
          </w:tcPr>
          <w:p w14:paraId="00F31B7F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09729721" w14:textId="77777777" w:rsidR="000349A7" w:rsidRPr="00746362" w:rsidRDefault="000349A7" w:rsidP="002950E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46362">
              <w:rPr>
                <w:rFonts w:ascii="Times New Roman" w:hAnsi="Times New Roman" w:cs="Times New Roman"/>
                <w:sz w:val="12"/>
                <w:szCs w:val="12"/>
              </w:rPr>
              <w:t>2 (3.1%)</w:t>
            </w:r>
          </w:p>
        </w:tc>
      </w:tr>
    </w:tbl>
    <w:p w14:paraId="42E0C0CA" w14:textId="530037BD" w:rsidR="000349A7" w:rsidRPr="00746362" w:rsidRDefault="00746362" w:rsidP="000349A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are shown as n (%)</w:t>
      </w:r>
      <w:r w:rsidR="00B94365">
        <w:rPr>
          <w:rFonts w:ascii="Times New Roman" w:hAnsi="Times New Roman" w:cs="Times New Roman"/>
          <w:sz w:val="24"/>
          <w:szCs w:val="24"/>
        </w:rPr>
        <w:t xml:space="preserve">. </w:t>
      </w:r>
      <w:r w:rsidR="000349A7" w:rsidRPr="00746362">
        <w:rPr>
          <w:rFonts w:ascii="Times New Roman" w:hAnsi="Times New Roman" w:cs="Times New Roman"/>
          <w:sz w:val="24"/>
          <w:szCs w:val="24"/>
        </w:rPr>
        <w:t xml:space="preserve">N/A: Cases with unknown grade since baseline </w:t>
      </w:r>
      <w:r w:rsidR="000349A7" w:rsidRPr="00746362">
        <w:rPr>
          <w:rFonts w:ascii="Times New Roman" w:hAnsi="Times New Roman" w:cs="Times New Roman"/>
          <w:sz w:val="24"/>
          <w:szCs w:val="24"/>
        </w:rPr>
        <w:br w:type="page"/>
      </w:r>
    </w:p>
    <w:p w14:paraId="4350D375" w14:textId="42BDC073" w:rsidR="000349A7" w:rsidRPr="00746362" w:rsidRDefault="000349A7" w:rsidP="000349A7">
      <w:pPr>
        <w:rPr>
          <w:rFonts w:ascii="Times New Roman" w:hAnsi="Times New Roman" w:cs="Times New Roman"/>
          <w:sz w:val="24"/>
          <w:szCs w:val="24"/>
        </w:rPr>
      </w:pPr>
      <w:r w:rsidRPr="00746362">
        <w:rPr>
          <w:rFonts w:ascii="Times New Roman" w:hAnsi="Times New Roman" w:cs="Times New Roman"/>
          <w:sz w:val="24"/>
          <w:szCs w:val="24"/>
        </w:rPr>
        <w:lastRenderedPageBreak/>
        <w:t>Supple</w:t>
      </w:r>
      <w:r w:rsidR="00746362">
        <w:rPr>
          <w:rFonts w:ascii="Times New Roman" w:hAnsi="Times New Roman" w:cs="Times New Roman"/>
          <w:sz w:val="24"/>
          <w:szCs w:val="24"/>
        </w:rPr>
        <w:t>menta</w:t>
      </w:r>
      <w:r w:rsidR="004F0535">
        <w:rPr>
          <w:rFonts w:ascii="Times New Roman" w:hAnsi="Times New Roman" w:cs="Times New Roman"/>
          <w:sz w:val="24"/>
          <w:szCs w:val="24"/>
        </w:rPr>
        <w:t xml:space="preserve">ry </w:t>
      </w:r>
      <w:r w:rsidR="00746362">
        <w:rPr>
          <w:rFonts w:ascii="Times New Roman" w:hAnsi="Times New Roman" w:cs="Times New Roman"/>
          <w:sz w:val="24"/>
          <w:szCs w:val="24"/>
        </w:rPr>
        <w:t xml:space="preserve">Table </w:t>
      </w:r>
      <w:r w:rsidR="002F21C5" w:rsidRPr="00746362">
        <w:rPr>
          <w:rFonts w:ascii="Times New Roman" w:hAnsi="Times New Roman" w:cs="Times New Roman"/>
          <w:sz w:val="24"/>
          <w:szCs w:val="24"/>
        </w:rPr>
        <w:t>3</w:t>
      </w:r>
      <w:r w:rsidR="00746362">
        <w:rPr>
          <w:rFonts w:ascii="Times New Roman" w:hAnsi="Times New Roman" w:cs="Times New Roman"/>
          <w:sz w:val="24"/>
          <w:szCs w:val="24"/>
        </w:rPr>
        <w:t>.</w:t>
      </w:r>
      <w:r w:rsidRPr="00746362">
        <w:rPr>
          <w:rFonts w:ascii="Times New Roman" w:hAnsi="Times New Roman" w:cs="Times New Roman"/>
          <w:sz w:val="24"/>
          <w:szCs w:val="24"/>
        </w:rPr>
        <w:t xml:space="preserve"> </w:t>
      </w:r>
      <w:r w:rsidR="00B94365">
        <w:rPr>
          <w:rFonts w:ascii="Times New Roman" w:hAnsi="Times New Roman" w:cs="Times New Roman"/>
          <w:sz w:val="24"/>
          <w:szCs w:val="24"/>
        </w:rPr>
        <w:t>Doses of PAL in different treatment cycles for cohorts A, B and C</w:t>
      </w:r>
    </w:p>
    <w:tbl>
      <w:tblPr>
        <w:tblW w:w="89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5"/>
        <w:gridCol w:w="972"/>
        <w:gridCol w:w="441"/>
        <w:gridCol w:w="1347"/>
        <w:gridCol w:w="1347"/>
        <w:gridCol w:w="1347"/>
        <w:gridCol w:w="1440"/>
        <w:gridCol w:w="1200"/>
      </w:tblGrid>
      <w:tr w:rsidR="00B94365" w:rsidRPr="00746362" w14:paraId="1592DF26" w14:textId="77777777" w:rsidTr="00B94365">
        <w:trPr>
          <w:trHeight w:val="144"/>
          <w:jc w:val="center"/>
        </w:trPr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ECD13B0" w14:textId="72380D1C" w:rsidR="000349A7" w:rsidRPr="00746362" w:rsidRDefault="00746362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="000349A7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ycle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C78F4CB" w14:textId="6B5BDC03" w:rsidR="000349A7" w:rsidRPr="00746362" w:rsidRDefault="00B94365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="000349A7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ohort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753EFE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266660" w14:textId="606502EF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  <w:r w:rsidR="00746362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mg/day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325068" w14:textId="2B0D131C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746362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mg/day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439653" w14:textId="2A61C1F2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  <w:r w:rsidR="00746362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mg/day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EAC13F" w14:textId="19E133B2" w:rsidR="000349A7" w:rsidRPr="00746362" w:rsidRDefault="000349A7" w:rsidP="002950E5">
            <w:pPr>
              <w:widowControl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50</w:t>
            </w:r>
            <w:r w:rsidR="00746362" w:rsidRPr="0074636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36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mg/day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04789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746362" w:rsidRPr="00746362" w14:paraId="27113EEA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76150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D0FD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61D9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9622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180 (73.2%)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72C2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50 (20.3%)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6118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(6.5%)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AA8A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F54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0933293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665B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E989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1739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B1B7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221 (78.4%)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8F73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45 (16.0%)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032F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(5.7%)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147D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D4F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2DA1EEAE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07414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1E1F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7354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479A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48 (73.8%)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BDBB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12 (18.5%)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9432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(7.7%)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27ED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065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699FECBF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4E5018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637C1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9D44B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630F8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449 (75.7%)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588EF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107 (18.0%)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7114B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37 (6.2%)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345D7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6AE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2546C229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A55BF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84B9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9ADF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38DB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84 (35.9%)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1373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107 (45.7%)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F411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34 (14.5%)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11DF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(1.7%)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99C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(2.1%)</w:t>
            </w:r>
          </w:p>
        </w:tc>
      </w:tr>
      <w:tr w:rsidR="00746362" w:rsidRPr="00746362" w14:paraId="5341BFE3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36867" w14:textId="3242CFC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8F22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EF85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92B1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110 (41.0%)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62B6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111 (41.4%)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AF9E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40 (14.9%)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2390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(1.5%)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DC7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 (1.1%)</w:t>
            </w:r>
          </w:p>
        </w:tc>
      </w:tr>
      <w:tr w:rsidR="00746362" w:rsidRPr="00746362" w14:paraId="29BD142B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B59E2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3F49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B154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B34A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 (27.4%)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F26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32 (51.6%)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66B8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(17.7%)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7FB8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 (3.2%)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299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53189F60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B83B2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827D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D5DB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60091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211 (37.4%)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48D31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250 (44.3%)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D764F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85 (15.1%)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48128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10 (1.8%)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B4F2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(1.4%)</w:t>
            </w:r>
          </w:p>
        </w:tc>
      </w:tr>
      <w:tr w:rsidR="00746362" w:rsidRPr="00746362" w14:paraId="656E0D25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70AA7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08E4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ED29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1EFC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60 (26.2%)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887F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89 (38.9%)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53DC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67 (29.3%)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F47A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(2.6%)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3F3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(3.1%)</w:t>
            </w:r>
          </w:p>
        </w:tc>
      </w:tr>
      <w:tr w:rsidR="00746362" w:rsidRPr="00746362" w14:paraId="5F96531A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B362F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A789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06E8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D03B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53 (20.9%)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35E2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112 (44.3%)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13CD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77 (30.4%)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6EE9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(2.8%)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3BA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(1.6%)</w:t>
            </w:r>
          </w:p>
        </w:tc>
      </w:tr>
      <w:tr w:rsidR="00746362" w:rsidRPr="00746362" w14:paraId="5104ADF9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EF9B1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DCEB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F62D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0E78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14 (23.7%)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F93D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25 (42.4%)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8735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(27.1%)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E3D6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 (5.1%)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8B7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 (1.7%)</w:t>
            </w:r>
          </w:p>
        </w:tc>
      </w:tr>
      <w:tr w:rsidR="00746362" w:rsidRPr="00746362" w14:paraId="6AAA8199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92FD74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12165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F0FC1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033C4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127 (23.5%)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2BF51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226 (41.8%)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672F6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160 (29.6%)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2626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(3.0%)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D71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12 (2.2%)</w:t>
            </w:r>
          </w:p>
        </w:tc>
      </w:tr>
      <w:tr w:rsidR="00746362" w:rsidRPr="00746362" w14:paraId="3DC6D3EA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AB369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17B0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A1BC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97A4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45 (21.5%)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440A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75 (35.9%)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1C24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77 (36.8%)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6F5B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16E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(2.9%)</w:t>
            </w:r>
          </w:p>
        </w:tc>
      </w:tr>
      <w:tr w:rsidR="00746362" w:rsidRPr="00746362" w14:paraId="38FD2B68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C7C7F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0C85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3626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3530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41 (17.2%)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5EBB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99 (41.6%)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FDA9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85 (35.7%)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0AA7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(2.9%)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77F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(2.5%)</w:t>
            </w:r>
          </w:p>
        </w:tc>
      </w:tr>
      <w:tr w:rsidR="00746362" w:rsidRPr="00746362" w14:paraId="0F40898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7106B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DB85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5581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1419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10 (18.5%)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D685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 (33.3%)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987F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21 (38.9%)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1A97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 (5.6%)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A7A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 (3.7%)</w:t>
            </w:r>
          </w:p>
        </w:tc>
      </w:tr>
      <w:tr w:rsidR="00746362" w:rsidRPr="00746362" w14:paraId="45AE56CB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E8557C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24494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1C948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7A76B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96 (19.2%)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29913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192 (38.3%)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B3D38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183 (36.5%)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C79E6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(3.2%)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437D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14 (2.8%)</w:t>
            </w:r>
          </w:p>
        </w:tc>
      </w:tr>
      <w:tr w:rsidR="00746362" w:rsidRPr="00746362" w14:paraId="0E58E207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48BFA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AD4A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DEF6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6145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44 (21.1%)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62F5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66 (31.6%)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39E4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86 (41.1%)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C236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(3.8%)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C17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(2.4%)</w:t>
            </w:r>
          </w:p>
        </w:tc>
      </w:tr>
      <w:tr w:rsidR="00746362" w:rsidRPr="00746362" w14:paraId="1D906556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3DA53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B42F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5135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4BD8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38 (16.6%)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7258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91 (39.7%)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87FB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85 (37.1%)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7919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(3.9%)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ABC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(2.6%)</w:t>
            </w:r>
          </w:p>
        </w:tc>
      </w:tr>
      <w:tr w:rsidR="00746362" w:rsidRPr="00746362" w14:paraId="79AD047B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C5EDF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0678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1848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7310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(13.7%)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F98A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 (37.3%)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1103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 (43.1%)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8195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 (5.9%)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3F7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3F513A17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1E8E0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9FE5D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423F4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489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35C0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89 (18.2%)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6DE6A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176 (36.0%)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35C53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193 (39.5%)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DCC70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20 (4.1%)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CE3F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(2.2%)</w:t>
            </w:r>
          </w:p>
        </w:tc>
      </w:tr>
      <w:tr w:rsidR="00746362" w:rsidRPr="00746362" w14:paraId="30990B2D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E69C6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C91D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2E44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D54F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41 (19.9%)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125E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68 (33.0%)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8D6A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86 (41.7%)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FB18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(2.9%)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D20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(2.4%)</w:t>
            </w:r>
          </w:p>
        </w:tc>
      </w:tr>
      <w:tr w:rsidR="00746362" w:rsidRPr="00746362" w14:paraId="730730E1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E77A3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0B48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B8DA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6AA0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34 (15.1%)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6486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87 (38.7%)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5750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91 (40.4%)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7A24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(4.0%)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46A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(1.8%)</w:t>
            </w:r>
          </w:p>
        </w:tc>
      </w:tr>
      <w:tr w:rsidR="00746362" w:rsidRPr="00746362" w14:paraId="17232FE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B0FE3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D63E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DCF0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B6DD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(14.9%)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2DE4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 (38.3%)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7051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20 (42.6%)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B2A6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 (4.3%)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C21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</w:tr>
      <w:tr w:rsidR="00746362" w:rsidRPr="00746362" w14:paraId="0795896C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10144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A537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F0B3D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F9D5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82 (17.2%)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B2E2F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173 (36.2%)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BA4D4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197 (41.2%)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33D9C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 (3.6%)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5EB6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(1.9%)</w:t>
            </w:r>
          </w:p>
        </w:tc>
      </w:tr>
      <w:tr w:rsidR="00746362" w:rsidRPr="00746362" w14:paraId="2F03BD62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59907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C5C2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7863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44A6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36 (18.9%)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78FF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59 (31.1%)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AA6D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78 (41.1%)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F2AB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(4.7%)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B47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(4.2%)</w:t>
            </w:r>
          </w:p>
        </w:tc>
      </w:tr>
      <w:tr w:rsidR="00746362" w:rsidRPr="00746362" w14:paraId="35C52C59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52541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3017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CC7D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B5C1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28 (14.2%)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9E30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69 (35.0%)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6AF9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87 (44.2%)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AE64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(2.5%)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D6E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(4.1%)</w:t>
            </w:r>
          </w:p>
        </w:tc>
      </w:tr>
      <w:tr w:rsidR="00746362" w:rsidRPr="00746362" w14:paraId="0E9ECF76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31B89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4425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2E3B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5EB84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(17.9%)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92EA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(28.2%)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F6E5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 (41.0%)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9103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(10.3%)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FD8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 (2.6%)</w:t>
            </w:r>
          </w:p>
        </w:tc>
      </w:tr>
      <w:tr w:rsidR="00746362" w:rsidRPr="00746362" w14:paraId="101BB8CD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898F0C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41AD8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AA084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0D550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71 (16.7%)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83CC7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139 (32.6%)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48437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181 (42.5%)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51936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 (4.2%)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FFE4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 (4.0%)</w:t>
            </w:r>
          </w:p>
        </w:tc>
      </w:tr>
      <w:tr w:rsidR="00746362" w:rsidRPr="00746362" w14:paraId="741B7E51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D485F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E2B5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0B53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4E34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35 (18.9%)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12FD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57 (30.8%)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5BC7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79 (42.7%)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B641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(4.9%)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97C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(2.7%)</w:t>
            </w:r>
          </w:p>
        </w:tc>
      </w:tr>
      <w:tr w:rsidR="00746362" w:rsidRPr="00746362" w14:paraId="3DD0319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9EA60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155F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ADC1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91FA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24 (13.3%)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08C0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64 (35.4%)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8EF7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84 (46.4%)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86D6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(2.8%)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7F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(2.2%)</w:t>
            </w:r>
          </w:p>
        </w:tc>
      </w:tr>
      <w:tr w:rsidR="00746362" w:rsidRPr="00746362" w14:paraId="69BF7C49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AE2D7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D376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380C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1013B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(18.4%)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8F63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(28.9%)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AAE9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14 (36.8%)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9A90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(10.5%)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81C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 (5.3%)</w:t>
            </w:r>
          </w:p>
        </w:tc>
      </w:tr>
      <w:tr w:rsidR="00746362" w:rsidRPr="00746362" w14:paraId="5C46B0EF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0FFF0B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B832D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8461D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A9495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66 (16.3%)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708F1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132 (32.7%)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2D32A7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177 (43.8%)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FD025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 (4.5%)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F9CF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(2.7%)</w:t>
            </w:r>
          </w:p>
        </w:tc>
      </w:tr>
      <w:tr w:rsidR="00746362" w:rsidRPr="00746362" w14:paraId="6172B0D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EB9FC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1C75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A64A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405A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35 (19.4%)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AA1B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51 (28.3%)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B3B4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78 (43.3%)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E036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(5.0%)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AD3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 (3.9%)</w:t>
            </w:r>
          </w:p>
        </w:tc>
      </w:tr>
      <w:tr w:rsidR="00746362" w:rsidRPr="00746362" w14:paraId="09CDC70E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6A869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76D2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2728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0F30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22 (12.6%)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7ED5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60 (34.3%)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828D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81 (46.3%)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3E06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(3.4%)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B11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(3.4%)</w:t>
            </w:r>
          </w:p>
        </w:tc>
      </w:tr>
      <w:tr w:rsidR="00746362" w:rsidRPr="00746362" w14:paraId="6092A50A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A15B0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EE43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605A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45C5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(13.9%)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7730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11 (30.6%)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4FCA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15 (41.7%)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D917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(11.1%)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A925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 (2.8%)</w:t>
            </w:r>
          </w:p>
        </w:tc>
      </w:tr>
      <w:tr w:rsidR="00746362" w:rsidRPr="00746362" w14:paraId="4F45E18D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D25E1A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0F3B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43BA3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4C4D1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62 (15.9%)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36352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122 (31.2%)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A23C8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174 (44.5%)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F8468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19 (4.9%)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69A2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14 (3.6%)</w:t>
            </w:r>
          </w:p>
        </w:tc>
      </w:tr>
      <w:tr w:rsidR="00746362" w:rsidRPr="00746362" w14:paraId="444CA084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ACE51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9C91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3BAF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86022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33 (19.4%)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CE05A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48 (28.2%)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7BB0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75 (44.1%)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EEFAE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9 (5.3%)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D4E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(2.9%)</w:t>
            </w:r>
          </w:p>
        </w:tc>
      </w:tr>
      <w:tr w:rsidR="00746362" w:rsidRPr="00746362" w14:paraId="0409DB5B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6CD8E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8A61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98519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3CC6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21 (12.4%)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5475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51 (30.2%)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F7A3F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83 (49.1%)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1BD5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6 (3.6%)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C4F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(4.7%)</w:t>
            </w:r>
          </w:p>
        </w:tc>
      </w:tr>
      <w:tr w:rsidR="00746362" w:rsidRPr="00746362" w14:paraId="343AE573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0E371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20E10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2558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6F99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 (14.7%)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2443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8 (23.5%)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FBF88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15 (44.1%)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39E2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2 (5.9%)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C8B1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 (11.8%)</w:t>
            </w:r>
          </w:p>
        </w:tc>
      </w:tr>
      <w:tr w:rsidR="00746362" w:rsidRPr="00746362" w14:paraId="5D182E6A" w14:textId="77777777" w:rsidTr="008627B9">
        <w:trPr>
          <w:trHeight w:hRule="exact" w:val="317"/>
          <w:jc w:val="center"/>
        </w:trPr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13AA1" w14:textId="77777777" w:rsidR="000349A7" w:rsidRPr="00746362" w:rsidRDefault="000349A7" w:rsidP="00B9436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B301C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57766C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66EC3D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59 (15.8%)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81ECA6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107 (28.7%)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608C53" w14:textId="77777777" w:rsidR="000349A7" w:rsidRPr="00746362" w:rsidRDefault="000349A7" w:rsidP="002950E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173 (46.4%)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F414D5" w14:textId="09BB7448" w:rsidR="000349A7" w:rsidRPr="00746362" w:rsidRDefault="000349A7" w:rsidP="0074636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4.6%)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01090" w14:textId="2E2F4912" w:rsidR="000349A7" w:rsidRPr="00746362" w:rsidRDefault="00746362" w:rsidP="0074636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17 (</w:t>
            </w:r>
            <w:r w:rsidR="000349A7" w:rsidRPr="00746362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4.6%)</w:t>
            </w:r>
          </w:p>
        </w:tc>
      </w:tr>
    </w:tbl>
    <w:p w14:paraId="0D002078" w14:textId="412A3F0E" w:rsidR="00977DE8" w:rsidRPr="00746362" w:rsidRDefault="00B94365" w:rsidP="008627B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are shown as n (%). </w:t>
      </w:r>
      <w:r w:rsidR="000349A7" w:rsidRPr="00746362">
        <w:rPr>
          <w:rFonts w:ascii="Times New Roman" w:hAnsi="Times New Roman" w:cs="Times New Roman"/>
          <w:sz w:val="24"/>
          <w:szCs w:val="24"/>
        </w:rPr>
        <w:t>*Temporary discontinuation</w:t>
      </w:r>
    </w:p>
    <w:sectPr w:rsidR="00977DE8" w:rsidRPr="00746362" w:rsidSect="002950E5"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6477" w14:textId="77777777" w:rsidR="00904498" w:rsidRDefault="00904498" w:rsidP="002F21C5">
      <w:r>
        <w:separator/>
      </w:r>
    </w:p>
  </w:endnote>
  <w:endnote w:type="continuationSeparator" w:id="0">
    <w:p w14:paraId="064D496D" w14:textId="77777777" w:rsidR="00904498" w:rsidRDefault="00904498" w:rsidP="002F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DFE7" w14:textId="77777777" w:rsidR="00904498" w:rsidRDefault="00904498" w:rsidP="002F21C5">
      <w:r>
        <w:separator/>
      </w:r>
    </w:p>
  </w:footnote>
  <w:footnote w:type="continuationSeparator" w:id="0">
    <w:p w14:paraId="43257FC6" w14:textId="77777777" w:rsidR="00904498" w:rsidRDefault="00904498" w:rsidP="002F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BD8"/>
    <w:multiLevelType w:val="hybridMultilevel"/>
    <w:tmpl w:val="92B4AC08"/>
    <w:lvl w:ilvl="0" w:tplc="92EAC7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5DED"/>
    <w:multiLevelType w:val="multilevel"/>
    <w:tmpl w:val="1EB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444C2"/>
    <w:multiLevelType w:val="hybridMultilevel"/>
    <w:tmpl w:val="D34CA9CC"/>
    <w:lvl w:ilvl="0" w:tplc="9B64EC04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8552179">
    <w:abstractNumId w:val="2"/>
  </w:num>
  <w:num w:numId="2" w16cid:durableId="607393120">
    <w:abstractNumId w:val="0"/>
  </w:num>
  <w:num w:numId="3" w16cid:durableId="154705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A7"/>
    <w:rsid w:val="00013756"/>
    <w:rsid w:val="00016A6B"/>
    <w:rsid w:val="000349A7"/>
    <w:rsid w:val="000A6C88"/>
    <w:rsid w:val="00112690"/>
    <w:rsid w:val="00213841"/>
    <w:rsid w:val="002950E5"/>
    <w:rsid w:val="002C1C0B"/>
    <w:rsid w:val="002D19FE"/>
    <w:rsid w:val="002F21C5"/>
    <w:rsid w:val="00301A69"/>
    <w:rsid w:val="00395CCE"/>
    <w:rsid w:val="003A78ED"/>
    <w:rsid w:val="003D2AD7"/>
    <w:rsid w:val="003E1002"/>
    <w:rsid w:val="00443942"/>
    <w:rsid w:val="004F0535"/>
    <w:rsid w:val="00510BF0"/>
    <w:rsid w:val="0056063C"/>
    <w:rsid w:val="0062788A"/>
    <w:rsid w:val="00640EEF"/>
    <w:rsid w:val="00662E12"/>
    <w:rsid w:val="0066773E"/>
    <w:rsid w:val="0068040F"/>
    <w:rsid w:val="0069594B"/>
    <w:rsid w:val="006E2E36"/>
    <w:rsid w:val="00746362"/>
    <w:rsid w:val="007E0029"/>
    <w:rsid w:val="008627B9"/>
    <w:rsid w:val="00903465"/>
    <w:rsid w:val="00904498"/>
    <w:rsid w:val="00915EB7"/>
    <w:rsid w:val="00933AF6"/>
    <w:rsid w:val="00977DE8"/>
    <w:rsid w:val="009B1B02"/>
    <w:rsid w:val="009F1D9E"/>
    <w:rsid w:val="00A27185"/>
    <w:rsid w:val="00AA2DD5"/>
    <w:rsid w:val="00AA74FA"/>
    <w:rsid w:val="00B003A5"/>
    <w:rsid w:val="00B94365"/>
    <w:rsid w:val="00C974F4"/>
    <w:rsid w:val="00CA410F"/>
    <w:rsid w:val="00D370EC"/>
    <w:rsid w:val="00DA528D"/>
    <w:rsid w:val="00DF124E"/>
    <w:rsid w:val="00E25618"/>
    <w:rsid w:val="00E27D8C"/>
    <w:rsid w:val="00F04C50"/>
    <w:rsid w:val="00F05F64"/>
    <w:rsid w:val="00F4698B"/>
    <w:rsid w:val="00F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D9E0E"/>
  <w15:docId w15:val="{F16D3A61-29BF-40F6-98F7-9D0D174D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9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9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49A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3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49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9A7"/>
  </w:style>
  <w:style w:type="paragraph" w:styleId="ad">
    <w:name w:val="footer"/>
    <w:basedOn w:val="a"/>
    <w:link w:val="ae"/>
    <w:uiPriority w:val="99"/>
    <w:unhideWhenUsed/>
    <w:rsid w:val="000349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9A7"/>
  </w:style>
  <w:style w:type="paragraph" w:styleId="af">
    <w:name w:val="Revision"/>
    <w:hidden/>
    <w:uiPriority w:val="99"/>
    <w:semiHidden/>
    <w:rsid w:val="002950E5"/>
  </w:style>
  <w:style w:type="character" w:styleId="af0">
    <w:name w:val="annotation reference"/>
    <w:basedOn w:val="a0"/>
    <w:uiPriority w:val="99"/>
    <w:semiHidden/>
    <w:unhideWhenUsed/>
    <w:rsid w:val="002950E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950E5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2950E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50E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950E5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80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804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1456</Words>
  <Characters>5304</Characters>
  <Application>Microsoft Office Word</Application>
  <DocSecurity>0</DocSecurity>
  <Lines>1060</Lines>
  <Paragraphs>965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孝</dc:creator>
  <cp:keywords/>
  <dc:description/>
  <cp:lastModifiedBy>石川 孝</cp:lastModifiedBy>
  <cp:revision>2</cp:revision>
  <dcterms:created xsi:type="dcterms:W3CDTF">2025-12-23T10:52:00Z</dcterms:created>
  <dcterms:modified xsi:type="dcterms:W3CDTF">2025-12-23T10:52:00Z</dcterms:modified>
</cp:coreProperties>
</file>