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4AE" w:rsidRPr="00904E89" w:rsidRDefault="007F64AE" w:rsidP="007F64AE">
      <w:pPr>
        <w:spacing w:line="480" w:lineRule="auto"/>
        <w:rPr>
          <w:lang w:val="en-US"/>
        </w:rPr>
      </w:pPr>
      <w:r>
        <w:rPr>
          <w:b/>
          <w:bCs/>
          <w:lang w:val="en-US"/>
        </w:rPr>
        <w:t>Supplementary results</w:t>
      </w:r>
    </w:p>
    <w:p w:rsidR="007F64AE" w:rsidRPr="00904E89" w:rsidRDefault="007F64AE" w:rsidP="007F64AE">
      <w:pPr>
        <w:spacing w:line="480" w:lineRule="auto"/>
        <w:rPr>
          <w:lang w:val="en-US"/>
        </w:rPr>
      </w:pPr>
      <w:r>
        <w:rPr>
          <w:b/>
          <w:bCs/>
          <w:lang w:val="en-US"/>
        </w:rPr>
        <w:t>Characterization of [</w:t>
      </w:r>
      <w:r>
        <w:rPr>
          <w:b/>
          <w:bCs/>
          <w:i/>
          <w:iCs/>
          <w:lang w:val="en-US"/>
        </w:rPr>
        <w:t>PSI+</w:t>
      </w:r>
      <w:r>
        <w:rPr>
          <w:b/>
          <w:bCs/>
          <w:lang w:val="en-US"/>
        </w:rPr>
        <w:t>] prion variants</w:t>
      </w:r>
    </w:p>
    <w:p w:rsidR="007F64AE" w:rsidRPr="00904E89" w:rsidRDefault="007F64AE" w:rsidP="007F64AE">
      <w:pPr>
        <w:spacing w:before="240" w:line="480" w:lineRule="auto"/>
        <w:ind w:firstLine="20"/>
        <w:rPr>
          <w:rFonts w:ascii="Times New Roman" w:hAnsi="Times New Roman"/>
          <w:lang w:val="en-US"/>
        </w:rPr>
      </w:pPr>
      <w:r>
        <w:rPr>
          <w:rFonts w:ascii="Times New Roman" w:hAnsi="Times New Roman"/>
          <w:lang w:val="en-US"/>
        </w:rPr>
        <w:t xml:space="preserve"> </w:t>
      </w:r>
      <w:r>
        <w:rPr>
          <w:rFonts w:ascii="Times New Roman" w:hAnsi="Times New Roman"/>
          <w:lang w:val="en-US"/>
        </w:rPr>
        <w:tab/>
        <w:t>Previously, we demonstrated that “strong” and “weak” [</w:t>
      </w:r>
      <w:r>
        <w:rPr>
          <w:rFonts w:ascii="Times New Roman" w:hAnsi="Times New Roman"/>
          <w:i/>
          <w:iCs/>
          <w:lang w:val="en-US"/>
        </w:rPr>
        <w:t>PSI+</w:t>
      </w:r>
      <w:r>
        <w:rPr>
          <w:rFonts w:ascii="Times New Roman" w:hAnsi="Times New Roman"/>
          <w:lang w:val="en-US"/>
        </w:rPr>
        <w:t>] variants constitute two distinct classes of Sup35 prion, which can be differentiated based on their nonsense-suppressor phenotype, structural characteristics, and their response to the overproduction of SUP35 and HSP104 genes</w:t>
      </w:r>
      <w:r>
        <w:fldChar w:fldCharType="begin"/>
      </w:r>
      <w:r>
        <w:rPr>
          <w:rFonts w:ascii="Times New Roman" w:hAnsi="Times New Roman"/>
          <w:lang w:val="en-US"/>
        </w:rPr>
        <w:instrText>ADDIN ZOTERO_ITEM CSL_CITATION {"citationID":"mD28leQt","properties":{"formattedCitation":"\\super 1\\nosupersub{}","plainCitation":"1","noteIndex":0},"citationItems":[{"id":428,"uris":["http://zotero.org/users/local/BXGjheSY/items/7EBC4B3K"],"itemData":{"id":428,"type":"article-journal","abstract":"The yeast [PSI+] prion, formed by the Sup35 (eRF3) protein, has multiple structural variants differing in the strength of nonsense suppressor phenotype. Structure of [PSI+] and its variation are characterized poorly. Here, we mapped Sup35 amyloid cores of 26 [PSI+] ex vivo prions of different origin using proteinase K digestion and mass spectrometric identification of resistant peptides. In all [PSI+] variants the Sup35 amino acid residues 2-32 were fully resistant and the region up to residue 72 was partially resistant. Proteinase K-resistant structures were also found within regions 73-124, 125-153, and 154-221, but their presence differed between [PSI+] isolates. Two distinct digestion patterns were observed for region 2-72, which always correlated with the \"strong\" and \"weak\" [PSI+] nonsense suppressor phenotypes. Also, all [PSI+] with a weak pattern were eliminated by multicopy HSP104 gene and were not toxic when combined with multicopy SUP35. [PSI+] with a strong pattern showed opposite properties, being resistant to multicopy HSP104 and lethal with multicopy SUP35. Thus, Sup35 prion cores can be composed of up to four elements. [PSI+] variants can be divided into two classes reliably distinguishable basing on structure of the first element and the described assays.","container-title":"International Journal of Molecular Sciences","DOI":"10.3390/ijms20112633","ISSN":"1422-0067","issue":"11","journalAbbreviation":"Int J Mol Sci","language":"eng","note":"number: 11\nPMID: 31146333\nPMCID: PMC6600473","source":"PubMed","title":"Yeast Sup35 Prion Structure: Two Types, Four Parts, Many Variants","title-short":"Yeast Sup35 Prion Structure","volume":"20","author":[{"family":"Dergalev","given":"Alexander A."},{"family":"Alexandrov","given":"Alexander I."},{"family":"Ivannikov","given":"Roman I."},{"family":"Ter-Avanesyan","given":"Michael D."},{"family":"Kushnirov","given":"Vitaly V."}],"issued":{"date-parts":[["2019",5,29]]}}}],"schema":"https://github.com/citation-style-language/schema/raw/master/csl-citation.json"}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1</w:t>
      </w:r>
      <w:r>
        <w:rPr>
          <w:rFonts w:ascii="Times New Roman" w:hAnsi="Times New Roman"/>
          <w:lang w:val="en-US"/>
        </w:rPr>
        <w:fldChar w:fldCharType="end"/>
      </w:r>
      <w:r>
        <w:rPr>
          <w:rFonts w:ascii="Times New Roman" w:hAnsi="Times New Roman"/>
          <w:lang w:val="en-US"/>
        </w:rPr>
        <w:t>. For the present study, we selected one representative of each class from this previous work: [</w:t>
      </w:r>
      <w:r>
        <w:rPr>
          <w:rFonts w:ascii="Times New Roman" w:hAnsi="Times New Roman"/>
          <w:i/>
          <w:iCs/>
          <w:lang w:val="en-US"/>
        </w:rPr>
        <w:t>PSI+</w:t>
      </w:r>
      <w:r>
        <w:rPr>
          <w:rFonts w:ascii="Times New Roman" w:hAnsi="Times New Roman"/>
          <w:lang w:val="en-US"/>
        </w:rPr>
        <w:t>]-S7 and [</w:t>
      </w:r>
      <w:r>
        <w:rPr>
          <w:rFonts w:ascii="Times New Roman" w:hAnsi="Times New Roman"/>
          <w:i/>
          <w:iCs/>
          <w:lang w:val="en-US"/>
        </w:rPr>
        <w:t>PSI+</w:t>
      </w:r>
      <w:r>
        <w:rPr>
          <w:rFonts w:ascii="Times New Roman" w:hAnsi="Times New Roman"/>
          <w:lang w:val="en-US"/>
        </w:rPr>
        <w:t>]-W2, respectively. To evaluate how these variants correspond to the strong and weak [</w:t>
      </w:r>
      <w:r>
        <w:rPr>
          <w:rFonts w:ascii="Times New Roman" w:hAnsi="Times New Roman"/>
          <w:i/>
          <w:iCs/>
          <w:lang w:val="en-US"/>
        </w:rPr>
        <w:t>PSI+</w:t>
      </w:r>
      <w:r>
        <w:rPr>
          <w:rFonts w:ascii="Times New Roman" w:hAnsi="Times New Roman"/>
          <w:lang w:val="en-US"/>
        </w:rPr>
        <w:t>] variants described earlier, we assessed some phenotypic features of these [</w:t>
      </w:r>
      <w:r>
        <w:rPr>
          <w:rFonts w:ascii="Times New Roman" w:hAnsi="Times New Roman"/>
          <w:i/>
          <w:iCs/>
          <w:lang w:val="en-US"/>
        </w:rPr>
        <w:t>PSI+</w:t>
      </w:r>
      <w:r>
        <w:rPr>
          <w:rFonts w:ascii="Times New Roman" w:hAnsi="Times New Roman"/>
          <w:lang w:val="en-US"/>
        </w:rPr>
        <w:t>] variants. Consistent with previous studies, the [</w:t>
      </w:r>
      <w:r>
        <w:rPr>
          <w:rFonts w:ascii="Times New Roman" w:hAnsi="Times New Roman"/>
          <w:i/>
          <w:iCs/>
          <w:lang w:val="en-US"/>
        </w:rPr>
        <w:t>PSI+</w:t>
      </w:r>
      <w:r>
        <w:rPr>
          <w:rFonts w:ascii="Times New Roman" w:hAnsi="Times New Roman"/>
          <w:lang w:val="en-US"/>
        </w:rPr>
        <w:t>]-W2 variant exhibited a larger polymer size (Fig. 1B) and a higher proportion of soluble Sup35 than the [</w:t>
      </w:r>
      <w:r>
        <w:rPr>
          <w:rFonts w:ascii="Times New Roman" w:hAnsi="Times New Roman"/>
          <w:i/>
          <w:iCs/>
          <w:lang w:val="en-US"/>
        </w:rPr>
        <w:t>PSI+</w:t>
      </w:r>
      <w:r>
        <w:rPr>
          <w:rFonts w:ascii="Times New Roman" w:hAnsi="Times New Roman"/>
          <w:lang w:val="en-US"/>
        </w:rPr>
        <w:t>]-S7 variant (Fig. 1C). This correlates with a weaker nonsense suppressor phenotype (Fig. 1A) and indicates less frequent fragmentation of [</w:t>
      </w:r>
      <w:r>
        <w:rPr>
          <w:rFonts w:ascii="Times New Roman" w:hAnsi="Times New Roman"/>
          <w:i/>
          <w:iCs/>
          <w:lang w:val="en-US"/>
        </w:rPr>
        <w:t>PSI+</w:t>
      </w:r>
      <w:r>
        <w:rPr>
          <w:rFonts w:ascii="Times New Roman" w:hAnsi="Times New Roman"/>
          <w:lang w:val="en-US"/>
        </w:rPr>
        <w:t>]-W2 prion fibrils. The number of propagons (units of prion inheritance) in [</w:t>
      </w:r>
      <w:r>
        <w:rPr>
          <w:rFonts w:ascii="Times New Roman" w:hAnsi="Times New Roman"/>
          <w:i/>
          <w:iCs/>
          <w:lang w:val="en-US"/>
        </w:rPr>
        <w:t>PSI+</w:t>
      </w:r>
      <w:r>
        <w:rPr>
          <w:rFonts w:ascii="Times New Roman" w:hAnsi="Times New Roman"/>
          <w:lang w:val="en-US"/>
        </w:rPr>
        <w:t>]-W2 cells was lower than in [</w:t>
      </w:r>
      <w:r>
        <w:rPr>
          <w:rFonts w:ascii="Times New Roman" w:hAnsi="Times New Roman"/>
          <w:i/>
          <w:iCs/>
          <w:lang w:val="en-US"/>
        </w:rPr>
        <w:t>PSI+</w:t>
      </w:r>
      <w:r>
        <w:rPr>
          <w:rFonts w:ascii="Times New Roman" w:hAnsi="Times New Roman"/>
          <w:lang w:val="en-US"/>
        </w:rPr>
        <w:t>]-S7 cells (Fig. S1A). Unlike some previously described weak variants</w:t>
      </w:r>
      <w:r>
        <w:fldChar w:fldCharType="begin"/>
      </w:r>
      <w:r>
        <w:rPr>
          <w:rFonts w:ascii="Times New Roman" w:hAnsi="Times New Roman"/>
          <w:lang w:val="en-US"/>
        </w:rPr>
        <w:instrText>ADDIN ZOTERO_ITEM CSL_CITATION {"citationID":"uZ3006DU","properties":{"formattedCitation":"\\super 2\\nosupersub{}","plainCitation":"2","noteIndex":0},"citationItems":[{"id":747,"uris":["http://zotero.org/users/local/BXGjheSY/items/ITDK37CG"],"itemData":{"id":747,"type":"article-journal","container-title":"Genetics","DOI":"10.1534/genetics.105.048660","ISSN":"0016-6731, 1943-2631","issue":"2","journalAbbreviation":"Genetics","language":"en","note":"number: 2","page":"827-835","source":"DOI.org (Crossref)","title":"The Role of the N-Terminal Oligopeptide Repeats of the Yeast Sup35 Prion Protein in Propagation and Transmission of Prion Variants","volume":"172","author":[{"family":"Shkundina","given":"Irina S."},{"family":"Kushnirov","given":"Vitaly V."},{"family":"Tuite","given":"Mick F."},{"family":"Ter-Avanesyan","given":"Michael D."}],"issued":{"date-parts":[["2006",2]]}}}],"schema":"https://github.com/citation-style-language/schema/raw/master/csl-citation.json"}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2</w:t>
      </w:r>
      <w:r>
        <w:rPr>
          <w:rFonts w:ascii="Times New Roman" w:hAnsi="Times New Roman"/>
          <w:lang w:val="en-US"/>
        </w:rPr>
        <w:fldChar w:fldCharType="end"/>
      </w:r>
      <w:r>
        <w:rPr>
          <w:rFonts w:ascii="Times New Roman" w:hAnsi="Times New Roman"/>
          <w:lang w:val="en-US"/>
        </w:rPr>
        <w:t>, [</w:t>
      </w:r>
      <w:r>
        <w:rPr>
          <w:rFonts w:ascii="Times New Roman" w:hAnsi="Times New Roman"/>
          <w:i/>
          <w:iCs/>
          <w:lang w:val="en-US"/>
        </w:rPr>
        <w:t>PSI+</w:t>
      </w:r>
      <w:r>
        <w:rPr>
          <w:rFonts w:ascii="Times New Roman" w:hAnsi="Times New Roman"/>
          <w:lang w:val="en-US"/>
        </w:rPr>
        <w:t>]-W2 exhibited high mitotic stability under standard conditions (prion loss of less than 10</w:t>
      </w:r>
      <w:r>
        <w:rPr>
          <w:rFonts w:ascii="Times New Roman" w:eastAsia="Arial Unicode MS" w:hAnsi="Times New Roman" w:cs="Arial Unicode MS"/>
          <w:vertAlign w:val="superscript"/>
          <w:lang w:val="en-US"/>
        </w:rPr>
        <w:t>−3</w:t>
      </w:r>
      <w:r>
        <w:rPr>
          <w:rFonts w:ascii="Times New Roman" w:hAnsi="Times New Roman"/>
          <w:lang w:val="en-US"/>
        </w:rPr>
        <w:t xml:space="preserve"> per 25 generations for both variants). However, as was demonstrated for other weak variants</w:t>
      </w:r>
      <w:r>
        <w:fldChar w:fldCharType="begin"/>
      </w:r>
      <w:r>
        <w:rPr>
          <w:rFonts w:ascii="Times New Roman" w:hAnsi="Times New Roman"/>
          <w:lang w:val="en-US"/>
        </w:rPr>
        <w:instrText>ADDIN ZOTERO_ITEM CSL_CITATION {"citationID":"CYh5qBgt","properties":{"formattedCitation":"\\super 3,4\\nosupersub{}","plainCitation":"3,4","noteIndex":0},"citationItems":[{"id":1360,"uris":["http://zotero.org/users/local/BXGjheSY/items/8W2P8K75"],"itemData":{"id":1360,"type":"article-journal","container-title":"Journal of Molecular Biology","DOI":"10.1016/j.jmb.2011.02.034","ISSN":"00222836","issue":"3","journalAbbreviation":"Journal of Molecular Biology","language":"en","license":"https://www.elsevier.com/tdm/userlicense/1.0/","page":"432-448","source":"DOI.org (Crossref)","title":"Destabilization and Recovery of a Yeast Prion after Mild Heat Shock","volume":"408","author":[{"family":"Newnam","given":"Gary P."},{"family":"Birchmore","given":"Jennifer L."},{"family":"Chernoff","given":"Yury O."}],"issued":{"date-parts":[["2011",5]]}}},{"id":190,"uris":["http://zotero.org/users/local/BXGjheSY/items/BTUYPDZ4"],"itemData":{"id":190,"type":"article-journal","container-title":"eLife","DOI":"10.7554/eLife.04288","ISSN":"2050-084X","language":"en","source":"Crossref","title":"Spatial quality control bypasses cell-based limitations on proteostasis to promote prion curing","URL":"https://elifesciences.org/articles/04288","volume":"3","author":[{"family":"Klaips","given":"Courtney L"},{"family":"Hochstrasser","given":"Megan L"},{"family":"Langlois","given":"Christine R"},{"family":"Serio","given":"Tricia R"}],"accessed":{"date-parts":[["2019",6,24]]},"issued":{"date-parts":[["2014",12,9]]}}}],"schema":"https://github.com/citation-style-language/schema/raw/master/csl-citation.json"}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3,4</w:t>
      </w:r>
      <w:r>
        <w:rPr>
          <w:rFonts w:ascii="Times New Roman" w:hAnsi="Times New Roman"/>
          <w:lang w:val="en-US"/>
        </w:rPr>
        <w:fldChar w:fldCharType="end"/>
      </w:r>
      <w:r>
        <w:rPr>
          <w:rFonts w:ascii="Times New Roman" w:hAnsi="Times New Roman"/>
          <w:lang w:val="en-US"/>
        </w:rPr>
        <w:t>, the mitotic inheritance of [</w:t>
      </w:r>
      <w:r>
        <w:rPr>
          <w:rFonts w:ascii="Times New Roman" w:hAnsi="Times New Roman"/>
          <w:i/>
          <w:iCs/>
          <w:lang w:val="en-US"/>
        </w:rPr>
        <w:t>PSI+</w:t>
      </w:r>
      <w:r>
        <w:rPr>
          <w:rFonts w:ascii="Times New Roman" w:hAnsi="Times New Roman"/>
          <w:lang w:val="en-US"/>
        </w:rPr>
        <w:t>]-W2 was significantly impaired following short-term heat shock (Fig. S1B). Therefore, we can conclude that [</w:t>
      </w:r>
      <w:r>
        <w:rPr>
          <w:rFonts w:ascii="Times New Roman" w:hAnsi="Times New Roman"/>
          <w:i/>
          <w:iCs/>
          <w:lang w:val="en-US"/>
        </w:rPr>
        <w:t>PSI+</w:t>
      </w:r>
      <w:r>
        <w:rPr>
          <w:rFonts w:ascii="Times New Roman" w:hAnsi="Times New Roman"/>
          <w:lang w:val="en-US"/>
        </w:rPr>
        <w:t>]-S7 and [</w:t>
      </w:r>
      <w:r>
        <w:rPr>
          <w:rFonts w:ascii="Times New Roman" w:hAnsi="Times New Roman"/>
          <w:i/>
          <w:iCs/>
          <w:lang w:val="en-US"/>
        </w:rPr>
        <w:t>PSI+</w:t>
      </w:r>
      <w:r>
        <w:rPr>
          <w:rFonts w:ascii="Times New Roman" w:hAnsi="Times New Roman"/>
          <w:lang w:val="en-US"/>
        </w:rPr>
        <w:t xml:space="preserve">]-W2 generally exhibit the phenotypic properties of strong and weak prion variants that </w:t>
      </w:r>
      <w:proofErr w:type="gramStart"/>
      <w:r>
        <w:rPr>
          <w:rFonts w:ascii="Times New Roman" w:hAnsi="Times New Roman"/>
          <w:lang w:val="en-US"/>
        </w:rPr>
        <w:t>have been studied</w:t>
      </w:r>
      <w:proofErr w:type="gramEnd"/>
      <w:r>
        <w:rPr>
          <w:rFonts w:ascii="Times New Roman" w:hAnsi="Times New Roman"/>
          <w:lang w:val="en-US"/>
        </w:rPr>
        <w:t xml:space="preserve"> previously.</w:t>
      </w:r>
    </w:p>
    <w:p w:rsidR="007F64AE" w:rsidRPr="00904E89" w:rsidRDefault="007F64AE" w:rsidP="007F64AE">
      <w:pPr>
        <w:spacing w:before="240" w:line="480" w:lineRule="auto"/>
        <w:rPr>
          <w:lang w:val="en-US"/>
        </w:rPr>
      </w:pPr>
      <w:r>
        <w:rPr>
          <w:b/>
          <w:bCs/>
          <w:lang w:val="en-US"/>
        </w:rPr>
        <w:t>[</w:t>
      </w:r>
      <w:r>
        <w:rPr>
          <w:b/>
          <w:bCs/>
          <w:i/>
          <w:iCs/>
          <w:lang w:val="en-US"/>
        </w:rPr>
        <w:t>PSI+</w:t>
      </w:r>
      <w:r>
        <w:rPr>
          <w:b/>
          <w:bCs/>
          <w:lang w:val="en-US"/>
        </w:rPr>
        <w:t xml:space="preserve">]-S7 prion fibril structure </w:t>
      </w:r>
    </w:p>
    <w:p w:rsidR="007F64AE" w:rsidRPr="00904E89" w:rsidRDefault="007F64AE" w:rsidP="007F64AE">
      <w:pPr>
        <w:spacing w:before="240" w:line="480" w:lineRule="auto"/>
        <w:rPr>
          <w:rFonts w:ascii="Times New Roman" w:hAnsi="Times New Roman"/>
          <w:lang w:val="en-US"/>
        </w:rPr>
      </w:pPr>
      <w:r>
        <w:rPr>
          <w:rFonts w:ascii="Times New Roman" w:hAnsi="Times New Roman"/>
          <w:i/>
          <w:iCs/>
          <w:lang w:val="en-US"/>
        </w:rPr>
        <w:t>Lateral stabilization interactions</w:t>
      </w:r>
    </w:p>
    <w:p w:rsidR="007F64AE" w:rsidRPr="00904E89" w:rsidRDefault="007F64AE" w:rsidP="007F64AE">
      <w:pPr>
        <w:spacing w:before="240" w:line="480" w:lineRule="auto"/>
        <w:rPr>
          <w:rFonts w:ascii="Times New Roman" w:hAnsi="Times New Roman"/>
          <w:lang w:val="en-US"/>
        </w:rPr>
      </w:pPr>
      <w:r>
        <w:rPr>
          <w:rFonts w:ascii="Times New Roman" w:hAnsi="Times New Roman"/>
          <w:lang w:val="en-US"/>
        </w:rPr>
        <w:tab/>
        <w:t xml:space="preserve">A quantitative analysis of the interface geometry using the shape complementarity (SC) parameter reveals that both of the main steric zipper interfaces display a high level of surface complementarity. The inner steric zipper, formed by interactions between residues 13–17 and 20–24, has an SC value of 0.82 and </w:t>
      </w:r>
      <w:proofErr w:type="gramStart"/>
      <w:r>
        <w:rPr>
          <w:rFonts w:ascii="Times New Roman" w:hAnsi="Times New Roman"/>
          <w:lang w:val="en-US"/>
        </w:rPr>
        <w:t>is characterized</w:t>
      </w:r>
      <w:proofErr w:type="gramEnd"/>
      <w:r>
        <w:rPr>
          <w:rFonts w:ascii="Times New Roman" w:hAnsi="Times New Roman"/>
          <w:lang w:val="en-US"/>
        </w:rPr>
        <w:t xml:space="preserve"> by a regular, checkerboard-like alternation of polar side chains. Residues 13 and 15 on one strand interdigitate with residues 22 and 24 on the opposing strand (see Figure 3F, top panel). The outer steric zipper forms a more extensive interface involving residues 8–18 on one side and 46–63 on the opposite side of the </w:t>
      </w:r>
      <w:proofErr w:type="spellStart"/>
      <w:r>
        <w:rPr>
          <w:rFonts w:ascii="Times New Roman" w:hAnsi="Times New Roman"/>
          <w:lang w:val="en-US"/>
        </w:rPr>
        <w:t>protomer</w:t>
      </w:r>
      <w:proofErr w:type="spellEnd"/>
      <w:r>
        <w:rPr>
          <w:rFonts w:ascii="Times New Roman" w:hAnsi="Times New Roman"/>
          <w:lang w:val="en-US"/>
        </w:rPr>
        <w:t xml:space="preserve">. Unlike the inner zipper, this interface lacks a </w:t>
      </w:r>
      <w:r>
        <w:rPr>
          <w:rFonts w:ascii="Times New Roman" w:hAnsi="Times New Roman"/>
          <w:lang w:val="en-US"/>
        </w:rPr>
        <w:lastRenderedPageBreak/>
        <w:t xml:space="preserve">continuous checkerboard arrangement along its entire length. Nevertheless, the outer zipper's overall surface complementarity remains high (SC = 0.814), due to a combination of volumetric </w:t>
      </w:r>
      <w:proofErr w:type="spellStart"/>
      <w:r>
        <w:rPr>
          <w:rFonts w:ascii="Times New Roman" w:hAnsi="Times New Roman"/>
          <w:lang w:val="en-US"/>
        </w:rPr>
        <w:t>interdigitation</w:t>
      </w:r>
      <w:proofErr w:type="spellEnd"/>
      <w:r>
        <w:rPr>
          <w:rFonts w:ascii="Times New Roman" w:hAnsi="Times New Roman"/>
          <w:lang w:val="en-US"/>
        </w:rPr>
        <w:t xml:space="preserve"> and local groove-mediated packing motifs within the zipper interface. In single </w:t>
      </w:r>
      <w:r>
        <w:rPr>
          <w:rFonts w:ascii="Times New Roman" w:hAnsi="Times New Roman"/>
        </w:rPr>
        <w:t>β</w:t>
      </w:r>
      <w:r>
        <w:rPr>
          <w:rFonts w:ascii="Times New Roman" w:hAnsi="Times New Roman"/>
          <w:lang w:val="en-US"/>
        </w:rPr>
        <w:t xml:space="preserve">-layers, these motifs correspond to concave surface features enriched in small residues, such as glycine or serine, which lack long polar side chains. Upon multilayer stacking, these features align along the fibril axis to form continuous surface grooves along the fibril axis that can accommodate multiple side chains from the opposing strand. </w:t>
      </w:r>
      <w:proofErr w:type="gramStart"/>
      <w:r>
        <w:rPr>
          <w:rFonts w:ascii="Times New Roman" w:hAnsi="Times New Roman"/>
          <w:lang w:val="en-US"/>
        </w:rPr>
        <w:t>Within the outer steric zipper, two such groove-mediated motifs are observed: one involving residues Q10 and N12 that insert into a groove formed by residues G58 and G59 with residues Q57 and Q61 shaping the groove boundaries (SC = 0.83); and a second involving residues Q14 and Y16 that insert into a groove defined by residues S53 and G54 with residues Q50 and Q57 shaping the groove boundaries (SC = 0.85; see Fig. 3F, bottom panel).</w:t>
      </w:r>
      <w:proofErr w:type="gramEnd"/>
      <w:r>
        <w:rPr>
          <w:rFonts w:ascii="Times New Roman" w:hAnsi="Times New Roman"/>
          <w:lang w:val="en-US"/>
        </w:rPr>
        <w:t xml:space="preserve"> Together, these groove-mediated packing motifs compensate for the lack of a regular checkerboard pattern in some areas of the outer steric zipper. This enables the formation of a continuous, highly complementary zipper interface, despite the fact that the surfaces that interact with each other are predominantly polar.</w:t>
      </w:r>
    </w:p>
    <w:p w:rsidR="007F64AE" w:rsidRPr="00904E89" w:rsidRDefault="007F64AE" w:rsidP="007F64AE">
      <w:pPr>
        <w:spacing w:before="240" w:line="480" w:lineRule="auto"/>
        <w:ind w:firstLine="720"/>
        <w:rPr>
          <w:rFonts w:ascii="Times New Roman" w:hAnsi="Times New Roman"/>
          <w:lang w:val="en-US"/>
        </w:rPr>
      </w:pPr>
      <w:r>
        <w:rPr>
          <w:rFonts w:ascii="Times New Roman" w:hAnsi="Times New Roman"/>
          <w:lang w:val="en-US"/>
        </w:rPr>
        <w:t xml:space="preserve">Unlike the high SC values observed for the inner and outer steric zippers, the three-strand region spanning residues 19–44 does not form steric zipper interfaces and exhibits substantially lower surface complementarity. Similarly, the alanine-rich </w:t>
      </w:r>
      <w:r>
        <w:rPr>
          <w:rFonts w:ascii="Times New Roman" w:hAnsi="Times New Roman"/>
        </w:rPr>
        <w:t>β</w:t>
      </w:r>
      <w:r>
        <w:rPr>
          <w:rFonts w:ascii="Times New Roman" w:hAnsi="Times New Roman"/>
          <w:lang w:val="en-US"/>
        </w:rPr>
        <w:t>-strand spanning residues 34–42 exhibits only moderate SC values in the central region of the fibril (SC = 0.78 between residues 19–31 and 34–42; SC = 0.76 between residues 19–30 and 32–40). Despite the presence of alanine residues at positions A34, A37 and A39, these side chains are short and weakly penetrating, and are therefore insufficient to support highly complementary steric zipper packing.</w:t>
      </w:r>
    </w:p>
    <w:p w:rsidR="007F64AE" w:rsidRPr="00904E89" w:rsidRDefault="007F64AE" w:rsidP="007F64AE">
      <w:pPr>
        <w:spacing w:before="240" w:line="480" w:lineRule="auto"/>
        <w:ind w:firstLine="720"/>
        <w:rPr>
          <w:rFonts w:ascii="Times New Roman" w:hAnsi="Times New Roman"/>
          <w:lang w:val="en-US"/>
        </w:rPr>
      </w:pPr>
      <w:r>
        <w:rPr>
          <w:rFonts w:ascii="Times New Roman" w:hAnsi="Times New Roman"/>
          <w:lang w:val="en-US"/>
        </w:rPr>
        <w:t xml:space="preserve">Short Sup35-derived peptides </w:t>
      </w:r>
      <w:proofErr w:type="gramStart"/>
      <w:r>
        <w:rPr>
          <w:rFonts w:ascii="Times New Roman" w:hAnsi="Times New Roman"/>
          <w:lang w:val="en-US"/>
        </w:rPr>
        <w:t>are known</w:t>
      </w:r>
      <w:proofErr w:type="gramEnd"/>
      <w:r>
        <w:rPr>
          <w:rFonts w:ascii="Times New Roman" w:hAnsi="Times New Roman"/>
          <w:lang w:val="en-US"/>
        </w:rPr>
        <w:t xml:space="preserve"> to form fibrils and microcrystals, and their structures have been extensively characterized using X-ray crystallography. One well-studied example is the GNNQQNY peptide (residues 7–13 of Sup35), which forms a dry steric zipper interface with high shape complementarity (SC = 0.86) in peptide microcrystal structures, but without a regular checkerboard arrangement of side chains. In these crystals, the dry steric zipper forms only on one side of the </w:t>
      </w:r>
      <w:proofErr w:type="gramStart"/>
      <w:r>
        <w:rPr>
          <w:rFonts w:ascii="Times New Roman" w:hAnsi="Times New Roman"/>
        </w:rPr>
        <w:t>β</w:t>
      </w:r>
      <w:r>
        <w:rPr>
          <w:rFonts w:ascii="Times New Roman" w:hAnsi="Times New Roman"/>
          <w:lang w:val="en-US"/>
        </w:rPr>
        <w:t>-strand;</w:t>
      </w:r>
      <w:proofErr w:type="gramEnd"/>
      <w:r>
        <w:rPr>
          <w:rFonts w:ascii="Times New Roman" w:hAnsi="Times New Roman"/>
          <w:lang w:val="en-US"/>
        </w:rPr>
        <w:t xml:space="preserve"> the other side engages in hydrated, non-zipper contact with neighboring peptides. In the [PSI⁺]-S7 fibril, a related asymmetric organization </w:t>
      </w:r>
      <w:proofErr w:type="gramStart"/>
      <w:r>
        <w:rPr>
          <w:rFonts w:ascii="Times New Roman" w:hAnsi="Times New Roman"/>
          <w:lang w:val="en-US"/>
        </w:rPr>
        <w:t>is observed</w:t>
      </w:r>
      <w:proofErr w:type="gramEnd"/>
      <w:r>
        <w:rPr>
          <w:rFonts w:ascii="Times New Roman" w:hAnsi="Times New Roman"/>
          <w:lang w:val="en-US"/>
        </w:rPr>
        <w:t xml:space="preserve">: residues 7–12 form a dry steric zipper interface only on one </w:t>
      </w:r>
      <w:r>
        <w:rPr>
          <w:rFonts w:ascii="Times New Roman" w:hAnsi="Times New Roman"/>
          <w:lang w:val="en-US"/>
        </w:rPr>
        <w:lastRenderedPageBreak/>
        <w:t>side, contacting residues 57–63; no equivalent hydrated interface is formed on the opposite side. In contrast, the adjacent segment spanning residues 13–17 participates in two dry steric zipper interfaces simultaneously, forming part of both the inner and outer zippers, and occupying a central position within the fibril core.</w:t>
      </w:r>
    </w:p>
    <w:p w:rsidR="007F64AE" w:rsidRPr="00904E89" w:rsidRDefault="007F64AE" w:rsidP="007F64AE">
      <w:pPr>
        <w:spacing w:before="240" w:line="480" w:lineRule="auto"/>
        <w:ind w:firstLine="720"/>
        <w:rPr>
          <w:rFonts w:ascii="Times New Roman" w:hAnsi="Times New Roman"/>
          <w:lang w:val="en-US"/>
        </w:rPr>
      </w:pPr>
      <w:r>
        <w:rPr>
          <w:rFonts w:ascii="Times New Roman" w:eastAsia="Arial Unicode MS" w:hAnsi="Times New Roman" w:cs="Arial Unicode MS"/>
          <w:lang w:val="en-US"/>
        </w:rPr>
        <w:t xml:space="preserve">In addition to the general stabilization of the amyloid core, which </w:t>
      </w:r>
      <w:proofErr w:type="gramStart"/>
      <w:r>
        <w:rPr>
          <w:rFonts w:ascii="Times New Roman" w:eastAsia="Arial Unicode MS" w:hAnsi="Times New Roman" w:cs="Arial Unicode MS"/>
          <w:lang w:val="en-US"/>
        </w:rPr>
        <w:t>is achieved</w:t>
      </w:r>
      <w:proofErr w:type="gramEnd"/>
      <w:r>
        <w:rPr>
          <w:rFonts w:ascii="Times New Roman" w:eastAsia="Arial Unicode MS" w:hAnsi="Times New Roman" w:cs="Arial Unicode MS"/>
          <w:lang w:val="en-US"/>
        </w:rPr>
        <w:t xml:space="preserve"> through the tight geometric matching of opposing surfaces, some auxiliary polar interactions further stabilize these interfaces at turns and kinks. Notably, a slipped </w:t>
      </w:r>
      <w:r>
        <w:rPr>
          <w:rFonts w:ascii="Times New Roman" w:eastAsia="Arial Unicode MS" w:hAnsi="Times New Roman" w:cs="Arial Unicode MS"/>
        </w:rPr>
        <w:t>π</w:t>
      </w:r>
      <w:r>
        <w:rPr>
          <w:rFonts w:ascii="Times New Roman" w:eastAsia="Arial Unicode MS" w:hAnsi="Times New Roman" w:cs="Arial Unicode MS"/>
          <w:lang w:val="en-US"/>
        </w:rPr>
        <w:t>-</w:t>
      </w:r>
      <w:r>
        <w:rPr>
          <w:rFonts w:ascii="Times New Roman" w:eastAsia="Arial Unicode MS" w:hAnsi="Times New Roman" w:cs="Arial Unicode MS"/>
        </w:rPr>
        <w:t>π</w:t>
      </w:r>
      <w:r>
        <w:rPr>
          <w:rFonts w:ascii="Times New Roman" w:eastAsia="Arial Unicode MS" w:hAnsi="Times New Roman" w:cs="Arial Unicode MS"/>
          <w:lang w:val="en-US"/>
        </w:rPr>
        <w:t xml:space="preserve"> interaction between Y29 and Y35, characterized by an </w:t>
      </w:r>
      <w:proofErr w:type="spellStart"/>
      <w:r>
        <w:rPr>
          <w:rFonts w:ascii="Times New Roman" w:eastAsia="Arial Unicode MS" w:hAnsi="Times New Roman" w:cs="Arial Unicode MS"/>
          <w:lang w:val="en-US"/>
        </w:rPr>
        <w:t>interplanar</w:t>
      </w:r>
      <w:proofErr w:type="spellEnd"/>
      <w:r>
        <w:rPr>
          <w:rFonts w:ascii="Times New Roman" w:eastAsia="Arial Unicode MS" w:hAnsi="Times New Roman" w:cs="Arial Unicode MS"/>
          <w:lang w:val="en-US"/>
        </w:rPr>
        <w:t xml:space="preserve"> separation of ~3.1 Å and a pronounced in-plane offset of ~4.4 Å, provides only modest </w:t>
      </w:r>
      <w:r>
        <w:rPr>
          <w:rFonts w:ascii="Times New Roman" w:eastAsia="Arial Unicode MS" w:hAnsi="Times New Roman" w:cs="Arial Unicode MS"/>
        </w:rPr>
        <w:t>π</w:t>
      </w:r>
      <w:r>
        <w:rPr>
          <w:rFonts w:ascii="Times New Roman" w:eastAsia="Arial Unicode MS" w:hAnsi="Times New Roman" w:cs="Arial Unicode MS"/>
          <w:lang w:val="en-US"/>
        </w:rPr>
        <w:t xml:space="preserve">-overlap in a single </w:t>
      </w:r>
      <w:proofErr w:type="spellStart"/>
      <w:r>
        <w:rPr>
          <w:rFonts w:ascii="Times New Roman" w:eastAsia="Arial Unicode MS" w:hAnsi="Times New Roman" w:cs="Arial Unicode MS"/>
          <w:lang w:val="en-US"/>
        </w:rPr>
        <w:t>protomer</w:t>
      </w:r>
      <w:proofErr w:type="spellEnd"/>
      <w:r>
        <w:rPr>
          <w:rFonts w:ascii="Times New Roman" w:eastAsia="Arial Unicode MS" w:hAnsi="Times New Roman" w:cs="Arial Unicode MS"/>
          <w:lang w:val="en-US"/>
        </w:rPr>
        <w:t xml:space="preserve">, but becomes cumulatively stabilizing when replicated across successive layers of the fibril. This supports the hairpin turn and reinforces the central region of Core1A. By contrast, the outer zipper exhibits fewer intra-layer side-chain-to-side-chain contacts, but contains a clear Y45 ↔ Q47 hydrogen bond that anchors the </w:t>
      </w:r>
      <w:r>
        <w:rPr>
          <w:rFonts w:ascii="Times New Roman" w:eastAsia="Arial Unicode MS" w:hAnsi="Times New Roman" w:cs="Arial Unicode MS"/>
        </w:rPr>
        <w:t>β</w:t>
      </w:r>
      <w:r>
        <w:rPr>
          <w:rFonts w:ascii="Times New Roman" w:eastAsia="Arial Unicode MS" w:hAnsi="Times New Roman" w:cs="Arial Unicode MS"/>
          <w:lang w:val="en-US"/>
        </w:rPr>
        <w:t xml:space="preserve">-strand of Core1B against the rest of the fold. Along with the dense volumetric </w:t>
      </w:r>
      <w:proofErr w:type="spellStart"/>
      <w:r>
        <w:rPr>
          <w:rFonts w:ascii="Times New Roman" w:eastAsia="Arial Unicode MS" w:hAnsi="Times New Roman" w:cs="Arial Unicode MS"/>
          <w:lang w:val="en-US"/>
        </w:rPr>
        <w:t>interdigitation</w:t>
      </w:r>
      <w:proofErr w:type="spellEnd"/>
      <w:r>
        <w:rPr>
          <w:rFonts w:ascii="Times New Roman" w:eastAsia="Arial Unicode MS" w:hAnsi="Times New Roman" w:cs="Arial Unicode MS"/>
          <w:lang w:val="en-US"/>
        </w:rPr>
        <w:t xml:space="preserve"> across the staggered interfaces, these local interactions form a continuous, intramolecular stabilizing network within a </w:t>
      </w:r>
      <w:proofErr w:type="spellStart"/>
      <w:r>
        <w:rPr>
          <w:rFonts w:ascii="Times New Roman" w:eastAsia="Arial Unicode MS" w:hAnsi="Times New Roman" w:cs="Arial Unicode MS"/>
          <w:lang w:val="en-US"/>
        </w:rPr>
        <w:t>protomer</w:t>
      </w:r>
      <w:proofErr w:type="spellEnd"/>
      <w:r>
        <w:rPr>
          <w:rFonts w:ascii="Times New Roman" w:eastAsia="Arial Unicode MS" w:hAnsi="Times New Roman" w:cs="Arial Unicode MS"/>
          <w:lang w:val="en-US"/>
        </w:rPr>
        <w:t>, thus consolidating the fold in a plane perpendicular to fibril elongation.</w:t>
      </w:r>
    </w:p>
    <w:p w:rsidR="007F64AE" w:rsidRPr="00904E89" w:rsidRDefault="007F64AE" w:rsidP="007F64AE">
      <w:pPr>
        <w:spacing w:before="240" w:line="480" w:lineRule="auto"/>
        <w:rPr>
          <w:rFonts w:ascii="Times New Roman" w:hAnsi="Times New Roman"/>
          <w:lang w:val="en-US"/>
        </w:rPr>
      </w:pPr>
      <w:r>
        <w:rPr>
          <w:rFonts w:ascii="Times New Roman" w:hAnsi="Times New Roman"/>
          <w:i/>
          <w:iCs/>
          <w:lang w:val="en-US"/>
        </w:rPr>
        <w:t>“Vertical” stabilization interactions (between stacked layers)</w:t>
      </w:r>
    </w:p>
    <w:p w:rsidR="007F64AE" w:rsidRPr="00904E89" w:rsidRDefault="007F64AE" w:rsidP="007F64AE">
      <w:pPr>
        <w:spacing w:before="240" w:line="480" w:lineRule="auto"/>
        <w:rPr>
          <w:rFonts w:ascii="Times New Roman" w:hAnsi="Times New Roman"/>
          <w:lang w:val="en-US"/>
        </w:rPr>
      </w:pPr>
      <w:r>
        <w:rPr>
          <w:rFonts w:ascii="Times New Roman" w:eastAsia="Arial Unicode MS" w:hAnsi="Times New Roman" w:cs="Arial Unicode MS"/>
          <w:lang w:val="en-US"/>
        </w:rPr>
        <w:tab/>
        <w:t>Alongside the backbone cross-</w:t>
      </w:r>
      <w:r>
        <w:rPr>
          <w:rFonts w:ascii="Times New Roman" w:eastAsia="Arial Unicode MS" w:hAnsi="Times New Roman" w:cs="Arial Unicode MS"/>
        </w:rPr>
        <w:t>β</w:t>
      </w:r>
      <w:r>
        <w:rPr>
          <w:rFonts w:ascii="Times New Roman" w:eastAsia="Arial Unicode MS" w:hAnsi="Times New Roman" w:cs="Arial Unicode MS"/>
          <w:lang w:val="en-US"/>
        </w:rPr>
        <w:t xml:space="preserve"> hydrogen bond ladder, two additional inter-layer elements reinforce axial stabilization. Firstly, Q/N polar ladders, formed by aligned side-chain donors and acceptors (ND2/NE2 ↔ OD1/OE1), run parallel to the axis. Examples include Q22, Q24 and Q33; N21 and N48; and Q56 and Q57. These ladders strengthen the registry, especially within residues 6–29 and 46–60. Secondly, side-chain to backbone hydrogen bonds across layers provide additional stabilization at the inner interface, including Q22 → </w:t>
      </w:r>
      <w:proofErr w:type="gramStart"/>
      <w:r>
        <w:rPr>
          <w:rFonts w:ascii="Times New Roman" w:eastAsia="Arial Unicode MS" w:hAnsi="Times New Roman" w:cs="Arial Unicode MS"/>
          <w:lang w:val="en-US"/>
        </w:rPr>
        <w:t>O(</w:t>
      </w:r>
      <w:proofErr w:type="gramEnd"/>
      <w:r>
        <w:rPr>
          <w:rFonts w:ascii="Times New Roman" w:eastAsia="Arial Unicode MS" w:hAnsi="Times New Roman" w:cs="Arial Unicode MS"/>
          <w:lang w:val="en-US"/>
        </w:rPr>
        <w:t xml:space="preserve">Y16) and Q24 → O(Q14). Thirdly, aromatic stacking provides a further major source of axial reinforcement: twelve </w:t>
      </w:r>
      <w:proofErr w:type="spellStart"/>
      <w:r>
        <w:rPr>
          <w:rFonts w:ascii="Times New Roman" w:eastAsia="Arial Unicode MS" w:hAnsi="Times New Roman" w:cs="Arial Unicode MS"/>
          <w:lang w:val="en-US"/>
        </w:rPr>
        <w:t>tyrosines</w:t>
      </w:r>
      <w:proofErr w:type="spellEnd"/>
      <w:r>
        <w:rPr>
          <w:rFonts w:ascii="Times New Roman" w:eastAsia="Arial Unicode MS" w:hAnsi="Times New Roman" w:cs="Arial Unicode MS"/>
          <w:lang w:val="en-US"/>
        </w:rPr>
        <w:t xml:space="preserve"> (Y13, Y16, Y29, Y32, Y35, Y45, Y46, Y49, Y52, Y55, Y60 and Y63) form highly regular, parallel, displaced </w:t>
      </w:r>
      <w:r>
        <w:rPr>
          <w:rFonts w:ascii="Times New Roman" w:eastAsia="Arial Unicode MS" w:hAnsi="Times New Roman" w:cs="Arial Unicode MS"/>
        </w:rPr>
        <w:t>π</w:t>
      </w:r>
      <w:r>
        <w:rPr>
          <w:rFonts w:ascii="Times New Roman" w:eastAsia="Arial Unicode MS" w:hAnsi="Times New Roman" w:cs="Arial Unicode MS"/>
          <w:lang w:val="en-US"/>
        </w:rPr>
        <w:t>-</w:t>
      </w:r>
      <w:r>
        <w:rPr>
          <w:rFonts w:ascii="Times New Roman" w:eastAsia="Arial Unicode MS" w:hAnsi="Times New Roman" w:cs="Arial Unicode MS"/>
        </w:rPr>
        <w:t>π</w:t>
      </w:r>
      <w:r>
        <w:rPr>
          <w:rFonts w:ascii="Times New Roman" w:eastAsia="Arial Unicode MS" w:hAnsi="Times New Roman" w:cs="Arial Unicode MS"/>
          <w:lang w:val="en-US"/>
        </w:rPr>
        <w:t xml:space="preserve"> columns that extend across layers. These stacks have centroid-to-centroid distances of 4.8–4.9 </w:t>
      </w:r>
      <w:proofErr w:type="gramStart"/>
      <w:r>
        <w:rPr>
          <w:rFonts w:ascii="Times New Roman" w:eastAsia="Arial Unicode MS" w:hAnsi="Times New Roman" w:cs="Arial Unicode MS"/>
          <w:lang w:val="en-US"/>
        </w:rPr>
        <w:t>Å,</w:t>
      </w:r>
      <w:proofErr w:type="gramEnd"/>
      <w:r>
        <w:rPr>
          <w:rFonts w:ascii="Times New Roman" w:eastAsia="Arial Unicode MS" w:hAnsi="Times New Roman" w:cs="Arial Unicode MS"/>
          <w:lang w:val="en-US"/>
        </w:rPr>
        <w:t xml:space="preserve"> </w:t>
      </w:r>
      <w:proofErr w:type="spellStart"/>
      <w:r>
        <w:rPr>
          <w:rFonts w:ascii="Times New Roman" w:eastAsia="Arial Unicode MS" w:hAnsi="Times New Roman" w:cs="Arial Unicode MS"/>
          <w:lang w:val="en-US"/>
        </w:rPr>
        <w:t>interplanar</w:t>
      </w:r>
      <w:proofErr w:type="spellEnd"/>
      <w:r>
        <w:rPr>
          <w:rFonts w:ascii="Times New Roman" w:eastAsia="Arial Unicode MS" w:hAnsi="Times New Roman" w:cs="Arial Unicode MS"/>
          <w:lang w:val="en-US"/>
        </w:rPr>
        <w:t xml:space="preserve"> separations of 3.0–3.6 Å and in-plane slip values of 3.2–3.8 Å. The ring </w:t>
      </w:r>
      <w:proofErr w:type="spellStart"/>
      <w:r>
        <w:rPr>
          <w:rFonts w:ascii="Times New Roman" w:eastAsia="Arial Unicode MS" w:hAnsi="Times New Roman" w:cs="Arial Unicode MS"/>
          <w:lang w:val="en-US"/>
        </w:rPr>
        <w:t>normals</w:t>
      </w:r>
      <w:proofErr w:type="spellEnd"/>
      <w:r>
        <w:rPr>
          <w:rFonts w:ascii="Times New Roman" w:eastAsia="Arial Unicode MS" w:hAnsi="Times New Roman" w:cs="Arial Unicode MS"/>
          <w:lang w:val="en-US"/>
        </w:rPr>
        <w:t xml:space="preserve"> </w:t>
      </w:r>
      <w:proofErr w:type="gramStart"/>
      <w:r>
        <w:rPr>
          <w:rFonts w:ascii="Times New Roman" w:eastAsia="Arial Unicode MS" w:hAnsi="Times New Roman" w:cs="Arial Unicode MS"/>
          <w:lang w:val="en-US"/>
        </w:rPr>
        <w:t>are tilted</w:t>
      </w:r>
      <w:proofErr w:type="gramEnd"/>
      <w:r>
        <w:rPr>
          <w:rFonts w:ascii="Times New Roman" w:eastAsia="Arial Unicode MS" w:hAnsi="Times New Roman" w:cs="Arial Unicode MS"/>
          <w:lang w:val="en-US"/>
        </w:rPr>
        <w:t xml:space="preserve"> by approximately 32–52° (typically near 45°) relative to the fibril axis, which </w:t>
      </w:r>
      <w:proofErr w:type="spellStart"/>
      <w:r>
        <w:rPr>
          <w:rFonts w:ascii="Times New Roman" w:eastAsia="Arial Unicode MS" w:hAnsi="Times New Roman" w:cs="Arial Unicode MS"/>
          <w:lang w:val="en-US"/>
        </w:rPr>
        <w:t>optimises</w:t>
      </w:r>
      <w:proofErr w:type="spellEnd"/>
      <w:r>
        <w:rPr>
          <w:rFonts w:ascii="Times New Roman" w:eastAsia="Arial Unicode MS" w:hAnsi="Times New Roman" w:cs="Arial Unicode MS"/>
          <w:lang w:val="en-US"/>
        </w:rPr>
        <w:t xml:space="preserve"> </w:t>
      </w:r>
      <w:r>
        <w:rPr>
          <w:rFonts w:ascii="Times New Roman" w:eastAsia="Arial Unicode MS" w:hAnsi="Times New Roman" w:cs="Arial Unicode MS"/>
        </w:rPr>
        <w:t>π</w:t>
      </w:r>
      <w:r>
        <w:rPr>
          <w:rFonts w:ascii="Times New Roman" w:eastAsia="Arial Unicode MS" w:hAnsi="Times New Roman" w:cs="Arial Unicode MS"/>
          <w:lang w:val="en-US"/>
        </w:rPr>
        <w:t xml:space="preserve">-overlap under lateral displacement. </w:t>
      </w:r>
    </w:p>
    <w:p w:rsidR="007F64AE" w:rsidRPr="00904E89" w:rsidRDefault="007F64AE" w:rsidP="007F64AE">
      <w:pPr>
        <w:spacing w:before="240" w:line="480" w:lineRule="auto"/>
        <w:rPr>
          <w:rFonts w:ascii="Times New Roman" w:hAnsi="Times New Roman"/>
          <w:lang w:val="en-US"/>
        </w:rPr>
      </w:pPr>
      <w:r>
        <w:rPr>
          <w:rFonts w:ascii="Times New Roman" w:hAnsi="Times New Roman"/>
          <w:i/>
          <w:iCs/>
          <w:lang w:val="en-US"/>
        </w:rPr>
        <w:lastRenderedPageBreak/>
        <w:t>Peripheral surface features and adsorption-prone patches</w:t>
      </w:r>
    </w:p>
    <w:p w:rsidR="007F64AE" w:rsidRPr="00904E89" w:rsidRDefault="007F64AE" w:rsidP="007F64AE">
      <w:pPr>
        <w:spacing w:before="240" w:line="480" w:lineRule="auto"/>
        <w:rPr>
          <w:rFonts w:ascii="Times New Roman" w:hAnsi="Times New Roman"/>
          <w:lang w:val="en-US"/>
        </w:rPr>
      </w:pPr>
      <w:r>
        <w:rPr>
          <w:rFonts w:ascii="Times New Roman" w:hAnsi="Times New Roman"/>
          <w:lang w:val="en-US"/>
        </w:rPr>
        <w:tab/>
        <w:t xml:space="preserve">Beyond the disordered N- and C-terminal segments outside the ordered core, the map reveals additional diffuse densities adjacent to surface regions spanning residues 30–32 and 42–45. These regions do not exhibit the characteristic </w:t>
      </w:r>
      <w:proofErr w:type="gramStart"/>
      <w:r>
        <w:rPr>
          <w:rFonts w:ascii="Times New Roman" w:hAnsi="Times New Roman"/>
          <w:lang w:val="en-US"/>
        </w:rPr>
        <w:t>zig-zag</w:t>
      </w:r>
      <w:proofErr w:type="gramEnd"/>
      <w:r>
        <w:rPr>
          <w:rFonts w:ascii="Times New Roman" w:hAnsi="Times New Roman"/>
          <w:lang w:val="en-US"/>
        </w:rPr>
        <w:t xml:space="preserve"> </w:t>
      </w:r>
      <w:r>
        <w:rPr>
          <w:rFonts w:ascii="Times New Roman" w:hAnsi="Times New Roman"/>
        </w:rPr>
        <w:t>β</w:t>
      </w:r>
      <w:r>
        <w:rPr>
          <w:rFonts w:ascii="Times New Roman" w:hAnsi="Times New Roman"/>
          <w:lang w:val="en-US"/>
        </w:rPr>
        <w:t xml:space="preserve">-strand arrangement of the amyloid backbone, nor do they form additional ordered substructures. Instead, they present relatively planar surfaces shaped by </w:t>
      </w:r>
      <w:proofErr w:type="spellStart"/>
      <w:r>
        <w:rPr>
          <w:rFonts w:ascii="Times New Roman" w:hAnsi="Times New Roman"/>
          <w:lang w:val="en-US"/>
        </w:rPr>
        <w:t>glycines</w:t>
      </w:r>
      <w:proofErr w:type="spellEnd"/>
      <w:r>
        <w:rPr>
          <w:rFonts w:ascii="Times New Roman" w:hAnsi="Times New Roman"/>
          <w:lang w:val="en-US"/>
        </w:rPr>
        <w:t xml:space="preserve">, prolines and exposed </w:t>
      </w:r>
      <w:proofErr w:type="spellStart"/>
      <w:r>
        <w:rPr>
          <w:rFonts w:ascii="Times New Roman" w:hAnsi="Times New Roman"/>
          <w:lang w:val="en-US"/>
        </w:rPr>
        <w:t>tyrosines</w:t>
      </w:r>
      <w:proofErr w:type="spellEnd"/>
      <w:r>
        <w:rPr>
          <w:rFonts w:ascii="Times New Roman" w:hAnsi="Times New Roman"/>
          <w:lang w:val="en-US"/>
        </w:rPr>
        <w:t>. In 2D class averages, the associated lateral density follows the helical twist of the filament and extends up to ~</w:t>
      </w:r>
      <w:proofErr w:type="gramStart"/>
      <w:r>
        <w:rPr>
          <w:rFonts w:ascii="Times New Roman" w:hAnsi="Times New Roman"/>
          <w:lang w:val="en-US"/>
        </w:rPr>
        <w:t>5</w:t>
      </w:r>
      <w:proofErr w:type="gramEnd"/>
      <w:r>
        <w:rPr>
          <w:rFonts w:ascii="Times New Roman" w:hAnsi="Times New Roman"/>
          <w:lang w:val="en-US"/>
        </w:rPr>
        <w:t xml:space="preserve"> nm from the axis. This is consistent with the idea that this material remains associated with the </w:t>
      </w:r>
      <w:proofErr w:type="spellStart"/>
      <w:r>
        <w:rPr>
          <w:rFonts w:ascii="Times New Roman" w:hAnsi="Times New Roman"/>
          <w:lang w:val="en-US"/>
        </w:rPr>
        <w:t>protofilament</w:t>
      </w:r>
      <w:proofErr w:type="spellEnd"/>
      <w:r>
        <w:rPr>
          <w:rFonts w:ascii="Times New Roman" w:hAnsi="Times New Roman"/>
          <w:lang w:val="en-US"/>
        </w:rPr>
        <w:t xml:space="preserve"> — for example, the fuzzy-coat remnants or transiently bound molecules — but is not incorporated into the cross-</w:t>
      </w:r>
      <w:r>
        <w:rPr>
          <w:rFonts w:ascii="Times New Roman" w:hAnsi="Times New Roman"/>
        </w:rPr>
        <w:t>β</w:t>
      </w:r>
      <w:r>
        <w:rPr>
          <w:rFonts w:ascii="Times New Roman" w:hAnsi="Times New Roman"/>
          <w:lang w:val="en-US"/>
        </w:rPr>
        <w:t xml:space="preserve"> architecture. The planar topography and polar/aromatic composition of these regions provide a structural rationale for their propensity to interact with solvent or accessory molecules.</w:t>
      </w:r>
    </w:p>
    <w:p w:rsidR="007F64AE" w:rsidRDefault="007F64AE" w:rsidP="007F64AE">
      <w:pPr>
        <w:spacing w:before="240" w:line="480" w:lineRule="auto"/>
        <w:rPr>
          <w:rFonts w:ascii="Times New Roman" w:hAnsi="Times New Roman"/>
          <w:lang w:val="en-US"/>
        </w:rPr>
      </w:pPr>
    </w:p>
    <w:p w:rsidR="007F64AE" w:rsidRPr="00904E89" w:rsidRDefault="007F64AE" w:rsidP="007F64AE">
      <w:pPr>
        <w:spacing w:before="240" w:line="480" w:lineRule="auto"/>
        <w:rPr>
          <w:lang w:val="en-US"/>
        </w:rPr>
      </w:pPr>
      <w:r>
        <w:rPr>
          <w:b/>
          <w:bCs/>
          <w:lang w:val="en-US"/>
        </w:rPr>
        <w:t>Supplementary discussion</w:t>
      </w:r>
    </w:p>
    <w:p w:rsidR="007F64AE" w:rsidRPr="00904E89" w:rsidRDefault="007F64AE" w:rsidP="007F64AE">
      <w:pPr>
        <w:spacing w:before="240" w:line="480" w:lineRule="auto"/>
        <w:rPr>
          <w:lang w:val="en-US"/>
        </w:rPr>
      </w:pPr>
      <w:r>
        <w:rPr>
          <w:b/>
          <w:bCs/>
          <w:lang w:val="en-US"/>
        </w:rPr>
        <w:t>[</w:t>
      </w:r>
      <w:r>
        <w:rPr>
          <w:b/>
          <w:bCs/>
          <w:i/>
          <w:iCs/>
          <w:lang w:val="en-US"/>
        </w:rPr>
        <w:t>PSI+</w:t>
      </w:r>
      <w:r>
        <w:rPr>
          <w:b/>
          <w:bCs/>
          <w:lang w:val="en-US"/>
        </w:rPr>
        <w:t>]-S7 prion structure – general notes</w:t>
      </w:r>
    </w:p>
    <w:p w:rsidR="007F64AE" w:rsidRPr="007F64AE" w:rsidRDefault="007F64AE" w:rsidP="007F64AE">
      <w:pPr>
        <w:spacing w:before="240" w:line="480" w:lineRule="auto"/>
        <w:ind w:firstLine="20"/>
        <w:rPr>
          <w:rFonts w:ascii="Times New Roman" w:hAnsi="Times New Roman"/>
          <w:lang w:val="en-US"/>
        </w:rPr>
      </w:pPr>
      <w:r>
        <w:rPr>
          <w:rFonts w:ascii="Times New Roman" w:hAnsi="Times New Roman"/>
          <w:lang w:val="en-US"/>
        </w:rPr>
        <w:tab/>
        <w:t>The [</w:t>
      </w:r>
      <w:r>
        <w:rPr>
          <w:rFonts w:ascii="Times New Roman" w:hAnsi="Times New Roman"/>
          <w:i/>
          <w:iCs/>
          <w:lang w:val="en-US"/>
        </w:rPr>
        <w:t>PSI+</w:t>
      </w:r>
      <w:r>
        <w:rPr>
          <w:rFonts w:ascii="Times New Roman" w:hAnsi="Times New Roman"/>
          <w:lang w:val="en-US"/>
        </w:rPr>
        <w:t>]-S7 prion structure illustrates how a Q/N-rich cross-</w:t>
      </w:r>
      <w:r>
        <w:rPr>
          <w:rFonts w:ascii="Times New Roman" w:hAnsi="Times New Roman"/>
        </w:rPr>
        <w:t>β</w:t>
      </w:r>
      <w:r>
        <w:rPr>
          <w:rFonts w:ascii="Times New Roman" w:hAnsi="Times New Roman"/>
          <w:lang w:val="en-US"/>
        </w:rPr>
        <w:t xml:space="preserve"> fold can achieve high stability without a hydrophobic core. Rigidity and protease resistance arise from both van der Waals interactions in the steric zippers, and a cooperative polar-aromatic framework, where the canonical in-register cross-</w:t>
      </w:r>
      <w:r>
        <w:rPr>
          <w:rFonts w:ascii="Times New Roman" w:hAnsi="Times New Roman"/>
        </w:rPr>
        <w:t>β</w:t>
      </w:r>
      <w:r>
        <w:rPr>
          <w:rFonts w:ascii="Times New Roman" w:hAnsi="Times New Roman"/>
          <w:lang w:val="en-US"/>
        </w:rPr>
        <w:t xml:space="preserve"> backbone network </w:t>
      </w:r>
      <w:proofErr w:type="gramStart"/>
      <w:r>
        <w:rPr>
          <w:rFonts w:ascii="Times New Roman" w:hAnsi="Times New Roman"/>
          <w:lang w:val="en-US"/>
        </w:rPr>
        <w:t>is reinforced by extensive Q/N ladders and by uniformly structured</w:t>
      </w:r>
      <w:proofErr w:type="gramEnd"/>
      <w:r>
        <w:rPr>
          <w:rFonts w:ascii="Times New Roman" w:hAnsi="Times New Roman"/>
          <w:lang w:val="en-US"/>
        </w:rPr>
        <w:t xml:space="preserve">, parallel-displaced </w:t>
      </w:r>
      <w:r>
        <w:rPr>
          <w:rFonts w:ascii="Times New Roman" w:hAnsi="Times New Roman"/>
        </w:rPr>
        <w:t>π</w:t>
      </w:r>
      <w:r>
        <w:rPr>
          <w:rFonts w:ascii="Times New Roman" w:hAnsi="Times New Roman"/>
          <w:lang w:val="en-US"/>
        </w:rPr>
        <w:t>-</w:t>
      </w:r>
      <w:r>
        <w:rPr>
          <w:rFonts w:ascii="Times New Roman" w:hAnsi="Times New Roman"/>
        </w:rPr>
        <w:t>π</w:t>
      </w:r>
      <w:r>
        <w:rPr>
          <w:rFonts w:ascii="Times New Roman" w:hAnsi="Times New Roman"/>
          <w:lang w:val="en-US"/>
        </w:rPr>
        <w:t xml:space="preserve"> columns of </w:t>
      </w:r>
      <w:proofErr w:type="spellStart"/>
      <w:r>
        <w:rPr>
          <w:rFonts w:ascii="Times New Roman" w:hAnsi="Times New Roman"/>
          <w:lang w:val="en-US"/>
        </w:rPr>
        <w:t>tyrosines</w:t>
      </w:r>
      <w:proofErr w:type="spellEnd"/>
      <w:r>
        <w:rPr>
          <w:rFonts w:ascii="Times New Roman" w:hAnsi="Times New Roman"/>
          <w:lang w:val="en-US"/>
        </w:rPr>
        <w:t>. Arrays of these individually modest interactions, repeated along the fibril axis, generate a stable scaffold that maintains a compact amyloid key-like topology. From this perspective, the structure of Sup35 prion resembles the structures of other amyloids enriched in polar residues, like the functional Orb2 amyloid</w:t>
      </w:r>
      <w:r>
        <w:fldChar w:fldCharType="begin"/>
      </w:r>
      <w:r>
        <w:rPr>
          <w:rFonts w:ascii="Times New Roman" w:hAnsi="Times New Roman"/>
          <w:lang w:val="en-US"/>
        </w:rPr>
        <w:instrText>ADDIN ZOTERO_ITEM CSL_CITATION {"citationID":"0JsOTj8q","properties":{"formattedCitation":"\\super 5\\nosupersub{}","plainCitation":"5","noteIndex":0},"citationItems":[{"id":1031,"uris":["http://zotero.org/users/local/BXGjheSY/items/BVFRYC2Y"],"itemData":{"id":1031,"type":"article-journal","abstract":"How amyloid can be a substrate of memory\n            \n              Formation of memories requires changes in the molecular composition of the synapse. How these changes occur and what maintains this altered synaptic composition so that memory can persist are unknown. Hervas\n              et al.\n              report the structure of a synaptic translation regulator called Orb2 isolated from the brains of adult fruit flies that is important for the maintenance and recall of memory. Orb2 forms an amyloid and changes its activity from a translation repressor to an activator. The amyloid core is composed of polar hydrophilic residues, as opposed to the hydrophobic ones found in nonfunctional or pathological amyloids. The structure provides insights into how amyloids could be a stable yet malleable substrate of memory.\n            \n            \n              Science\n              , this issue p.\n              1230\n            \n          , \n            A synaptic protein synthesis regulator that is important for memory forms an amyloid that activates protein synthesis.\n          , \n            \n              How long-lived memories withstand molecular turnover is a fundamental question. Aggregates of a prion-like RNA-binding protein, cytoplasmic polyadenylation element–binding (CPEB) protein, is a putative substrate of long-lasting memories. We isolated aggregated\n              Drosophila\n              CPEB, Orb2, from adult heads and determined its activity and atomic structure, at 2.6-angstrom resolution, using cryo–electron microscopy. Orb2 formed ~75-nanometer-long threefold-symmetric amyloid filaments. Filament formation transformed Orb2 from a translation repressor to an activator and “seed” for further translationally active aggregation. The 31–amino acid protofilament core adopted a cross-β unit with a single hydrophilic hairpin stabilized through interdigitated glutamine packing. Unlike the hydrophobic core of pathogenic amyloids, the hydrophilic core of Orb2 filaments suggests how some neuronal amyloids could be a stable yet regulatable substrate of memory.","container-title":"Science","DOI":"10.1126/science.aba3526","ISSN":"0036-8075, 1095-9203","issue":"6483","journalAbbreviation":"Science","language":"en","page":"1230-1234","source":"DOI.org (Crossref)","title":"Cryo-EM structure of a neuronal functional amyloid implicated in memory persistence in &lt;i&gt;Drosophila&lt;/i&gt;","volume":"367","author":[{"family":"Hervas","given":"Ruben"},{"family":"Rau","given":"Michael J."},{"family":"Park","given":"Younshim"},{"family":"Zhang","given":"Wenjuan"},{"family":"Murzin","given":"Alexey G."},{"family":"Fitzpatrick","given":"James A. J."},{"family":"Scheres","given":"Sjors H. W."},{"family":"Si","given":"Kausik"}],"issued":{"date-parts":[["2020",3,13]]}}}],"schema":"https://github.com/citation-style-language/schema/raw/master/csl-citation.json"}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rPr>
        <w:t>5</w:t>
      </w:r>
      <w:r>
        <w:rPr>
          <w:rFonts w:ascii="Times New Roman" w:hAnsi="Times New Roman"/>
          <w:lang w:val="en-US"/>
        </w:rPr>
        <w:fldChar w:fldCharType="end"/>
      </w:r>
      <w:r>
        <w:rPr>
          <w:rFonts w:ascii="Times New Roman" w:hAnsi="Times New Roman"/>
          <w:lang w:val="en-US"/>
        </w:rPr>
        <w:t xml:space="preserve"> and pathology-related TAF15</w:t>
      </w:r>
      <w:r>
        <w:fldChar w:fldCharType="begin"/>
      </w:r>
      <w:r>
        <w:rPr>
          <w:rFonts w:ascii="Times New Roman" w:hAnsi="Times New Roman"/>
          <w:lang w:val="en-US"/>
        </w:rPr>
        <w:instrText>ADDIN ZOTERO_ITEM CSL_CITATION {"citationID":"HPKembJ3","properties":{"formattedCitation":"\\super 6\\nosupersub{}","plainCitation":"6","noteIndex":0},"citationItems":[{"id":1390,"uris":["http://zotero.org/users/local/BXGjheSY/items/4MKU2H2F"],"itemData":{"id":1390,"type":"article-journal","abstract":"Abstract\n            \n              Frontotemporal lobar degeneration (FTLD) causes frontotemporal dementia (FTD), the most common form of dementia after Alzheimer’s disease, and is often also associated with motor disorders\n              1\n              . The pathological hallmarks of FTLD are neuronal inclusions of specific, abnormally assembled proteins\n              2\n              . In the majority of cases the inclusions contain amyloid filament assemblies of TAR DNA-binding protein 43 (TDP-43) or tau, with distinct filament structures characterizing different FTLD subtypes\n              3,4\n              . The presence of amyloid filaments and their identities and structures in the remaining approximately 10% of FTLD cases are unknown but are widely believed to be composed of the protein fused in sarcoma (FUS, also known as translocated in liposarcoma). As such, these cases are commonly referred to as FTLD–FUS. Here we used cryogenic electron microscopy (cryo-EM) to determine the structures of amyloid filaments extracted from the prefrontal and temporal cortices of four individuals with FTLD–FUS. Surprisingly, we found abundant amyloid filaments of the FUS homologue TATA-binding protein-associated factor 15 (TAF15, also known as TATA-binding protein-associated factor 2N) rather than of FUS itself. The filament fold is formed from residues 7–99 in the low-complexity domain (LCD) of TAF15 and was identical between individuals. Furthermore, we found TAF15 filaments with the same fold in the motor cortex and brainstem of two of the individuals, both showing upper and lower motor neuron pathology. The formation of TAF15 amyloid filaments with a characteristic fold in FTLD establishes TAF15 proteinopathy in neurodegenerative disease. The structure of TAF15 amyloid filaments provides a basis for the development of model systems of neurodegenerative disease, as well as for the design of diagnostic and therapeutic tools targeting TAF15 proteinopathy.","container-title":"Nature","DOI":"10.1038/s41586-023-06801-2","ISSN":"0028-0836, 1476-4687","issue":"7994","journalAbbreviation":"Nature","language":"en","page":"345-351","source":"DOI.org (Crossref)","title":"TAF15 amyloid filaments in frontotemporal lobar degeneration","volume":"625","author":[{"family":"Tetter","given":"Stephan"},{"family":"Arseni","given":"Diana"},{"family":"Murzin","given":"Alexey G."},{"family":"Buhidma","given":"Yazead"},{"family":"Peak-Chew","given":"Sew Y."},{"family":"Garringer","given":"Holly J."},{"family":"Newell","given":"Kathy L."},{"family":"Vidal","given":"Ruben"},{"family":"Apostolova","given":"Liana G."},{"family":"Lashley","given":"Tammaryn"},{"family":"Ghetti","given":"Bernardino"},{"family":"Ryskeldi-Falcon","given":"Benjamin"}],"issued":{"date-parts":[["2024",1,11]]}}}],"schema":"https://github.com/citation-style-language/schema/raw/master/csl-citation.json"}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6</w:t>
      </w:r>
      <w:r>
        <w:rPr>
          <w:rFonts w:ascii="Times New Roman" w:hAnsi="Times New Roman"/>
          <w:lang w:val="en-US"/>
        </w:rPr>
        <w:fldChar w:fldCharType="end"/>
      </w:r>
      <w:r>
        <w:rPr>
          <w:rFonts w:ascii="Times New Roman" w:hAnsi="Times New Roman"/>
          <w:lang w:val="en-US"/>
        </w:rPr>
        <w:t xml:space="preserve"> amyloid.</w:t>
      </w:r>
    </w:p>
    <w:p w:rsidR="007F64AE" w:rsidRPr="00904E89" w:rsidRDefault="007F64AE" w:rsidP="007F64AE">
      <w:pPr>
        <w:spacing w:before="240" w:line="480" w:lineRule="auto"/>
        <w:ind w:firstLine="20"/>
        <w:rPr>
          <w:rFonts w:ascii="Times New Roman" w:hAnsi="Times New Roman"/>
          <w:lang w:val="en-US"/>
        </w:rPr>
      </w:pPr>
      <w:r>
        <w:rPr>
          <w:rFonts w:ascii="Times New Roman" w:hAnsi="Times New Roman"/>
          <w:lang w:val="en-US"/>
        </w:rPr>
        <w:tab/>
        <w:t xml:space="preserve">This architecture revises the earlier 'serpentine' model, which proposed that the amyloid core of Sup35 consists of a continuous </w:t>
      </w:r>
      <w:r>
        <w:rPr>
          <w:rFonts w:ascii="Times New Roman" w:hAnsi="Times New Roman"/>
        </w:rPr>
        <w:t>β</w:t>
      </w:r>
      <w:r>
        <w:rPr>
          <w:rFonts w:ascii="Times New Roman" w:hAnsi="Times New Roman"/>
          <w:lang w:val="en-US"/>
        </w:rPr>
        <w:t>-sheet formed predominantly by tandem oligopeptide repeats</w:t>
      </w:r>
      <w:r>
        <w:fldChar w:fldCharType="begin"/>
      </w:r>
      <w:r>
        <w:rPr>
          <w:rFonts w:ascii="Times New Roman" w:hAnsi="Times New Roman"/>
          <w:lang w:val="en-US"/>
        </w:rPr>
        <w:instrText>ADDIN ZOTERO_ITEM CSL_CITATION {"citationID":"MS5CuoDT","properties":{"formattedCitation":"\\super 7\\nosupersub{}","plainCitation":"7","noteIndex":0},"citationItems":[{"id":1417,"uris":["http://zotero.org/users/local/BXGjheSY/items/HGQLH4J5"],"itemData":{"id":1417,"type":"article-journal","abstract":"In its prion form, Ure2p, a regulator of nitrogen catabolism in\n              Saccharomyces cerevisiae\n              , polymerizes into filaments whereby its C-terminal regulatory domain is inactivated but retains its native fold. The filament has an amyloid fibril backbone formed by the Asn-rich, N-terminal, “prion” domain. The prion domain is also capable of forming fibrils when alone or when fused to other proteins. We have developed a model for the fibril that we call a parallel superpleated β-structure. In this model, the prion domain is divided into nine seven-residue segments, each with a four-residue strand and a three-residue turn, that zig-zag in a planar serpentine arrangement. Serpentines are stacked axially, in register, generating an array of parallel β-sheets, with a small and potentially variable left-hand twist. The interior of the filament is mostly stabilized not by packing of apolar side chains but by H-bond networks generated by the stacking of Asn side chains: charged residues are excluded. The model is consistent with current biophysical, biochemical, and structural data (notably, mass-per-unit-length measurements by scanning transmission electron microscopy that gave one subunit rise per 0.47 nm) and is readily adaptable to other amyloids, for instance the core of Sup35p filaments and glutamine expansions in huntingtin.","container-title":"Proceedings of the National Academy of Sciences","DOI":"10.1073/pnas.0402427101","ISSN":"0027-8424, 1091-6490","issue":"21","journalAbbreviation":"Proc. Natl. Acad. Sci. U.S.A.","language":"en","page":"7885-7890","source":"DOI.org (Crossref)","title":"A model for Ure2p prion filaments and other amyloids: The parallel superpleated β-structure","title-short":"A model for Ure2p prion filaments and other amyloids","volume":"101","author":[{"family":"Kajava","given":"Andrey V."},{"family":"Baxa","given":"Ulrich"},{"family":"Wickner","given":"Reed B."},{"family":"Steven","given":"Alasdair C."}],"issued":{"date-parts":[["2004",5,25]]}}}],"schema":"https://github.com/citation-style-language/schema/raw/master/csl-citation.json"}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7</w:t>
      </w:r>
      <w:r>
        <w:rPr>
          <w:rFonts w:ascii="Times New Roman" w:hAnsi="Times New Roman"/>
          <w:lang w:val="en-US"/>
        </w:rPr>
        <w:fldChar w:fldCharType="end"/>
      </w:r>
      <w:r>
        <w:rPr>
          <w:rFonts w:ascii="Times New Roman" w:hAnsi="Times New Roman"/>
          <w:lang w:val="en-US"/>
        </w:rPr>
        <w:t>. In Sup35, these repeats correspond to PQGGYQ-like motifs grouped in the middle of the N domain. In the [</w:t>
      </w:r>
      <w:r>
        <w:rPr>
          <w:rFonts w:ascii="Times New Roman" w:hAnsi="Times New Roman"/>
          <w:i/>
          <w:iCs/>
          <w:lang w:val="en-US"/>
        </w:rPr>
        <w:t>PSI+</w:t>
      </w:r>
      <w:r>
        <w:rPr>
          <w:rFonts w:ascii="Times New Roman" w:hAnsi="Times New Roman"/>
          <w:lang w:val="en-US"/>
        </w:rPr>
        <w:t xml:space="preserve">]-S7 fibril, two such repeats </w:t>
      </w:r>
      <w:proofErr w:type="gramStart"/>
      <w:r>
        <w:rPr>
          <w:rFonts w:ascii="Times New Roman" w:hAnsi="Times New Roman"/>
          <w:lang w:val="en-US"/>
        </w:rPr>
        <w:t>are incorporated</w:t>
      </w:r>
      <w:proofErr w:type="gramEnd"/>
      <w:r>
        <w:rPr>
          <w:rFonts w:ascii="Times New Roman" w:hAnsi="Times New Roman"/>
          <w:lang w:val="en-US"/>
        </w:rPr>
        <w:t xml:space="preserve"> into the ordered core. Contrary to the serpentine model, they </w:t>
      </w:r>
      <w:r>
        <w:rPr>
          <w:rFonts w:ascii="Times New Roman" w:hAnsi="Times New Roman"/>
          <w:lang w:val="en-US"/>
        </w:rPr>
        <w:lastRenderedPageBreak/>
        <w:t xml:space="preserve">do not form </w:t>
      </w:r>
      <w:r>
        <w:rPr>
          <w:rFonts w:ascii="Times New Roman" w:hAnsi="Times New Roman"/>
        </w:rPr>
        <w:t>β</w:t>
      </w:r>
      <w:r>
        <w:rPr>
          <w:rFonts w:ascii="Times New Roman" w:hAnsi="Times New Roman"/>
          <w:lang w:val="en-US"/>
        </w:rPr>
        <w:t xml:space="preserve">-arches against each other. The first repeat (R1, residues ~40–48) lies within the 30–45 segment and only contributes limited connectivity to the central steric zippers. In contrast, the second repeat (R2, residues ~56–65) </w:t>
      </w:r>
      <w:proofErr w:type="gramStart"/>
      <w:r>
        <w:rPr>
          <w:rFonts w:ascii="Times New Roman" w:hAnsi="Times New Roman"/>
          <w:lang w:val="en-US"/>
        </w:rPr>
        <w:t>is fully integrated</w:t>
      </w:r>
      <w:proofErr w:type="gramEnd"/>
      <w:r>
        <w:rPr>
          <w:rFonts w:ascii="Times New Roman" w:hAnsi="Times New Roman"/>
          <w:lang w:val="en-US"/>
        </w:rPr>
        <w:t xml:space="preserve"> into the outer zipper, forming a stable linkage between Core1A and Core1B (Fig. </w:t>
      </w:r>
      <w:r w:rsidRPr="00904E89">
        <w:rPr>
          <w:rFonts w:ascii="Times New Roman" w:hAnsi="Times New Roman"/>
          <w:lang w:val="en-US"/>
        </w:rPr>
        <w:t xml:space="preserve">S6C). </w:t>
      </w:r>
      <w:r>
        <w:rPr>
          <w:rFonts w:ascii="Times New Roman" w:hAnsi="Times New Roman"/>
          <w:lang w:val="en-US"/>
        </w:rPr>
        <w:t xml:space="preserve">The remaining repeats </w:t>
      </w:r>
      <w:proofErr w:type="gramStart"/>
      <w:r>
        <w:rPr>
          <w:rFonts w:ascii="Times New Roman" w:hAnsi="Times New Roman"/>
          <w:lang w:val="en-US"/>
        </w:rPr>
        <w:t>are excluded</w:t>
      </w:r>
      <w:proofErr w:type="gramEnd"/>
      <w:r>
        <w:rPr>
          <w:rFonts w:ascii="Times New Roman" w:hAnsi="Times New Roman"/>
          <w:lang w:val="en-US"/>
        </w:rPr>
        <w:t xml:space="preserve"> from the structured spine and instead contribute to the disordered fuzzy coat. Therefore, the oligopeptide repeats are not universal linear building blocks of the Sup35 amyloid architecture, but rather participate in distinct, context-dependent roles shaped by the amyloid key-like topology and its polar-aromatic stabilization.</w:t>
      </w:r>
    </w:p>
    <w:p w:rsidR="007F64AE" w:rsidRPr="00904E89" w:rsidRDefault="007F64AE" w:rsidP="007F64AE">
      <w:pPr>
        <w:spacing w:before="240" w:line="480" w:lineRule="auto"/>
        <w:ind w:firstLine="20"/>
        <w:rPr>
          <w:lang w:val="en-US"/>
        </w:rPr>
      </w:pPr>
      <w:r>
        <w:rPr>
          <w:b/>
          <w:bCs/>
          <w:lang w:val="en-US"/>
        </w:rPr>
        <w:t xml:space="preserve">Distal cores in the structures of </w:t>
      </w:r>
      <w:r>
        <w:rPr>
          <w:b/>
          <w:bCs/>
          <w:i/>
          <w:iCs/>
          <w:lang w:val="en-US"/>
        </w:rPr>
        <w:t>in vitro</w:t>
      </w:r>
      <w:r>
        <w:rPr>
          <w:b/>
          <w:bCs/>
          <w:lang w:val="en-US"/>
        </w:rPr>
        <w:t xml:space="preserve"> and </w:t>
      </w:r>
      <w:r>
        <w:rPr>
          <w:b/>
          <w:bCs/>
          <w:i/>
          <w:iCs/>
          <w:lang w:val="en-US"/>
        </w:rPr>
        <w:t>ex vivo</w:t>
      </w:r>
      <w:r>
        <w:rPr>
          <w:b/>
          <w:bCs/>
          <w:lang w:val="en-US"/>
        </w:rPr>
        <w:t xml:space="preserve"> Sup35 fibrils.</w:t>
      </w:r>
    </w:p>
    <w:p w:rsidR="007F64AE" w:rsidRPr="007F64AE" w:rsidRDefault="007F64AE" w:rsidP="007F64AE">
      <w:pPr>
        <w:spacing w:before="240" w:line="480" w:lineRule="auto"/>
        <w:ind w:firstLine="20"/>
        <w:rPr>
          <w:rFonts w:ascii="Times New Roman" w:hAnsi="Times New Roman"/>
          <w:lang w:val="en-US"/>
        </w:rPr>
      </w:pPr>
      <w:r>
        <w:rPr>
          <w:rFonts w:ascii="Times New Roman" w:hAnsi="Times New Roman"/>
          <w:lang w:val="en-US"/>
        </w:rPr>
        <w:tab/>
        <w:t xml:space="preserve">Another interesting feature of the Sc37 structure is the presence of the distal cross-ꞵ element K102-Q132. In PK digests of both weak and strong </w:t>
      </w:r>
      <w:r>
        <w:rPr>
          <w:rFonts w:ascii="Times New Roman" w:hAnsi="Times New Roman"/>
          <w:i/>
          <w:iCs/>
          <w:lang w:val="en-US"/>
        </w:rPr>
        <w:t>ex vivo</w:t>
      </w:r>
      <w:r>
        <w:rPr>
          <w:rFonts w:ascii="Times New Roman" w:hAnsi="Times New Roman"/>
          <w:lang w:val="en-US"/>
        </w:rPr>
        <w:t xml:space="preserve"> prions we often observed additional cores located at either residues 90-120 (Region 2) or 125-133 (Region 3)</w:t>
      </w:r>
      <w:r>
        <w:fldChar w:fldCharType="begin"/>
      </w:r>
      <w:r>
        <w:rPr>
          <w:rFonts w:ascii="Times New Roman" w:hAnsi="Times New Roman"/>
          <w:lang w:val="en-US"/>
        </w:rPr>
        <w:instrText>ADDIN ZOTERO_ITEM CSL_CITATION {"citationID":"qiO6OOWG","properties":{"formattedCitation":"\\super 1\\nosupersub{}","plainCitation":"1","noteIndex":0},"citationItems":[{"id":428,"uris":["http://zotero.org/users/local/BXGjheSY/items/7EBC4B3K"],"itemData":{"id":428,"type":"article-journal","abstract":"The yeast [PSI+] prion, formed by the Sup35 (eRF3) protein, has multiple structural variants differing in the strength of nonsense suppressor phenotype. Structure of [PSI+] and its variation are characterized poorly. Here, we mapped Sup35 amyloid cores of 26 [PSI+] ex vivo prions of different origin using proteinase K digestion and mass spectrometric identification of resistant peptides. In all [PSI+] variants the Sup35 amino acid residues 2-32 were fully resistant and the region up to residue 72 was partially resistant. Proteinase K-resistant structures were also found within regions 73-124, 125-153, and 154-221, but their presence differed between [PSI+] isolates. Two distinct digestion patterns were observed for region 2-72, which always correlated with the \"strong\" and \"weak\" [PSI+] nonsense suppressor phenotypes. Also, all [PSI+] with a weak pattern were eliminated by multicopy HSP104 gene and were not toxic when combined with multicopy SUP35. [PSI+] with a strong pattern showed opposite properties, being resistant to multicopy HSP104 and lethal with multicopy SUP35. Thus, Sup35 prion cores can be composed of up to four elements. [PSI+] variants can be divided into two classes reliably distinguishable basing on structure of the first element and the described assays.","container-title":"International Journal of Molecular Sciences","DOI":"10.3390/ijms20112633","ISSN":"1422-0067","issue":"11","journalAbbreviation":"Int J Mol Sci","language":"eng","note":"number: 11\nPMID: 31146333\nPMCID: PMC6600473","source":"PubMed","title":"Yeast Sup35 Prion Structure: Two Types, Four Parts, Many Variants","title-short":"Yeast Sup35 Prion Structure","volume":"20","author":[{"family":"Dergalev","given":"Alexander A."},{"family":"Alexandrov","given":"Alexander I."},{"family":"Ivannikov","given":"Roman I."},{"family":"Ter-Avanesyan","given":"Michael D."},{"family":"Kushnirov","given":"Vitaly V."}],"issued":{"date-parts":[["2019",5,29]]}}}],"schema":"https://github.com/citation-style-language/schema/raw/master/csl-citation.json"}</w:instrText>
      </w:r>
      <w:r>
        <w:rPr>
          <w:rFonts w:ascii="Times New Roman" w:hAnsi="Times New Roman"/>
          <w:lang w:val="en-US"/>
        </w:rPr>
        <w:fldChar w:fldCharType="separate"/>
      </w:r>
      <w:r>
        <w:rPr>
          <w:rFonts w:ascii="Times New Roman" w:hAnsi="Times New Roman"/>
          <w:szCs w:val="24"/>
          <w:vertAlign w:val="superscript"/>
          <w:lang w:val="en-US"/>
        </w:rPr>
        <w:t>1</w:t>
      </w:r>
      <w:r>
        <w:rPr>
          <w:rFonts w:ascii="Times New Roman" w:hAnsi="Times New Roman"/>
          <w:lang w:val="en-US"/>
        </w:rPr>
        <w:fldChar w:fldCharType="end"/>
      </w:r>
      <w:r>
        <w:rPr>
          <w:rFonts w:ascii="Times New Roman" w:hAnsi="Times New Roman"/>
          <w:lang w:val="en-US"/>
        </w:rPr>
        <w:t xml:space="preserve">. The second core in Sc37 is different as it incorporates parts from both Regions 2 and 3. A similar element </w:t>
      </w:r>
      <w:proofErr w:type="gramStart"/>
      <w:r>
        <w:rPr>
          <w:rFonts w:ascii="Times New Roman" w:hAnsi="Times New Roman"/>
          <w:lang w:val="en-US"/>
        </w:rPr>
        <w:t>was also detected</w:t>
      </w:r>
      <w:proofErr w:type="gramEnd"/>
      <w:r>
        <w:rPr>
          <w:rFonts w:ascii="Times New Roman" w:hAnsi="Times New Roman"/>
          <w:lang w:val="en-US"/>
        </w:rPr>
        <w:t xml:space="preserve"> in PK digests of Sup35 prions, but only in two strong of the 26 strong and weak prion isolates studied. Notably, the distal core elements could not be found in the [</w:t>
      </w:r>
      <w:r>
        <w:rPr>
          <w:rFonts w:ascii="Times New Roman" w:hAnsi="Times New Roman"/>
          <w:i/>
          <w:iCs/>
          <w:lang w:val="en-US"/>
        </w:rPr>
        <w:t>PSI+</w:t>
      </w:r>
      <w:r>
        <w:rPr>
          <w:rFonts w:ascii="Times New Roman" w:hAnsi="Times New Roman"/>
          <w:lang w:val="en-US"/>
        </w:rPr>
        <w:t xml:space="preserve">]-S7 cryo-EM structure solved in this study because the Sup35 sequence downstream of the 96 </w:t>
      </w:r>
      <w:proofErr w:type="spellStart"/>
      <w:proofErr w:type="gramStart"/>
      <w:r>
        <w:rPr>
          <w:rFonts w:ascii="Times New Roman" w:hAnsi="Times New Roman"/>
          <w:lang w:val="en-US"/>
        </w:rPr>
        <w:t>a.a</w:t>
      </w:r>
      <w:proofErr w:type="spellEnd"/>
      <w:proofErr w:type="gramEnd"/>
      <w:r>
        <w:rPr>
          <w:rFonts w:ascii="Times New Roman" w:hAnsi="Times New Roman"/>
          <w:lang w:val="en-US"/>
        </w:rPr>
        <w:t xml:space="preserve">. position was enzymatically removed to facilitate structure reconstruction (Fig. S4A). </w:t>
      </w:r>
    </w:p>
    <w:p w:rsidR="007F64AE" w:rsidRPr="007F64AE" w:rsidRDefault="007F64AE" w:rsidP="007F64AE">
      <w:pPr>
        <w:spacing w:before="240" w:line="480" w:lineRule="auto"/>
        <w:ind w:firstLine="20"/>
        <w:rPr>
          <w:lang w:val="en-US"/>
        </w:rPr>
      </w:pPr>
      <w:r>
        <w:rPr>
          <w:b/>
          <w:lang w:val="en-US"/>
        </w:rPr>
        <w:t>References</w:t>
      </w:r>
    </w:p>
    <w:p w:rsidR="007F64AE" w:rsidRPr="007F64AE" w:rsidRDefault="007F64AE" w:rsidP="007F64AE">
      <w:pPr>
        <w:pStyle w:val="a3"/>
        <w:rPr>
          <w:rFonts w:ascii="Times New Roman" w:hAnsi="Times New Roman"/>
          <w:lang w:val="en-US"/>
        </w:rPr>
      </w:pPr>
      <w:r>
        <w:fldChar w:fldCharType="begin"/>
      </w:r>
      <w:r w:rsidRPr="007F64AE">
        <w:rPr>
          <w:rFonts w:ascii="Times New Roman" w:hAnsi="Times New Roman"/>
          <w:lang w:val="en-US"/>
        </w:rPr>
        <w:instrText>ADDIN ZOTERO_BIBL {"uncited":[],"omitted":[],"custom":[]} CSL_BIBLIOGRAPHY</w:instrText>
      </w:r>
      <w:r>
        <w:rPr>
          <w:rFonts w:ascii="Times New Roman" w:hAnsi="Times New Roman"/>
        </w:rPr>
        <w:fldChar w:fldCharType="separate"/>
      </w:r>
      <w:r>
        <w:rPr>
          <w:rFonts w:ascii="Times New Roman" w:hAnsi="Times New Roman"/>
          <w:lang w:val="en-US"/>
        </w:rPr>
        <w:t>1.</w:t>
      </w:r>
      <w:r>
        <w:rPr>
          <w:rFonts w:ascii="Times New Roman" w:hAnsi="Times New Roman"/>
          <w:lang w:val="en-US"/>
        </w:rPr>
        <w:tab/>
      </w:r>
      <w:proofErr w:type="spellStart"/>
      <w:r>
        <w:rPr>
          <w:rFonts w:ascii="Times New Roman" w:hAnsi="Times New Roman"/>
          <w:lang w:val="en-US"/>
        </w:rPr>
        <w:t>Dergalev</w:t>
      </w:r>
      <w:proofErr w:type="spellEnd"/>
      <w:r>
        <w:rPr>
          <w:rFonts w:ascii="Times New Roman" w:hAnsi="Times New Roman"/>
          <w:lang w:val="en-US"/>
        </w:rPr>
        <w:t xml:space="preserve">, A. A., </w:t>
      </w:r>
      <w:proofErr w:type="spellStart"/>
      <w:r>
        <w:rPr>
          <w:rFonts w:ascii="Times New Roman" w:hAnsi="Times New Roman"/>
          <w:lang w:val="en-US"/>
        </w:rPr>
        <w:t>Alexandrov</w:t>
      </w:r>
      <w:proofErr w:type="spellEnd"/>
      <w:r>
        <w:rPr>
          <w:rFonts w:ascii="Times New Roman" w:hAnsi="Times New Roman"/>
          <w:lang w:val="en-US"/>
        </w:rPr>
        <w:t xml:space="preserve">, A. I., </w:t>
      </w:r>
      <w:proofErr w:type="spellStart"/>
      <w:r>
        <w:rPr>
          <w:rFonts w:ascii="Times New Roman" w:hAnsi="Times New Roman"/>
          <w:lang w:val="en-US"/>
        </w:rPr>
        <w:t>Ivannikov</w:t>
      </w:r>
      <w:proofErr w:type="spellEnd"/>
      <w:r>
        <w:rPr>
          <w:rFonts w:ascii="Times New Roman" w:hAnsi="Times New Roman"/>
          <w:lang w:val="en-US"/>
        </w:rPr>
        <w:t xml:space="preserve">, R. I., Ter-Avanesyan, M. D. &amp; </w:t>
      </w:r>
      <w:proofErr w:type="spellStart"/>
      <w:r>
        <w:rPr>
          <w:rFonts w:ascii="Times New Roman" w:hAnsi="Times New Roman"/>
          <w:lang w:val="en-US"/>
        </w:rPr>
        <w:t>Kushnirov</w:t>
      </w:r>
      <w:proofErr w:type="spellEnd"/>
      <w:r>
        <w:rPr>
          <w:rFonts w:ascii="Times New Roman" w:hAnsi="Times New Roman"/>
          <w:lang w:val="en-US"/>
        </w:rPr>
        <w:t xml:space="preserve">, V. V. Yeast Sup35 Prion Structure: Two Types, Four Parts, Many Variants. </w:t>
      </w:r>
      <w:proofErr w:type="spellStart"/>
      <w:r>
        <w:rPr>
          <w:rFonts w:ascii="Times New Roman" w:hAnsi="Times New Roman"/>
          <w:i/>
          <w:iCs/>
          <w:lang w:val="en-US"/>
        </w:rPr>
        <w:t>Int</w:t>
      </w:r>
      <w:proofErr w:type="spellEnd"/>
      <w:r>
        <w:rPr>
          <w:rFonts w:ascii="Times New Roman" w:hAnsi="Times New Roman"/>
          <w:i/>
          <w:iCs/>
          <w:lang w:val="en-US"/>
        </w:rPr>
        <w:t xml:space="preserve"> J </w:t>
      </w:r>
      <w:proofErr w:type="spellStart"/>
      <w:r>
        <w:rPr>
          <w:rFonts w:ascii="Times New Roman" w:hAnsi="Times New Roman"/>
          <w:i/>
          <w:iCs/>
          <w:lang w:val="en-US"/>
        </w:rPr>
        <w:t>Mol</w:t>
      </w:r>
      <w:proofErr w:type="spellEnd"/>
      <w:r>
        <w:rPr>
          <w:rFonts w:ascii="Times New Roman" w:hAnsi="Times New Roman"/>
          <w:i/>
          <w:iCs/>
          <w:lang w:val="en-US"/>
        </w:rPr>
        <w:t xml:space="preserve"> </w:t>
      </w:r>
      <w:proofErr w:type="spellStart"/>
      <w:r>
        <w:rPr>
          <w:rFonts w:ascii="Times New Roman" w:hAnsi="Times New Roman"/>
          <w:i/>
          <w:iCs/>
          <w:lang w:val="en-US"/>
        </w:rPr>
        <w:t>Sci</w:t>
      </w:r>
      <w:proofErr w:type="spellEnd"/>
      <w:r>
        <w:rPr>
          <w:rFonts w:ascii="Times New Roman" w:hAnsi="Times New Roman"/>
          <w:lang w:val="en-US"/>
        </w:rPr>
        <w:t xml:space="preserve"> </w:t>
      </w:r>
      <w:r>
        <w:rPr>
          <w:rFonts w:ascii="Times New Roman" w:hAnsi="Times New Roman"/>
          <w:b/>
          <w:bCs/>
          <w:lang w:val="en-US"/>
        </w:rPr>
        <w:t>20</w:t>
      </w:r>
      <w:r>
        <w:rPr>
          <w:rFonts w:ascii="Times New Roman" w:hAnsi="Times New Roman"/>
          <w:lang w:val="en-US"/>
        </w:rPr>
        <w:t>, (2019).</w:t>
      </w:r>
    </w:p>
    <w:p w:rsidR="007F64AE" w:rsidRPr="007F64AE" w:rsidRDefault="007F64AE" w:rsidP="007F64AE">
      <w:pPr>
        <w:pStyle w:val="a3"/>
        <w:rPr>
          <w:rFonts w:ascii="Times New Roman" w:hAnsi="Times New Roman"/>
          <w:lang w:val="en-US"/>
        </w:rPr>
      </w:pPr>
      <w:r>
        <w:rPr>
          <w:rFonts w:ascii="Times New Roman" w:hAnsi="Times New Roman"/>
          <w:lang w:val="en-US"/>
        </w:rPr>
        <w:t>2.</w:t>
      </w:r>
      <w:r>
        <w:rPr>
          <w:rFonts w:ascii="Times New Roman" w:hAnsi="Times New Roman"/>
          <w:lang w:val="en-US"/>
        </w:rPr>
        <w:tab/>
      </w:r>
      <w:proofErr w:type="spellStart"/>
      <w:r>
        <w:rPr>
          <w:rFonts w:ascii="Times New Roman" w:hAnsi="Times New Roman"/>
          <w:lang w:val="en-US"/>
        </w:rPr>
        <w:t>Shkundina</w:t>
      </w:r>
      <w:proofErr w:type="spellEnd"/>
      <w:r>
        <w:rPr>
          <w:rFonts w:ascii="Times New Roman" w:hAnsi="Times New Roman"/>
          <w:lang w:val="en-US"/>
        </w:rPr>
        <w:t xml:space="preserve">, I. S., </w:t>
      </w:r>
      <w:proofErr w:type="spellStart"/>
      <w:r>
        <w:rPr>
          <w:rFonts w:ascii="Times New Roman" w:hAnsi="Times New Roman"/>
          <w:lang w:val="en-US"/>
        </w:rPr>
        <w:t>Kushnirov</w:t>
      </w:r>
      <w:proofErr w:type="spellEnd"/>
      <w:r>
        <w:rPr>
          <w:rFonts w:ascii="Times New Roman" w:hAnsi="Times New Roman"/>
          <w:lang w:val="en-US"/>
        </w:rPr>
        <w:t xml:space="preserve">, V. V., Tuite, M. F. &amp; Ter-Avanesyan, M. D. The Role of the N-Terminal Oligopeptide Repeats of the Yeast Sup35 Prion Protein in Propagation and Transmission of Prion Variants. </w:t>
      </w:r>
      <w:r>
        <w:rPr>
          <w:rFonts w:ascii="Times New Roman" w:hAnsi="Times New Roman"/>
          <w:i/>
          <w:iCs/>
          <w:lang w:val="en-US"/>
        </w:rPr>
        <w:t>Genetics</w:t>
      </w:r>
      <w:r>
        <w:rPr>
          <w:rFonts w:ascii="Times New Roman" w:hAnsi="Times New Roman"/>
          <w:lang w:val="en-US"/>
        </w:rPr>
        <w:t xml:space="preserve"> </w:t>
      </w:r>
      <w:r>
        <w:rPr>
          <w:rFonts w:ascii="Times New Roman" w:hAnsi="Times New Roman"/>
          <w:b/>
          <w:bCs/>
          <w:lang w:val="en-US"/>
        </w:rPr>
        <w:t>172</w:t>
      </w:r>
      <w:r>
        <w:rPr>
          <w:rFonts w:ascii="Times New Roman" w:hAnsi="Times New Roman"/>
          <w:lang w:val="en-US"/>
        </w:rPr>
        <w:t>, 827–835 (2006).</w:t>
      </w:r>
    </w:p>
    <w:p w:rsidR="007F64AE" w:rsidRPr="007F64AE" w:rsidRDefault="007F64AE" w:rsidP="007F64AE">
      <w:pPr>
        <w:pStyle w:val="a3"/>
        <w:rPr>
          <w:rFonts w:ascii="Times New Roman" w:hAnsi="Times New Roman"/>
          <w:lang w:val="en-US"/>
        </w:rPr>
      </w:pPr>
      <w:r>
        <w:rPr>
          <w:rFonts w:ascii="Times New Roman" w:hAnsi="Times New Roman"/>
          <w:lang w:val="en-US"/>
        </w:rPr>
        <w:t>3.</w:t>
      </w:r>
      <w:r>
        <w:rPr>
          <w:rFonts w:ascii="Times New Roman" w:hAnsi="Times New Roman"/>
          <w:lang w:val="en-US"/>
        </w:rPr>
        <w:tab/>
      </w:r>
      <w:proofErr w:type="spellStart"/>
      <w:r>
        <w:rPr>
          <w:rFonts w:ascii="Times New Roman" w:hAnsi="Times New Roman"/>
          <w:lang w:val="en-US"/>
        </w:rPr>
        <w:t>Newnam</w:t>
      </w:r>
      <w:proofErr w:type="spellEnd"/>
      <w:r>
        <w:rPr>
          <w:rFonts w:ascii="Times New Roman" w:hAnsi="Times New Roman"/>
          <w:lang w:val="en-US"/>
        </w:rPr>
        <w:t xml:space="preserve">, G. P., </w:t>
      </w:r>
      <w:proofErr w:type="spellStart"/>
      <w:r>
        <w:rPr>
          <w:rFonts w:ascii="Times New Roman" w:hAnsi="Times New Roman"/>
          <w:lang w:val="en-US"/>
        </w:rPr>
        <w:t>Birchmore</w:t>
      </w:r>
      <w:proofErr w:type="spellEnd"/>
      <w:r>
        <w:rPr>
          <w:rFonts w:ascii="Times New Roman" w:hAnsi="Times New Roman"/>
          <w:lang w:val="en-US"/>
        </w:rPr>
        <w:t xml:space="preserve">, J. L. &amp; </w:t>
      </w:r>
      <w:proofErr w:type="spellStart"/>
      <w:r>
        <w:rPr>
          <w:rFonts w:ascii="Times New Roman" w:hAnsi="Times New Roman"/>
          <w:lang w:val="en-US"/>
        </w:rPr>
        <w:t>Chernoff</w:t>
      </w:r>
      <w:proofErr w:type="spellEnd"/>
      <w:r>
        <w:rPr>
          <w:rFonts w:ascii="Times New Roman" w:hAnsi="Times New Roman"/>
          <w:lang w:val="en-US"/>
        </w:rPr>
        <w:t xml:space="preserve">, Y. O. Destabilization and Recovery of a Yeast Prion after Mild Heat Shock. </w:t>
      </w:r>
      <w:r>
        <w:rPr>
          <w:rFonts w:ascii="Times New Roman" w:hAnsi="Times New Roman"/>
          <w:i/>
          <w:iCs/>
          <w:lang w:val="en-US"/>
        </w:rPr>
        <w:t>Journal of Molecular Biology</w:t>
      </w:r>
      <w:r>
        <w:rPr>
          <w:rFonts w:ascii="Times New Roman" w:hAnsi="Times New Roman"/>
          <w:lang w:val="en-US"/>
        </w:rPr>
        <w:t xml:space="preserve"> </w:t>
      </w:r>
      <w:r>
        <w:rPr>
          <w:rFonts w:ascii="Times New Roman" w:hAnsi="Times New Roman"/>
          <w:b/>
          <w:bCs/>
          <w:lang w:val="en-US"/>
        </w:rPr>
        <w:t>408</w:t>
      </w:r>
      <w:r>
        <w:rPr>
          <w:rFonts w:ascii="Times New Roman" w:hAnsi="Times New Roman"/>
          <w:lang w:val="en-US"/>
        </w:rPr>
        <w:t>, 432–448 (2011).</w:t>
      </w:r>
    </w:p>
    <w:p w:rsidR="007F64AE" w:rsidRPr="007F64AE" w:rsidRDefault="007F64AE" w:rsidP="007F64AE">
      <w:pPr>
        <w:pStyle w:val="a3"/>
        <w:rPr>
          <w:rFonts w:ascii="Times New Roman" w:hAnsi="Times New Roman"/>
          <w:lang w:val="en-US"/>
        </w:rPr>
      </w:pPr>
      <w:r>
        <w:rPr>
          <w:rFonts w:ascii="Times New Roman" w:hAnsi="Times New Roman"/>
          <w:lang w:val="en-US"/>
        </w:rPr>
        <w:t>4.</w:t>
      </w:r>
      <w:r>
        <w:rPr>
          <w:rFonts w:ascii="Times New Roman" w:hAnsi="Times New Roman"/>
          <w:lang w:val="en-US"/>
        </w:rPr>
        <w:tab/>
      </w:r>
      <w:proofErr w:type="spellStart"/>
      <w:r>
        <w:rPr>
          <w:rFonts w:ascii="Times New Roman" w:hAnsi="Times New Roman"/>
          <w:lang w:val="en-US"/>
        </w:rPr>
        <w:t>Klaips</w:t>
      </w:r>
      <w:proofErr w:type="spellEnd"/>
      <w:r>
        <w:rPr>
          <w:rFonts w:ascii="Times New Roman" w:hAnsi="Times New Roman"/>
          <w:lang w:val="en-US"/>
        </w:rPr>
        <w:t xml:space="preserve">, C. L., </w:t>
      </w:r>
      <w:proofErr w:type="spellStart"/>
      <w:r>
        <w:rPr>
          <w:rFonts w:ascii="Times New Roman" w:hAnsi="Times New Roman"/>
          <w:lang w:val="en-US"/>
        </w:rPr>
        <w:t>Hochstrasser</w:t>
      </w:r>
      <w:proofErr w:type="spellEnd"/>
      <w:r>
        <w:rPr>
          <w:rFonts w:ascii="Times New Roman" w:hAnsi="Times New Roman"/>
          <w:lang w:val="en-US"/>
        </w:rPr>
        <w:t xml:space="preserve">, M. L., </w:t>
      </w:r>
      <w:proofErr w:type="spellStart"/>
      <w:r>
        <w:rPr>
          <w:rFonts w:ascii="Times New Roman" w:hAnsi="Times New Roman"/>
          <w:lang w:val="en-US"/>
        </w:rPr>
        <w:t>Langlois</w:t>
      </w:r>
      <w:proofErr w:type="spellEnd"/>
      <w:r>
        <w:rPr>
          <w:rFonts w:ascii="Times New Roman" w:hAnsi="Times New Roman"/>
          <w:lang w:val="en-US"/>
        </w:rPr>
        <w:t xml:space="preserve">, C. R. &amp; Serio, T. R. Spatial quality control bypasses cell-based limitations on </w:t>
      </w:r>
      <w:proofErr w:type="spellStart"/>
      <w:r>
        <w:rPr>
          <w:rFonts w:ascii="Times New Roman" w:hAnsi="Times New Roman"/>
          <w:lang w:val="en-US"/>
        </w:rPr>
        <w:t>proteostasis</w:t>
      </w:r>
      <w:proofErr w:type="spellEnd"/>
      <w:r>
        <w:rPr>
          <w:rFonts w:ascii="Times New Roman" w:hAnsi="Times New Roman"/>
          <w:lang w:val="en-US"/>
        </w:rPr>
        <w:t xml:space="preserve"> to promote prion curing. </w:t>
      </w:r>
      <w:proofErr w:type="spellStart"/>
      <w:proofErr w:type="gramStart"/>
      <w:r>
        <w:rPr>
          <w:rFonts w:ascii="Times New Roman" w:hAnsi="Times New Roman"/>
          <w:i/>
          <w:iCs/>
          <w:lang w:val="en-US"/>
        </w:rPr>
        <w:t>eLife</w:t>
      </w:r>
      <w:proofErr w:type="spellEnd"/>
      <w:proofErr w:type="gramEnd"/>
      <w:r>
        <w:rPr>
          <w:rFonts w:ascii="Times New Roman" w:hAnsi="Times New Roman"/>
          <w:lang w:val="en-US"/>
        </w:rPr>
        <w:t xml:space="preserve"> </w:t>
      </w:r>
      <w:r>
        <w:rPr>
          <w:rFonts w:ascii="Times New Roman" w:hAnsi="Times New Roman"/>
          <w:b/>
          <w:bCs/>
          <w:lang w:val="en-US"/>
        </w:rPr>
        <w:t>3</w:t>
      </w:r>
      <w:r>
        <w:rPr>
          <w:rFonts w:ascii="Times New Roman" w:hAnsi="Times New Roman"/>
          <w:lang w:val="en-US"/>
        </w:rPr>
        <w:t>, (2014).</w:t>
      </w:r>
    </w:p>
    <w:p w:rsidR="007F64AE" w:rsidRPr="007F64AE" w:rsidRDefault="007F64AE" w:rsidP="007F64AE">
      <w:pPr>
        <w:pStyle w:val="a3"/>
        <w:rPr>
          <w:rFonts w:ascii="Times New Roman" w:hAnsi="Times New Roman"/>
          <w:lang w:val="en-US"/>
        </w:rPr>
      </w:pPr>
      <w:r>
        <w:rPr>
          <w:rFonts w:ascii="Times New Roman" w:hAnsi="Times New Roman"/>
          <w:lang w:val="en-US"/>
        </w:rPr>
        <w:lastRenderedPageBreak/>
        <w:t>5.</w:t>
      </w:r>
      <w:r>
        <w:rPr>
          <w:rFonts w:ascii="Times New Roman" w:hAnsi="Times New Roman"/>
          <w:lang w:val="en-US"/>
        </w:rPr>
        <w:tab/>
      </w:r>
      <w:proofErr w:type="spellStart"/>
      <w:r>
        <w:rPr>
          <w:rFonts w:ascii="Times New Roman" w:hAnsi="Times New Roman"/>
          <w:lang w:val="en-US"/>
        </w:rPr>
        <w:t>Hervas</w:t>
      </w:r>
      <w:proofErr w:type="spellEnd"/>
      <w:r>
        <w:rPr>
          <w:rFonts w:ascii="Times New Roman" w:hAnsi="Times New Roman"/>
          <w:lang w:val="en-US"/>
        </w:rPr>
        <w:t xml:space="preserve">, R. </w:t>
      </w:r>
      <w:r>
        <w:rPr>
          <w:rFonts w:ascii="Times New Roman" w:hAnsi="Times New Roman"/>
          <w:i/>
          <w:iCs/>
          <w:lang w:val="en-US"/>
        </w:rPr>
        <w:t>et al.</w:t>
      </w:r>
      <w:r>
        <w:rPr>
          <w:rFonts w:ascii="Times New Roman" w:hAnsi="Times New Roman"/>
          <w:lang w:val="en-US"/>
        </w:rPr>
        <w:t xml:space="preserve"> Cryo-EM str</w:t>
      </w:r>
      <w:bookmarkStart w:id="0" w:name="_GoBack"/>
      <w:bookmarkEnd w:id="0"/>
      <w:r>
        <w:rPr>
          <w:rFonts w:ascii="Times New Roman" w:hAnsi="Times New Roman"/>
          <w:lang w:val="en-US"/>
        </w:rPr>
        <w:t xml:space="preserve">ucture of a neuronal functional amyloid implicated in memory persistence in </w:t>
      </w:r>
      <w:r>
        <w:rPr>
          <w:rFonts w:ascii="Times New Roman" w:hAnsi="Times New Roman"/>
          <w:i/>
          <w:iCs/>
          <w:lang w:val="en-US"/>
        </w:rPr>
        <w:t>Drosophila</w:t>
      </w:r>
      <w:r>
        <w:rPr>
          <w:rFonts w:ascii="Times New Roman" w:hAnsi="Times New Roman"/>
          <w:lang w:val="en-US"/>
        </w:rPr>
        <w:t xml:space="preserve">. </w:t>
      </w:r>
      <w:r>
        <w:rPr>
          <w:rFonts w:ascii="Times New Roman" w:hAnsi="Times New Roman"/>
          <w:i/>
          <w:iCs/>
          <w:lang w:val="en-US"/>
        </w:rPr>
        <w:t>Science</w:t>
      </w:r>
      <w:r>
        <w:rPr>
          <w:rFonts w:ascii="Times New Roman" w:hAnsi="Times New Roman"/>
          <w:lang w:val="en-US"/>
        </w:rPr>
        <w:t xml:space="preserve"> </w:t>
      </w:r>
      <w:r>
        <w:rPr>
          <w:rFonts w:ascii="Times New Roman" w:hAnsi="Times New Roman"/>
          <w:b/>
          <w:bCs/>
          <w:lang w:val="en-US"/>
        </w:rPr>
        <w:t>367</w:t>
      </w:r>
      <w:r>
        <w:rPr>
          <w:rFonts w:ascii="Times New Roman" w:hAnsi="Times New Roman"/>
          <w:lang w:val="en-US"/>
        </w:rPr>
        <w:t>, 1230–1234 (2020).</w:t>
      </w:r>
    </w:p>
    <w:p w:rsidR="007F64AE" w:rsidRPr="007F64AE" w:rsidRDefault="007F64AE" w:rsidP="007F64AE">
      <w:pPr>
        <w:pStyle w:val="a3"/>
        <w:rPr>
          <w:rFonts w:ascii="Times New Roman" w:hAnsi="Times New Roman"/>
          <w:lang w:val="en-US"/>
        </w:rPr>
      </w:pPr>
      <w:r>
        <w:rPr>
          <w:rFonts w:ascii="Times New Roman" w:hAnsi="Times New Roman"/>
          <w:lang w:val="en-US"/>
        </w:rPr>
        <w:t>6.</w:t>
      </w:r>
      <w:r>
        <w:rPr>
          <w:rFonts w:ascii="Times New Roman" w:hAnsi="Times New Roman"/>
          <w:lang w:val="en-US"/>
        </w:rPr>
        <w:tab/>
      </w:r>
      <w:proofErr w:type="spellStart"/>
      <w:r>
        <w:rPr>
          <w:rFonts w:ascii="Times New Roman" w:hAnsi="Times New Roman"/>
          <w:lang w:val="en-US"/>
        </w:rPr>
        <w:t>Tetter</w:t>
      </w:r>
      <w:proofErr w:type="spellEnd"/>
      <w:r>
        <w:rPr>
          <w:rFonts w:ascii="Times New Roman" w:hAnsi="Times New Roman"/>
          <w:lang w:val="en-US"/>
        </w:rPr>
        <w:t xml:space="preserve">, S. </w:t>
      </w:r>
      <w:r>
        <w:rPr>
          <w:rFonts w:ascii="Times New Roman" w:hAnsi="Times New Roman"/>
          <w:i/>
          <w:iCs/>
          <w:lang w:val="en-US"/>
        </w:rPr>
        <w:t>et al.</w:t>
      </w:r>
      <w:r>
        <w:rPr>
          <w:rFonts w:ascii="Times New Roman" w:hAnsi="Times New Roman"/>
          <w:lang w:val="en-US"/>
        </w:rPr>
        <w:t xml:space="preserve"> TAF15 amyloid filaments in frontotemporal lobar degeneration. </w:t>
      </w:r>
      <w:r>
        <w:rPr>
          <w:rFonts w:ascii="Times New Roman" w:hAnsi="Times New Roman"/>
          <w:i/>
          <w:iCs/>
          <w:lang w:val="en-US"/>
        </w:rPr>
        <w:t>Nature</w:t>
      </w:r>
      <w:r>
        <w:rPr>
          <w:rFonts w:ascii="Times New Roman" w:hAnsi="Times New Roman"/>
          <w:lang w:val="en-US"/>
        </w:rPr>
        <w:t xml:space="preserve"> </w:t>
      </w:r>
      <w:r>
        <w:rPr>
          <w:rFonts w:ascii="Times New Roman" w:hAnsi="Times New Roman"/>
          <w:b/>
          <w:bCs/>
          <w:lang w:val="en-US"/>
        </w:rPr>
        <w:t>625</w:t>
      </w:r>
      <w:r>
        <w:rPr>
          <w:rFonts w:ascii="Times New Roman" w:hAnsi="Times New Roman"/>
          <w:lang w:val="en-US"/>
        </w:rPr>
        <w:t>, 345–351 (2024).</w:t>
      </w:r>
    </w:p>
    <w:p w:rsidR="007F64AE" w:rsidRDefault="007F64AE" w:rsidP="007F64AE">
      <w:pPr>
        <w:pStyle w:val="a3"/>
        <w:rPr>
          <w:rFonts w:ascii="Times New Roman" w:hAnsi="Times New Roman"/>
        </w:rPr>
      </w:pPr>
      <w:r>
        <w:rPr>
          <w:rFonts w:ascii="Times New Roman" w:hAnsi="Times New Roman"/>
          <w:lang w:val="en-US"/>
        </w:rPr>
        <w:t>7.</w:t>
      </w:r>
      <w:r>
        <w:rPr>
          <w:rFonts w:ascii="Times New Roman" w:hAnsi="Times New Roman"/>
          <w:lang w:val="en-US"/>
        </w:rPr>
        <w:tab/>
      </w:r>
      <w:proofErr w:type="spellStart"/>
      <w:r>
        <w:rPr>
          <w:rFonts w:ascii="Times New Roman" w:hAnsi="Times New Roman"/>
          <w:lang w:val="en-US"/>
        </w:rPr>
        <w:t>Kajava</w:t>
      </w:r>
      <w:proofErr w:type="spellEnd"/>
      <w:r>
        <w:rPr>
          <w:rFonts w:ascii="Times New Roman" w:hAnsi="Times New Roman"/>
          <w:lang w:val="en-US"/>
        </w:rPr>
        <w:t xml:space="preserve">, A. V., </w:t>
      </w:r>
      <w:proofErr w:type="spellStart"/>
      <w:r>
        <w:rPr>
          <w:rFonts w:ascii="Times New Roman" w:hAnsi="Times New Roman"/>
          <w:lang w:val="en-US"/>
        </w:rPr>
        <w:t>Baxa</w:t>
      </w:r>
      <w:proofErr w:type="spellEnd"/>
      <w:r>
        <w:rPr>
          <w:rFonts w:ascii="Times New Roman" w:hAnsi="Times New Roman"/>
          <w:lang w:val="en-US"/>
        </w:rPr>
        <w:t xml:space="preserve">, U., Wickner, R. B. &amp; Steven, A. C. A model for Ure2p prion filaments and other amyloids: The parallel </w:t>
      </w:r>
      <w:proofErr w:type="spellStart"/>
      <w:r>
        <w:rPr>
          <w:rFonts w:ascii="Times New Roman" w:hAnsi="Times New Roman"/>
          <w:lang w:val="en-US"/>
        </w:rPr>
        <w:t>superpleated</w:t>
      </w:r>
      <w:proofErr w:type="spellEnd"/>
      <w:r>
        <w:rPr>
          <w:rFonts w:ascii="Times New Roman" w:hAnsi="Times New Roman"/>
          <w:lang w:val="en-US"/>
        </w:rPr>
        <w:t xml:space="preserve"> </w:t>
      </w:r>
      <w:r>
        <w:rPr>
          <w:rFonts w:ascii="Times New Roman" w:hAnsi="Times New Roman"/>
        </w:rPr>
        <w:t>β</w:t>
      </w:r>
      <w:r>
        <w:rPr>
          <w:rFonts w:ascii="Times New Roman" w:hAnsi="Times New Roman"/>
          <w:lang w:val="en-US"/>
        </w:rPr>
        <w:t xml:space="preserve">-structure. </w:t>
      </w:r>
      <w:proofErr w:type="spellStart"/>
      <w:r>
        <w:rPr>
          <w:rFonts w:ascii="Times New Roman" w:hAnsi="Times New Roman"/>
          <w:i/>
          <w:iCs/>
        </w:rPr>
        <w:t>Proc</w:t>
      </w:r>
      <w:proofErr w:type="spellEnd"/>
      <w:r>
        <w:rPr>
          <w:rFonts w:ascii="Times New Roman" w:hAnsi="Times New Roman"/>
          <w:i/>
          <w:iCs/>
        </w:rPr>
        <w:t xml:space="preserve">. </w:t>
      </w:r>
      <w:proofErr w:type="spellStart"/>
      <w:r>
        <w:rPr>
          <w:rFonts w:ascii="Times New Roman" w:hAnsi="Times New Roman"/>
          <w:i/>
          <w:iCs/>
        </w:rPr>
        <w:t>Natl</w:t>
      </w:r>
      <w:proofErr w:type="spellEnd"/>
      <w:r>
        <w:rPr>
          <w:rFonts w:ascii="Times New Roman" w:hAnsi="Times New Roman"/>
          <w:i/>
          <w:iCs/>
        </w:rPr>
        <w:t xml:space="preserve">. </w:t>
      </w:r>
      <w:proofErr w:type="spellStart"/>
      <w:r>
        <w:rPr>
          <w:rFonts w:ascii="Times New Roman" w:hAnsi="Times New Roman"/>
          <w:i/>
          <w:iCs/>
        </w:rPr>
        <w:t>Acad</w:t>
      </w:r>
      <w:proofErr w:type="spellEnd"/>
      <w:r>
        <w:rPr>
          <w:rFonts w:ascii="Times New Roman" w:hAnsi="Times New Roman"/>
          <w:i/>
          <w:iCs/>
        </w:rPr>
        <w:t xml:space="preserve">. </w:t>
      </w:r>
      <w:proofErr w:type="spellStart"/>
      <w:r>
        <w:rPr>
          <w:rFonts w:ascii="Times New Roman" w:hAnsi="Times New Roman"/>
          <w:i/>
          <w:iCs/>
        </w:rPr>
        <w:t>Sci</w:t>
      </w:r>
      <w:proofErr w:type="spellEnd"/>
      <w:r>
        <w:rPr>
          <w:rFonts w:ascii="Times New Roman" w:hAnsi="Times New Roman"/>
          <w:i/>
          <w:iCs/>
        </w:rPr>
        <w:t>. U.S.A.</w:t>
      </w:r>
      <w:r>
        <w:rPr>
          <w:rFonts w:ascii="Times New Roman" w:hAnsi="Times New Roman"/>
        </w:rPr>
        <w:t xml:space="preserve"> </w:t>
      </w:r>
      <w:r>
        <w:rPr>
          <w:rFonts w:ascii="Times New Roman" w:hAnsi="Times New Roman"/>
          <w:b/>
          <w:bCs/>
        </w:rPr>
        <w:t>101</w:t>
      </w:r>
      <w:r>
        <w:rPr>
          <w:rFonts w:ascii="Times New Roman" w:hAnsi="Times New Roman"/>
        </w:rPr>
        <w:t>, 7885–7890 (2004).</w:t>
      </w:r>
    </w:p>
    <w:p w:rsidR="00790756" w:rsidRDefault="007F64AE" w:rsidP="007F64AE">
      <w:r>
        <w:rPr>
          <w:rFonts w:ascii="Times New Roman" w:hAnsi="Times New Roman"/>
        </w:rPr>
        <w:fldChar w:fldCharType="end"/>
      </w:r>
    </w:p>
    <w:sectPr w:rsidR="007907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4AE"/>
    <w:rsid w:val="00790756"/>
    <w:rsid w:val="007F64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4C5814-6428-46EB-B27E-6220CC6A0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64AE"/>
    <w:pPr>
      <w:suppressAutoHyphens/>
      <w:spacing w:after="0" w:line="276" w:lineRule="auto"/>
    </w:pPr>
    <w:rPr>
      <w:rFonts w:ascii="Arial" w:eastAsia="Arial" w:hAnsi="Arial" w:cs="Arial"/>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unhideWhenUsed/>
    <w:qFormat/>
    <w:rsid w:val="007F64AE"/>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4323</Words>
  <Characters>24644</Characters>
  <Application>Microsoft Office Word</Application>
  <DocSecurity>0</DocSecurity>
  <Lines>205</Lines>
  <Paragraphs>57</Paragraphs>
  <ScaleCrop>false</ScaleCrop>
  <Company>Hewlett-Packard Company</Company>
  <LinksUpToDate>false</LinksUpToDate>
  <CharactersWithSpaces>28910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Виталий Кушниров</dc:creator>
  <cp:keywords/>
  <dc:description/>
  <cp:lastModifiedBy>Виталий Кушниров</cp:lastModifiedBy>
  <cp:revision>1</cp:revision>
  <dcterms:created xsi:type="dcterms:W3CDTF">2026-02-02T13:22:00Z</dcterms:created>
  <dcterms:modified xsi:type="dcterms:W3CDTF">2026-02-02T13:22:00Z</dcterms:modified>
</cp:coreProperties>
</file>