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8336AC">
      <w:pPr>
        <w:jc w:val="center"/>
        <w:rPr>
          <w:rFonts w:hint="eastAsia" w:ascii="宋体" w:hAnsi="宋体" w:eastAsia="宋体" w:cs="宋体"/>
          <w:szCs w:val="22"/>
          <w:lang w:bidi="ar"/>
        </w:rPr>
      </w:pPr>
      <w:r>
        <w:rPr>
          <w:rFonts w:hint="eastAsia" w:ascii="宋体" w:hAnsi="宋体" w:eastAsia="宋体" w:cs="宋体"/>
          <w:szCs w:val="22"/>
        </w:rPr>
        <w:drawing>
          <wp:inline distT="0" distB="0" distL="114300" distR="114300">
            <wp:extent cx="5251450" cy="2476500"/>
            <wp:effectExtent l="0" t="0" r="0" b="7620"/>
            <wp:docPr id="6" name="图片 6" descr="补充图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补充图S1"/>
                    <pic:cNvPicPr>
                      <a:picLocks noChangeAspect="1"/>
                    </pic:cNvPicPr>
                  </pic:nvPicPr>
                  <pic:blipFill>
                    <a:blip r:embed="rId4"/>
                    <a:stretch>
                      <a:fillRect/>
                    </a:stretch>
                  </pic:blipFill>
                  <pic:spPr>
                    <a:xfrm>
                      <a:off x="0" y="0"/>
                      <a:ext cx="5251450" cy="2476500"/>
                    </a:xfrm>
                    <a:prstGeom prst="rect">
                      <a:avLst/>
                    </a:prstGeom>
                  </pic:spPr>
                </pic:pic>
              </a:graphicData>
            </a:graphic>
          </wp:inline>
        </w:drawing>
      </w:r>
    </w:p>
    <w:p w14:paraId="50606A3D">
      <w:pPr>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Fig.S1</w:t>
      </w:r>
      <w:r>
        <w:rPr>
          <w:rFonts w:hint="eastAsia" w:ascii="Times New Roman" w:hAnsi="Times New Roman" w:eastAsia="宋体" w:cs="Times New Roman"/>
          <w:sz w:val="20"/>
          <w:szCs w:val="20"/>
        </w:rPr>
        <w:t>-</w:t>
      </w:r>
      <w:r>
        <w:rPr>
          <w:rFonts w:ascii="Times New Roman" w:hAnsi="Times New Roman" w:eastAsia="宋体" w:cs="Times New Roman"/>
          <w:sz w:val="20"/>
          <w:szCs w:val="20"/>
        </w:rPr>
        <w:t xml:space="preserve">The gRNAs and their target sites in the transgenic materials were identified via sequencing. The genomic schematics illustrate the design of gRNAs and the two mutation types generated by CRISPR/Cas9 in the wild-type Shuanghui 459 background for </w:t>
      </w:r>
      <w:r>
        <w:rPr>
          <w:rFonts w:ascii="Times New Roman" w:hAnsi="Times New Roman" w:eastAsia="宋体" w:cs="Times New Roman"/>
          <w:i/>
          <w:iCs/>
          <w:sz w:val="20"/>
          <w:szCs w:val="20"/>
        </w:rPr>
        <w:t>OsRR22</w:t>
      </w:r>
      <w:r>
        <w:rPr>
          <w:rFonts w:ascii="Times New Roman" w:hAnsi="Times New Roman" w:eastAsia="宋体" w:cs="Times New Roman"/>
          <w:sz w:val="20"/>
          <w:szCs w:val="20"/>
        </w:rPr>
        <w:t xml:space="preserve">, </w:t>
      </w:r>
      <w:r>
        <w:rPr>
          <w:rFonts w:ascii="Times New Roman" w:hAnsi="Times New Roman" w:eastAsia="宋体" w:cs="Times New Roman"/>
          <w:i/>
          <w:iCs/>
          <w:sz w:val="20"/>
          <w:szCs w:val="20"/>
        </w:rPr>
        <w:t>OsARF18</w:t>
      </w:r>
      <w:r>
        <w:rPr>
          <w:rFonts w:ascii="Times New Roman" w:hAnsi="Times New Roman" w:eastAsia="宋体" w:cs="Times New Roman"/>
          <w:sz w:val="20"/>
          <w:szCs w:val="20"/>
        </w:rPr>
        <w:t xml:space="preserve">, and </w:t>
      </w:r>
      <w:r>
        <w:rPr>
          <w:rFonts w:ascii="Times New Roman" w:hAnsi="Times New Roman" w:eastAsia="宋体" w:cs="Times New Roman"/>
          <w:i/>
          <w:iCs/>
          <w:sz w:val="20"/>
          <w:szCs w:val="20"/>
        </w:rPr>
        <w:t>OsWRKY53</w:t>
      </w:r>
      <w:r>
        <w:rPr>
          <w:rFonts w:ascii="Times New Roman" w:hAnsi="Times New Roman" w:eastAsia="宋体" w:cs="Times New Roman"/>
          <w:sz w:val="20"/>
          <w:szCs w:val="20"/>
        </w:rPr>
        <w:t>. The generated mutants included single-gene mutants for each target, double-gene mutants (</w:t>
      </w:r>
      <w:r>
        <w:rPr>
          <w:rFonts w:ascii="Times New Roman" w:hAnsi="Times New Roman" w:eastAsia="宋体" w:cs="Times New Roman"/>
          <w:i/>
          <w:iCs/>
          <w:sz w:val="20"/>
          <w:szCs w:val="20"/>
        </w:rPr>
        <w:t>OsRR22</w:t>
      </w:r>
      <w:r>
        <w:rPr>
          <w:rFonts w:hint="eastAsia" w:ascii="Times New Roman" w:hAnsi="Times New Roman" w:eastAsia="宋体" w:cs="Times New Roman"/>
          <w:sz w:val="20"/>
          <w:szCs w:val="20"/>
        </w:rPr>
        <w:t>-</w:t>
      </w:r>
      <w:r>
        <w:rPr>
          <w:rFonts w:ascii="Times New Roman" w:hAnsi="Times New Roman" w:eastAsia="宋体" w:cs="Times New Roman"/>
          <w:i/>
          <w:iCs/>
          <w:sz w:val="20"/>
          <w:szCs w:val="20"/>
        </w:rPr>
        <w:t>OsARF18</w:t>
      </w:r>
      <w:r>
        <w:rPr>
          <w:rFonts w:ascii="Times New Roman" w:hAnsi="Times New Roman" w:eastAsia="宋体" w:cs="Times New Roman"/>
          <w:sz w:val="20"/>
          <w:szCs w:val="20"/>
        </w:rPr>
        <w:t xml:space="preserve"> and </w:t>
      </w:r>
      <w:r>
        <w:rPr>
          <w:rFonts w:ascii="Times New Roman" w:hAnsi="Times New Roman" w:eastAsia="宋体" w:cs="Times New Roman"/>
          <w:i/>
          <w:iCs/>
          <w:sz w:val="20"/>
          <w:szCs w:val="20"/>
        </w:rPr>
        <w:t>OsWRKY53</w:t>
      </w:r>
      <w:r>
        <w:rPr>
          <w:rFonts w:hint="eastAsia" w:ascii="Times New Roman" w:hAnsi="Times New Roman" w:eastAsia="宋体" w:cs="Times New Roman"/>
          <w:sz w:val="20"/>
          <w:szCs w:val="20"/>
        </w:rPr>
        <w:t>-</w:t>
      </w:r>
      <w:r>
        <w:rPr>
          <w:rFonts w:ascii="Times New Roman" w:hAnsi="Times New Roman" w:eastAsia="宋体" w:cs="Times New Roman"/>
          <w:i/>
          <w:iCs/>
          <w:sz w:val="20"/>
          <w:szCs w:val="20"/>
        </w:rPr>
        <w:t>OsRR22</w:t>
      </w:r>
      <w:r>
        <w:rPr>
          <w:rFonts w:ascii="Times New Roman" w:hAnsi="Times New Roman" w:eastAsia="宋体" w:cs="Times New Roman"/>
          <w:sz w:val="20"/>
          <w:szCs w:val="20"/>
        </w:rPr>
        <w:t>), and the triple-gene mutant (</w:t>
      </w:r>
      <w:r>
        <w:rPr>
          <w:rFonts w:ascii="Times New Roman" w:hAnsi="Times New Roman" w:eastAsia="宋体" w:cs="Times New Roman"/>
          <w:i/>
          <w:iCs/>
          <w:sz w:val="20"/>
          <w:szCs w:val="20"/>
        </w:rPr>
        <w:t>OsRR22</w:t>
      </w:r>
      <w:r>
        <w:rPr>
          <w:rFonts w:hint="eastAsia" w:ascii="Times New Roman" w:hAnsi="Times New Roman" w:eastAsia="宋体" w:cs="Times New Roman"/>
          <w:sz w:val="20"/>
          <w:szCs w:val="20"/>
        </w:rPr>
        <w:t>-</w:t>
      </w:r>
      <w:r>
        <w:rPr>
          <w:rFonts w:ascii="Times New Roman" w:hAnsi="Times New Roman" w:eastAsia="宋体" w:cs="Times New Roman"/>
          <w:i/>
          <w:iCs/>
          <w:sz w:val="20"/>
          <w:szCs w:val="20"/>
        </w:rPr>
        <w:t>OsARF18</w:t>
      </w:r>
      <w:r>
        <w:rPr>
          <w:rFonts w:hint="eastAsia" w:ascii="Times New Roman" w:hAnsi="Times New Roman" w:eastAsia="宋体" w:cs="Times New Roman"/>
          <w:sz w:val="20"/>
          <w:szCs w:val="20"/>
        </w:rPr>
        <w:t>-</w:t>
      </w:r>
      <w:r>
        <w:rPr>
          <w:rFonts w:ascii="Times New Roman" w:hAnsi="Times New Roman" w:eastAsia="宋体" w:cs="Times New Roman"/>
          <w:i/>
          <w:iCs/>
          <w:sz w:val="20"/>
          <w:szCs w:val="20"/>
        </w:rPr>
        <w:t>OsWRKY53</w:t>
      </w:r>
      <w:r>
        <w:rPr>
          <w:rFonts w:ascii="Times New Roman" w:hAnsi="Times New Roman" w:eastAsia="宋体" w:cs="Times New Roman"/>
          <w:sz w:val="20"/>
          <w:szCs w:val="20"/>
        </w:rPr>
        <w:t>).</w:t>
      </w:r>
    </w:p>
    <w:p w14:paraId="3B00DF87">
      <w:pPr>
        <w:jc w:val="center"/>
        <w:rPr>
          <w:rFonts w:ascii="Times New Roman" w:hAnsi="Times New Roman" w:eastAsia="宋体" w:cs="Times New Roman"/>
          <w:szCs w:val="22"/>
          <w:lang w:bidi="ar"/>
        </w:rPr>
      </w:pPr>
      <w:r>
        <w:rPr>
          <w:rFonts w:ascii="Times New Roman" w:hAnsi="Times New Roman" w:eastAsia="宋体" w:cs="Times New Roman"/>
          <w:szCs w:val="22"/>
        </w:rPr>
        <w:drawing>
          <wp:inline distT="0" distB="0" distL="114300" distR="114300">
            <wp:extent cx="4319905" cy="4329430"/>
            <wp:effectExtent l="0" t="0" r="8255" b="13970"/>
            <wp:docPr id="18" name="图片 18" descr="补充图S2.OsRR22氨基酸比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补充图S2.OsRR22氨基酸比对"/>
                    <pic:cNvPicPr>
                      <a:picLocks noChangeAspect="1"/>
                    </pic:cNvPicPr>
                  </pic:nvPicPr>
                  <pic:blipFill>
                    <a:blip r:embed="rId5"/>
                    <a:stretch>
                      <a:fillRect/>
                    </a:stretch>
                  </pic:blipFill>
                  <pic:spPr>
                    <a:xfrm>
                      <a:off x="0" y="0"/>
                      <a:ext cx="4319905" cy="4329430"/>
                    </a:xfrm>
                    <a:prstGeom prst="rect">
                      <a:avLst/>
                    </a:prstGeom>
                  </pic:spPr>
                </pic:pic>
              </a:graphicData>
            </a:graphic>
          </wp:inline>
        </w:drawing>
      </w:r>
    </w:p>
    <w:p w14:paraId="7BAF7AAA">
      <w:pPr>
        <w:jc w:val="left"/>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Fig.S2</w:t>
      </w:r>
      <w:r>
        <w:rPr>
          <w:rFonts w:hint="eastAsia" w:ascii="Times New Roman" w:hAnsi="Times New Roman" w:eastAsia="宋体" w:cs="Times New Roman"/>
          <w:sz w:val="20"/>
          <w:szCs w:val="20"/>
          <w:lang w:bidi="ar"/>
        </w:rPr>
        <w:t>-</w:t>
      </w:r>
      <w:r>
        <w:rPr>
          <w:rFonts w:ascii="Times New Roman" w:hAnsi="Times New Roman" w:eastAsia="宋体" w:cs="Times New Roman"/>
          <w:sz w:val="20"/>
          <w:szCs w:val="20"/>
          <w:lang w:bidi="ar"/>
        </w:rPr>
        <w:t xml:space="preserve">The amino acid sequence alignment between wild-type </w:t>
      </w:r>
      <w:r>
        <w:rPr>
          <w:rFonts w:ascii="Times New Roman" w:hAnsi="Times New Roman" w:eastAsia="宋体" w:cs="Times New Roman"/>
          <w:i/>
          <w:iCs/>
          <w:sz w:val="20"/>
          <w:szCs w:val="20"/>
          <w:lang w:bidi="ar"/>
        </w:rPr>
        <w:t>OsRR22</w:t>
      </w:r>
      <w:r>
        <w:rPr>
          <w:rFonts w:ascii="Times New Roman" w:hAnsi="Times New Roman" w:eastAsia="宋体" w:cs="Times New Roman"/>
          <w:sz w:val="20"/>
          <w:szCs w:val="20"/>
          <w:lang w:bidi="ar"/>
        </w:rPr>
        <w:t xml:space="preserve"> and its mutant variants is shown, with the REC domain of </w:t>
      </w:r>
      <w:r>
        <w:rPr>
          <w:rFonts w:ascii="Times New Roman" w:hAnsi="Times New Roman" w:eastAsia="宋体" w:cs="Times New Roman"/>
          <w:i/>
          <w:iCs/>
          <w:sz w:val="20"/>
          <w:szCs w:val="20"/>
          <w:lang w:bidi="ar"/>
        </w:rPr>
        <w:t>OsRR22</w:t>
      </w:r>
      <w:r>
        <w:rPr>
          <w:rFonts w:ascii="Times New Roman" w:hAnsi="Times New Roman" w:eastAsia="宋体" w:cs="Times New Roman"/>
          <w:sz w:val="20"/>
          <w:szCs w:val="20"/>
          <w:lang w:bidi="ar"/>
        </w:rPr>
        <w:t xml:space="preserve"> indicated by a red line. While the wild-type sequence (</w:t>
      </w:r>
      <w:r>
        <w:rPr>
          <w:rFonts w:ascii="Times New Roman" w:hAnsi="Times New Roman" w:eastAsia="宋体" w:cs="Times New Roman"/>
          <w:i/>
          <w:iCs/>
          <w:sz w:val="20"/>
          <w:szCs w:val="20"/>
          <w:lang w:bidi="ar"/>
        </w:rPr>
        <w:t>osrr22</w:t>
      </w:r>
      <w:r>
        <w:rPr>
          <w:rFonts w:ascii="Times New Roman" w:hAnsi="Times New Roman" w:eastAsia="宋体" w:cs="Times New Roman"/>
          <w:sz w:val="20"/>
          <w:szCs w:val="20"/>
          <w:lang w:bidi="ar"/>
        </w:rPr>
        <w:t xml:space="preserve">-WT) contains an intact REC domain, mutants </w:t>
      </w:r>
      <w:r>
        <w:rPr>
          <w:rFonts w:ascii="Times New Roman" w:hAnsi="Times New Roman" w:eastAsia="宋体" w:cs="Times New Roman"/>
          <w:i/>
          <w:iCs/>
          <w:sz w:val="20"/>
          <w:szCs w:val="20"/>
          <w:lang w:bidi="ar"/>
        </w:rPr>
        <w:t>osrr22-1</w:t>
      </w:r>
      <w:r>
        <w:rPr>
          <w:rFonts w:ascii="Times New Roman" w:hAnsi="Times New Roman" w:eastAsia="宋体" w:cs="Times New Roman"/>
          <w:sz w:val="20"/>
          <w:szCs w:val="20"/>
          <w:lang w:bidi="ar"/>
        </w:rPr>
        <w:t xml:space="preserve"> and </w:t>
      </w:r>
      <w:r>
        <w:rPr>
          <w:rFonts w:ascii="Times New Roman" w:hAnsi="Times New Roman" w:eastAsia="宋体" w:cs="Times New Roman"/>
          <w:i/>
          <w:iCs/>
          <w:sz w:val="20"/>
          <w:szCs w:val="20"/>
          <w:lang w:bidi="ar"/>
        </w:rPr>
        <w:t>osrr22-2</w:t>
      </w:r>
      <w:r>
        <w:rPr>
          <w:rFonts w:ascii="Times New Roman" w:hAnsi="Times New Roman" w:eastAsia="宋体" w:cs="Times New Roman"/>
          <w:sz w:val="20"/>
          <w:szCs w:val="20"/>
          <w:lang w:bidi="ar"/>
        </w:rPr>
        <w:t xml:space="preserve"> (carrying an A insertion and a C deletion, respectively) harbor disruptions within this domain.</w:t>
      </w:r>
    </w:p>
    <w:p w14:paraId="7F3038FD">
      <w:pPr>
        <w:jc w:val="center"/>
        <w:rPr>
          <w:rFonts w:ascii="Times New Roman" w:hAnsi="Times New Roman" w:eastAsia="宋体" w:cs="Times New Roman"/>
          <w:szCs w:val="22"/>
          <w:lang w:bidi="ar"/>
        </w:rPr>
      </w:pPr>
      <w:r>
        <w:rPr>
          <w:rFonts w:ascii="Times New Roman" w:hAnsi="Times New Roman" w:eastAsia="宋体" w:cs="Times New Roman"/>
          <w:szCs w:val="22"/>
        </w:rPr>
        <w:drawing>
          <wp:inline distT="0" distB="0" distL="114300" distR="114300">
            <wp:extent cx="4319905" cy="5584190"/>
            <wp:effectExtent l="0" t="0" r="8255" b="8890"/>
            <wp:docPr id="13" name="图片 13" descr="补充图S2.OsARF18氨基酸比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补充图S2.OsARF18氨基酸比对"/>
                    <pic:cNvPicPr>
                      <a:picLocks noChangeAspect="1"/>
                    </pic:cNvPicPr>
                  </pic:nvPicPr>
                  <pic:blipFill>
                    <a:blip r:embed="rId6"/>
                    <a:stretch>
                      <a:fillRect/>
                    </a:stretch>
                  </pic:blipFill>
                  <pic:spPr>
                    <a:xfrm>
                      <a:off x="0" y="0"/>
                      <a:ext cx="4319905" cy="5584190"/>
                    </a:xfrm>
                    <a:prstGeom prst="rect">
                      <a:avLst/>
                    </a:prstGeom>
                  </pic:spPr>
                </pic:pic>
              </a:graphicData>
            </a:graphic>
          </wp:inline>
        </w:drawing>
      </w:r>
    </w:p>
    <w:p w14:paraId="41EF399E">
      <w:pPr>
        <w:jc w:val="left"/>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Fig.S3</w:t>
      </w:r>
      <w:r>
        <w:rPr>
          <w:rFonts w:hint="eastAsia" w:ascii="Times New Roman" w:hAnsi="Times New Roman" w:eastAsia="宋体" w:cs="Times New Roman"/>
          <w:sz w:val="20"/>
          <w:szCs w:val="20"/>
          <w:lang w:bidi="ar"/>
        </w:rPr>
        <w:t>-</w:t>
      </w:r>
      <w:r>
        <w:rPr>
          <w:rFonts w:ascii="Times New Roman" w:hAnsi="Times New Roman" w:eastAsia="宋体" w:cs="Times New Roman"/>
          <w:sz w:val="20"/>
          <w:szCs w:val="20"/>
          <w:lang w:bidi="ar"/>
        </w:rPr>
        <w:t>Amino acid sequence alignment of wild-type OsARF18 and its mutant variants, with the red line denoting the B3 domain. The wild-type sequence (</w:t>
      </w:r>
      <w:r>
        <w:rPr>
          <w:rFonts w:ascii="Times New Roman" w:hAnsi="Times New Roman" w:eastAsia="宋体" w:cs="Times New Roman"/>
          <w:i/>
          <w:iCs/>
          <w:sz w:val="20"/>
          <w:szCs w:val="20"/>
          <w:lang w:bidi="ar"/>
        </w:rPr>
        <w:t>osarf18</w:t>
      </w:r>
      <w:r>
        <w:rPr>
          <w:rFonts w:ascii="Times New Roman" w:hAnsi="Times New Roman" w:eastAsia="宋体" w:cs="Times New Roman"/>
          <w:sz w:val="20"/>
          <w:szCs w:val="20"/>
          <w:lang w:bidi="ar"/>
        </w:rPr>
        <w:t xml:space="preserve">-WT) contains an intact B3 domain, whereas the mutants </w:t>
      </w:r>
      <w:r>
        <w:rPr>
          <w:rFonts w:ascii="Times New Roman" w:hAnsi="Times New Roman" w:eastAsia="宋体" w:cs="Times New Roman"/>
          <w:i/>
          <w:iCs/>
          <w:sz w:val="20"/>
          <w:szCs w:val="20"/>
          <w:lang w:bidi="ar"/>
        </w:rPr>
        <w:t>osarf18-1</w:t>
      </w:r>
      <w:r>
        <w:rPr>
          <w:rFonts w:ascii="Times New Roman" w:hAnsi="Times New Roman" w:eastAsia="宋体" w:cs="Times New Roman"/>
          <w:sz w:val="20"/>
          <w:szCs w:val="20"/>
          <w:lang w:bidi="ar"/>
        </w:rPr>
        <w:t xml:space="preserve"> through </w:t>
      </w:r>
      <w:r>
        <w:rPr>
          <w:rFonts w:ascii="Times New Roman" w:hAnsi="Times New Roman" w:eastAsia="宋体" w:cs="Times New Roman"/>
          <w:i/>
          <w:iCs/>
          <w:sz w:val="20"/>
          <w:szCs w:val="20"/>
          <w:lang w:bidi="ar"/>
        </w:rPr>
        <w:t>osarf18-4</w:t>
      </w:r>
      <w:r>
        <w:rPr>
          <w:rFonts w:ascii="Times New Roman" w:hAnsi="Times New Roman" w:eastAsia="宋体" w:cs="Times New Roman"/>
          <w:sz w:val="20"/>
          <w:szCs w:val="20"/>
          <w:lang w:bidi="ar"/>
        </w:rPr>
        <w:t xml:space="preserve"> harbor insertions (T, C, A) or a deletion (G) that consequently disrupt this domain.</w:t>
      </w:r>
    </w:p>
    <w:p w14:paraId="253ACBBB">
      <w:pPr>
        <w:jc w:val="center"/>
      </w:pPr>
      <w:r>
        <w:rPr>
          <w:rFonts w:ascii="Times New Roman" w:hAnsi="Times New Roman" w:cs="Times New Roman"/>
        </w:rPr>
        <w:drawing>
          <wp:inline distT="0" distB="0" distL="114300" distR="114300">
            <wp:extent cx="4319905" cy="3302635"/>
            <wp:effectExtent l="0" t="0" r="8255" b="4445"/>
            <wp:docPr id="16" name="图片 16" descr="补充图S2.OsWRKY53氨基酸比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补充图S2.OsWRKY53氨基酸比对"/>
                    <pic:cNvPicPr>
                      <a:picLocks noChangeAspect="1"/>
                    </pic:cNvPicPr>
                  </pic:nvPicPr>
                  <pic:blipFill>
                    <a:blip r:embed="rId7"/>
                    <a:stretch>
                      <a:fillRect/>
                    </a:stretch>
                  </pic:blipFill>
                  <pic:spPr>
                    <a:xfrm>
                      <a:off x="0" y="0"/>
                      <a:ext cx="4319905" cy="3302635"/>
                    </a:xfrm>
                    <a:prstGeom prst="rect">
                      <a:avLst/>
                    </a:prstGeom>
                  </pic:spPr>
                </pic:pic>
              </a:graphicData>
            </a:graphic>
          </wp:inline>
        </w:drawing>
      </w:r>
    </w:p>
    <w:p w14:paraId="0D758DF5">
      <w:pPr>
        <w:rPr>
          <w:rFonts w:ascii="Times New Roman" w:hAnsi="Times New Roman" w:eastAsia="宋体" w:cs="Times New Roman"/>
          <w:sz w:val="20"/>
          <w:szCs w:val="20"/>
        </w:rPr>
      </w:pPr>
      <w:r>
        <w:rPr>
          <w:rFonts w:hint="eastAsia" w:ascii="Times New Roman" w:hAnsi="Times New Roman" w:eastAsia="宋体" w:cs="Times New Roman"/>
          <w:b/>
          <w:bCs/>
          <w:sz w:val="20"/>
          <w:szCs w:val="20"/>
        </w:rPr>
        <w:t>Fig.S4</w:t>
      </w:r>
      <w:r>
        <w:rPr>
          <w:rFonts w:hint="eastAsia" w:ascii="Times New Roman" w:hAnsi="Times New Roman" w:eastAsia="宋体" w:cs="Times New Roman"/>
          <w:sz w:val="20"/>
          <w:szCs w:val="20"/>
        </w:rPr>
        <w:t>-</w:t>
      </w:r>
      <w:r>
        <w:rPr>
          <w:rFonts w:ascii="Times New Roman" w:hAnsi="Times New Roman" w:eastAsia="宋体" w:cs="Times New Roman"/>
          <w:sz w:val="20"/>
          <w:szCs w:val="20"/>
        </w:rPr>
        <w:t xml:space="preserve">The amino acid sequence alignment between wild-type </w:t>
      </w:r>
      <w:r>
        <w:rPr>
          <w:rFonts w:ascii="Times New Roman" w:hAnsi="Times New Roman" w:eastAsia="宋体" w:cs="Times New Roman"/>
          <w:i/>
          <w:iCs/>
          <w:sz w:val="20"/>
          <w:szCs w:val="20"/>
        </w:rPr>
        <w:t>OsWRKY53</w:t>
      </w:r>
      <w:r>
        <w:rPr>
          <w:rFonts w:ascii="Times New Roman" w:hAnsi="Times New Roman" w:eastAsia="宋体" w:cs="Times New Roman"/>
          <w:sz w:val="20"/>
          <w:szCs w:val="20"/>
        </w:rPr>
        <w:t xml:space="preserve"> and its mutant variants is shown, with the WRKY domain indicated by a red line. While the wild-type sequence (</w:t>
      </w:r>
      <w:r>
        <w:rPr>
          <w:rFonts w:ascii="Times New Roman" w:hAnsi="Times New Roman" w:eastAsia="宋体" w:cs="Times New Roman"/>
          <w:i/>
          <w:iCs/>
          <w:sz w:val="20"/>
          <w:szCs w:val="20"/>
        </w:rPr>
        <w:t>oswrky53</w:t>
      </w:r>
      <w:r>
        <w:rPr>
          <w:rFonts w:ascii="Times New Roman" w:hAnsi="Times New Roman" w:eastAsia="宋体" w:cs="Times New Roman"/>
          <w:sz w:val="20"/>
          <w:szCs w:val="20"/>
        </w:rPr>
        <w:t xml:space="preserve">-WT) possesses an intact WRKY domain, the mutants </w:t>
      </w:r>
      <w:r>
        <w:rPr>
          <w:rFonts w:ascii="Times New Roman" w:hAnsi="Times New Roman" w:eastAsia="宋体" w:cs="Times New Roman"/>
          <w:i/>
          <w:iCs/>
          <w:sz w:val="20"/>
          <w:szCs w:val="20"/>
        </w:rPr>
        <w:t>oswrky53-1</w:t>
      </w:r>
      <w:r>
        <w:rPr>
          <w:rFonts w:ascii="Times New Roman" w:hAnsi="Times New Roman" w:eastAsia="宋体" w:cs="Times New Roman"/>
          <w:sz w:val="20"/>
          <w:szCs w:val="20"/>
        </w:rPr>
        <w:t xml:space="preserve"> and </w:t>
      </w:r>
      <w:r>
        <w:rPr>
          <w:rFonts w:ascii="Times New Roman" w:hAnsi="Times New Roman" w:eastAsia="宋体" w:cs="Times New Roman"/>
          <w:i/>
          <w:iCs/>
          <w:sz w:val="20"/>
          <w:szCs w:val="20"/>
        </w:rPr>
        <w:t>oswrky53-2</w:t>
      </w:r>
      <w:r>
        <w:rPr>
          <w:rFonts w:ascii="Times New Roman" w:hAnsi="Times New Roman" w:eastAsia="宋体" w:cs="Times New Roman"/>
          <w:sz w:val="20"/>
          <w:szCs w:val="20"/>
        </w:rPr>
        <w:t xml:space="preserve"> (carrying an A and a C insertion, respectively) harbor disruptions within this domain.</w:t>
      </w:r>
    </w:p>
    <w:p w14:paraId="6741AE97">
      <w:pPr>
        <w:jc w:val="center"/>
      </w:pPr>
      <w:r>
        <w:drawing>
          <wp:inline distT="0" distB="0" distL="114300" distR="114300">
            <wp:extent cx="5238750" cy="1532255"/>
            <wp:effectExtent l="0" t="0" r="3810" b="6985"/>
            <wp:docPr id="11" name="图片 11" descr="补充图S5.鲜重，芽长，根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补充图S5.鲜重，芽长，根长"/>
                    <pic:cNvPicPr>
                      <a:picLocks noChangeAspect="1"/>
                    </pic:cNvPicPr>
                  </pic:nvPicPr>
                  <pic:blipFill>
                    <a:blip r:embed="rId8"/>
                    <a:stretch>
                      <a:fillRect/>
                    </a:stretch>
                  </pic:blipFill>
                  <pic:spPr>
                    <a:xfrm>
                      <a:off x="0" y="0"/>
                      <a:ext cx="5238750" cy="1532255"/>
                    </a:xfrm>
                    <a:prstGeom prst="rect">
                      <a:avLst/>
                    </a:prstGeom>
                  </pic:spPr>
                </pic:pic>
              </a:graphicData>
            </a:graphic>
          </wp:inline>
        </w:drawing>
      </w:r>
    </w:p>
    <w:p w14:paraId="49AB086D">
      <w:pPr>
        <w:rPr>
          <w:sz w:val="20"/>
          <w:szCs w:val="20"/>
        </w:rPr>
      </w:pPr>
      <w:r>
        <w:rPr>
          <w:rFonts w:hint="eastAsia" w:ascii="Times New Roman" w:hAnsi="Times New Roman" w:eastAsia="宋体" w:cs="Times New Roman"/>
          <w:b/>
          <w:bCs/>
          <w:sz w:val="20"/>
          <w:szCs w:val="20"/>
        </w:rPr>
        <w:t>Fig.S5</w:t>
      </w:r>
      <w:r>
        <w:rPr>
          <w:rFonts w:hint="eastAsia" w:ascii="Times New Roman" w:hAnsi="Times New Roman" w:eastAsia="宋体" w:cs="Times New Roman"/>
          <w:sz w:val="20"/>
          <w:szCs w:val="20"/>
        </w:rPr>
        <w:t>-Phenotypic Characterization of Different Genotypes Under Salt Stress</w:t>
      </w:r>
      <w:r>
        <w:rPr>
          <w:rFonts w:hint="eastAsia" w:ascii="Times New Roman" w:hAnsi="Times New Roman" w:eastAsia="宋体" w:cs="Times New Roman"/>
          <w:sz w:val="20"/>
          <w:szCs w:val="20"/>
          <w:lang w:val="en-US" w:eastAsia="zh-CN"/>
        </w:rPr>
        <w:t xml:space="preserve">. </w:t>
      </w:r>
      <w:r>
        <w:rPr>
          <w:rFonts w:hint="eastAsia" w:ascii="Arial" w:hAnsi="Arial" w:eastAsia="宋体" w:cs="Arial"/>
          <w:b/>
          <w:bCs/>
          <w:sz w:val="21"/>
          <w:szCs w:val="21"/>
          <w:lang w:val="en-US" w:eastAsia="zh-CN"/>
        </w:rPr>
        <w:t>(A-C)</w:t>
      </w:r>
      <w:r>
        <w:rPr>
          <w:rFonts w:ascii="Times New Roman" w:hAnsi="Times New Roman" w:eastAsia="宋体" w:cs="Times New Roman"/>
          <w:sz w:val="20"/>
          <w:szCs w:val="20"/>
        </w:rPr>
        <w:t xml:space="preserve"> Fresh weight, shoot length, and root length of WT and mutant plants were assessed following a 7-day treatment with 1.0% NaCl and a subsequent 7-day recovery period. The experiment was conducted with three biological replicates, each containing five randomly selected seedlings. Data are presented as mean ± SD (n = 5). Significant differences versus the WT, determined by one-way ANOVA, are indicated (</w:t>
      </w:r>
      <w:r>
        <w:rPr>
          <w:rFonts w:ascii="Times New Roman" w:hAnsi="Times New Roman" w:eastAsia="宋体" w:cs="Times New Roman"/>
          <w:sz w:val="20"/>
          <w:szCs w:val="20"/>
          <w:vertAlign w:val="superscript"/>
        </w:rPr>
        <w:t>*</w:t>
      </w:r>
      <w:r>
        <w:rPr>
          <w:rFonts w:ascii="Times New Roman" w:hAnsi="Times New Roman" w:eastAsia="宋体" w:cs="Times New Roman"/>
          <w:sz w:val="20"/>
          <w:szCs w:val="20"/>
        </w:rPr>
        <w:t xml:space="preserve">p &lt; 0.05, </w:t>
      </w:r>
      <w:r>
        <w:rPr>
          <w:rFonts w:hint="eastAsia" w:ascii="Times New Roman" w:hAnsi="Times New Roman" w:eastAsia="宋体" w:cs="Times New Roman"/>
          <w:sz w:val="20"/>
          <w:szCs w:val="20"/>
          <w:vertAlign w:val="superscript"/>
        </w:rPr>
        <w:t>***</w:t>
      </w:r>
      <w:r>
        <w:rPr>
          <w:rFonts w:ascii="Times New Roman" w:hAnsi="Times New Roman" w:eastAsia="宋体" w:cs="Times New Roman"/>
          <w:sz w:val="20"/>
          <w:szCs w:val="20"/>
        </w:rPr>
        <w:t>p &lt; 0.001).</w:t>
      </w:r>
    </w:p>
    <w:p w14:paraId="41D587D4">
      <w:pPr>
        <w:jc w:val="center"/>
      </w:pPr>
      <w:r>
        <w:rPr>
          <w:rFonts w:hint="eastAsia"/>
        </w:rPr>
        <w:drawing>
          <wp:inline distT="0" distB="0" distL="114300" distR="114300">
            <wp:extent cx="5238750" cy="2727960"/>
            <wp:effectExtent l="0" t="0" r="3810" b="0"/>
            <wp:docPr id="12" name="图片 12" descr="补充图S6田间株高、分蘖、结实率等农艺性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补充图S6田间株高、分蘖、结实率等农艺性状"/>
                    <pic:cNvPicPr>
                      <a:picLocks noChangeAspect="1"/>
                    </pic:cNvPicPr>
                  </pic:nvPicPr>
                  <pic:blipFill>
                    <a:blip r:embed="rId9"/>
                    <a:stretch>
                      <a:fillRect/>
                    </a:stretch>
                  </pic:blipFill>
                  <pic:spPr>
                    <a:xfrm>
                      <a:off x="0" y="0"/>
                      <a:ext cx="5238750" cy="2727960"/>
                    </a:xfrm>
                    <a:prstGeom prst="rect">
                      <a:avLst/>
                    </a:prstGeom>
                  </pic:spPr>
                </pic:pic>
              </a:graphicData>
            </a:graphic>
          </wp:inline>
        </w:drawing>
      </w:r>
    </w:p>
    <w:p w14:paraId="4E746C90">
      <w:pPr>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Fig.S6-</w:t>
      </w:r>
      <w:r>
        <w:rPr>
          <w:rFonts w:hint="eastAsia" w:ascii="Times New Roman" w:hAnsi="Times New Roman" w:eastAsia="宋体" w:cs="Times New Roman"/>
          <w:sz w:val="20"/>
          <w:szCs w:val="20"/>
        </w:rPr>
        <w:t>Phenotypic identification of different genotypes under normal field growth conditions</w:t>
      </w:r>
      <w:r>
        <w:rPr>
          <w:rFonts w:hint="eastAsia" w:ascii="Times New Roman" w:hAnsi="Times New Roman" w:eastAsia="宋体" w:cs="Times New Roman"/>
          <w:sz w:val="20"/>
          <w:szCs w:val="20"/>
          <w:lang w:val="en-US" w:eastAsia="zh-CN"/>
        </w:rPr>
        <w:t xml:space="preserve">. </w:t>
      </w:r>
      <w:r>
        <w:rPr>
          <w:rFonts w:hint="eastAsia" w:ascii="Times New Roman" w:hAnsi="Times New Roman" w:eastAsia="宋体" w:cs="Times New Roman"/>
          <w:b/>
          <w:bCs/>
          <w:sz w:val="20"/>
          <w:szCs w:val="20"/>
        </w:rPr>
        <w:t>(A-F)</w:t>
      </w:r>
      <w:r>
        <w:rPr>
          <w:rFonts w:ascii="Times New Roman" w:hAnsi="Times New Roman" w:eastAsia="宋体" w:cs="Times New Roman"/>
          <w:sz w:val="20"/>
          <w:szCs w:val="20"/>
        </w:rPr>
        <w:t xml:space="preserve"> Field phenotypes of WT and mutant plants under normal growth conditions until maturity. Traits evaluated include plant height, tiller number, grain setting rate, spike length, and the number of primary and secondary branches. The experiment was conducted with three biological replicates, each comprising five randomly selected plants. Data are shown as mean ± SD (n = 5). Significant differences versus the WT, determined by one-way ANOVA, are indicated (</w:t>
      </w:r>
      <w:r>
        <w:rPr>
          <w:rFonts w:ascii="Times New Roman" w:hAnsi="Times New Roman" w:eastAsia="宋体" w:cs="Times New Roman"/>
          <w:sz w:val="20"/>
          <w:szCs w:val="20"/>
          <w:vertAlign w:val="superscript"/>
        </w:rPr>
        <w:t>*</w:t>
      </w:r>
      <w:r>
        <w:rPr>
          <w:rFonts w:ascii="Times New Roman" w:hAnsi="Times New Roman" w:eastAsia="宋体" w:cs="Times New Roman"/>
          <w:sz w:val="20"/>
          <w:szCs w:val="20"/>
        </w:rPr>
        <w:t>p &lt; 0.05).</w:t>
      </w:r>
    </w:p>
    <w:p w14:paraId="076861F3">
      <w:pPr>
        <w:jc w:val="center"/>
        <w:rPr>
          <w:rFonts w:ascii="Times New Roman" w:hAnsi="Times New Roman" w:eastAsia="宋体" w:cs="Times New Roman"/>
          <w:szCs w:val="22"/>
          <w:lang w:bidi="ar"/>
        </w:rPr>
      </w:pPr>
      <w:r>
        <w:rPr>
          <w:rFonts w:hint="eastAsia" w:ascii="Times New Roman" w:hAnsi="Times New Roman" w:eastAsia="宋体" w:cs="Times New Roman"/>
          <w:szCs w:val="22"/>
          <w:lang w:bidi="ar"/>
        </w:rPr>
        <w:drawing>
          <wp:inline distT="0" distB="0" distL="114300" distR="114300">
            <wp:extent cx="5255260" cy="3562350"/>
            <wp:effectExtent l="0" t="0" r="2540" b="3810"/>
            <wp:docPr id="7" name="图片 7" descr="补充图，0h和24h钠离子含量比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补充图，0h和24h钠离子含量比对"/>
                    <pic:cNvPicPr>
                      <a:picLocks noChangeAspect="1"/>
                    </pic:cNvPicPr>
                  </pic:nvPicPr>
                  <pic:blipFill>
                    <a:blip r:embed="rId10"/>
                    <a:stretch>
                      <a:fillRect/>
                    </a:stretch>
                  </pic:blipFill>
                  <pic:spPr>
                    <a:xfrm>
                      <a:off x="0" y="0"/>
                      <a:ext cx="5255260" cy="3562350"/>
                    </a:xfrm>
                    <a:prstGeom prst="rect">
                      <a:avLst/>
                    </a:prstGeom>
                  </pic:spPr>
                </pic:pic>
              </a:graphicData>
            </a:graphic>
          </wp:inline>
        </w:drawing>
      </w:r>
    </w:p>
    <w:p w14:paraId="42BCF716">
      <w:pPr>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Fig.S7</w:t>
      </w:r>
      <w:r>
        <w:rPr>
          <w:rFonts w:hint="eastAsia" w:ascii="Times New Roman" w:hAnsi="Times New Roman" w:eastAsia="宋体" w:cs="Times New Roman"/>
          <w:sz w:val="20"/>
          <w:szCs w:val="20"/>
          <w:lang w:bidi="ar"/>
        </w:rPr>
        <w:t>-Quantitative analysis of sodium ion content in different genotypes treated with 1.0% NaCl solution for 0 hours and 30 hours</w:t>
      </w:r>
      <w:r>
        <w:rPr>
          <w:rFonts w:hint="eastAsia" w:ascii="Times New Roman" w:hAnsi="Times New Roman" w:eastAsia="宋体" w:cs="Times New Roman"/>
          <w:sz w:val="20"/>
          <w:szCs w:val="20"/>
          <w:lang w:val="en-US" w:eastAsia="zh-CN" w:bidi="ar"/>
        </w:rPr>
        <w:t xml:space="preserve">. </w:t>
      </w:r>
      <w:r>
        <w:rPr>
          <w:rFonts w:hint="eastAsia" w:ascii="Times New Roman" w:hAnsi="Times New Roman" w:eastAsia="宋体" w:cs="Times New Roman"/>
          <w:b/>
          <w:bCs/>
          <w:sz w:val="20"/>
          <w:szCs w:val="20"/>
        </w:rPr>
        <w:t>(A)</w:t>
      </w:r>
      <w:r>
        <w:rPr>
          <w:rFonts w:ascii="Times New Roman" w:hAnsi="Times New Roman" w:eastAsia="宋体" w:cs="Times New Roman"/>
          <w:sz w:val="20"/>
          <w:szCs w:val="20"/>
          <w:lang w:bidi="ar"/>
        </w:rPr>
        <w:t xml:space="preserve"> Na⁺ content in roots, stems, and leaves of individual mutants versus the WT under control (pre‑salt) conditions. </w:t>
      </w:r>
      <w:r>
        <w:rPr>
          <w:rFonts w:hint="eastAsia" w:ascii="Times New Roman" w:hAnsi="Times New Roman" w:eastAsia="宋体" w:cs="Times New Roman"/>
          <w:b/>
          <w:bCs/>
          <w:sz w:val="20"/>
          <w:szCs w:val="20"/>
        </w:rPr>
        <w:t>(B)</w:t>
      </w:r>
      <w:r>
        <w:rPr>
          <w:rFonts w:ascii="Times New Roman" w:hAnsi="Times New Roman" w:eastAsia="宋体" w:cs="Times New Roman"/>
          <w:sz w:val="20"/>
          <w:szCs w:val="20"/>
          <w:lang w:bidi="ar"/>
        </w:rPr>
        <w:t xml:space="preserve"> Comparative Na⁺ content across all lines (mutants and WT) under control conditions. </w:t>
      </w:r>
      <w:r>
        <w:rPr>
          <w:rFonts w:hint="eastAsia" w:ascii="Times New Roman" w:hAnsi="Times New Roman" w:eastAsia="宋体" w:cs="Times New Roman"/>
          <w:b/>
          <w:bCs/>
          <w:sz w:val="20"/>
          <w:szCs w:val="20"/>
        </w:rPr>
        <w:t>(C)</w:t>
      </w:r>
      <w:r>
        <w:rPr>
          <w:rFonts w:ascii="Times New Roman" w:hAnsi="Times New Roman" w:eastAsia="宋体" w:cs="Times New Roman"/>
          <w:sz w:val="20"/>
          <w:szCs w:val="20"/>
          <w:lang w:bidi="ar"/>
        </w:rPr>
        <w:t xml:space="preserve"> Comparative Na⁺ content across all lines after 24‑h treatment with 1.0% NaCl. Data are presented as mean ± SD of three biological replicates (n = 3). ns, not significant. Significant differences versus the WT or among all genotypes, determined by one-way ANOVA, are indicated (</w:t>
      </w:r>
      <w:r>
        <w:rPr>
          <w:rFonts w:ascii="Times New Roman" w:hAnsi="Times New Roman" w:eastAsia="宋体" w:cs="Times New Roman"/>
          <w:sz w:val="20"/>
          <w:szCs w:val="20"/>
          <w:vertAlign w:val="superscript"/>
          <w:lang w:bidi="ar"/>
        </w:rPr>
        <w:t>*</w:t>
      </w:r>
      <w:r>
        <w:rPr>
          <w:rFonts w:ascii="Times New Roman" w:hAnsi="Times New Roman" w:eastAsia="宋体" w:cs="Times New Roman"/>
          <w:sz w:val="20"/>
          <w:szCs w:val="20"/>
          <w:lang w:bidi="ar"/>
        </w:rPr>
        <w:t xml:space="preserve">p &lt; 0.05, </w:t>
      </w:r>
      <w:r>
        <w:rPr>
          <w:rFonts w:ascii="Times New Roman" w:hAnsi="Times New Roman" w:eastAsia="宋体" w:cs="Times New Roman"/>
          <w:sz w:val="20"/>
          <w:szCs w:val="20"/>
          <w:vertAlign w:val="superscript"/>
          <w:lang w:bidi="ar"/>
        </w:rPr>
        <w:t>**</w:t>
      </w:r>
      <w:r>
        <w:rPr>
          <w:rFonts w:ascii="Times New Roman" w:hAnsi="Times New Roman" w:eastAsia="宋体" w:cs="Times New Roman"/>
          <w:sz w:val="20"/>
          <w:szCs w:val="20"/>
          <w:lang w:bidi="ar"/>
        </w:rPr>
        <w:t xml:space="preserve">p &lt; 0.01, </w:t>
      </w:r>
      <w:r>
        <w:rPr>
          <w:rFonts w:ascii="Times New Roman" w:hAnsi="Times New Roman" w:eastAsia="宋体" w:cs="Times New Roman"/>
          <w:sz w:val="20"/>
          <w:szCs w:val="20"/>
          <w:vertAlign w:val="superscript"/>
          <w:lang w:bidi="ar"/>
        </w:rPr>
        <w:t>***</w:t>
      </w:r>
      <w:r>
        <w:rPr>
          <w:rFonts w:ascii="Times New Roman" w:hAnsi="Times New Roman" w:eastAsia="宋体" w:cs="Times New Roman"/>
          <w:sz w:val="20"/>
          <w:szCs w:val="20"/>
          <w:lang w:bidi="ar"/>
        </w:rPr>
        <w:t>p &lt; 0.001).</w:t>
      </w:r>
    </w:p>
    <w:p w14:paraId="009802C4">
      <w:pPr>
        <w:jc w:val="center"/>
        <w:rPr>
          <w:rFonts w:ascii="Times New Roman" w:hAnsi="Times New Roman" w:eastAsia="宋体" w:cs="Times New Roman"/>
          <w:szCs w:val="22"/>
          <w:lang w:bidi="ar"/>
        </w:rPr>
      </w:pPr>
      <w:r>
        <w:rPr>
          <w:rFonts w:ascii="Times New Roman" w:hAnsi="Times New Roman" w:eastAsia="宋体" w:cs="Times New Roman"/>
          <w:szCs w:val="22"/>
          <w:lang w:bidi="ar"/>
        </w:rPr>
        <w:drawing>
          <wp:inline distT="0" distB="0" distL="114300" distR="114300">
            <wp:extent cx="5270500" cy="4420870"/>
            <wp:effectExtent l="0" t="0" r="2540" b="13970"/>
            <wp:docPr id="5" name="图片 5" descr="补充图，突变体与WT在盐胁迫和正常情况下的差异基因火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补充图，突变体与WT在盐胁迫和正常情况下的差异基因火山图"/>
                    <pic:cNvPicPr>
                      <a:picLocks noChangeAspect="1"/>
                    </pic:cNvPicPr>
                  </pic:nvPicPr>
                  <pic:blipFill>
                    <a:blip r:embed="rId11"/>
                    <a:stretch>
                      <a:fillRect/>
                    </a:stretch>
                  </pic:blipFill>
                  <pic:spPr>
                    <a:xfrm>
                      <a:off x="0" y="0"/>
                      <a:ext cx="5270500" cy="4420870"/>
                    </a:xfrm>
                    <a:prstGeom prst="rect">
                      <a:avLst/>
                    </a:prstGeom>
                  </pic:spPr>
                </pic:pic>
              </a:graphicData>
            </a:graphic>
          </wp:inline>
        </w:drawing>
      </w:r>
    </w:p>
    <w:p w14:paraId="260783A3">
      <w:pPr>
        <w:widowControl/>
        <w:jc w:val="left"/>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Fig.S8</w:t>
      </w:r>
      <w:r>
        <w:rPr>
          <w:rFonts w:hint="eastAsia" w:ascii="Times New Roman" w:hAnsi="Times New Roman" w:eastAsia="宋体" w:cs="Times New Roman"/>
          <w:sz w:val="20"/>
          <w:szCs w:val="20"/>
        </w:rPr>
        <w:t>-</w:t>
      </w:r>
      <w:r>
        <w:rPr>
          <w:rFonts w:ascii="Times New Roman" w:hAnsi="Times New Roman" w:eastAsia="宋体" w:cs="Times New Roman"/>
          <w:sz w:val="20"/>
          <w:szCs w:val="20"/>
        </w:rPr>
        <w:t>RNA‑seq analysis revealed the total number of differentially expressed genes (DEGs) in all plants between salt‑stress and normal conditions.</w:t>
      </w:r>
    </w:p>
    <w:p w14:paraId="607BE7A6">
      <w:pPr>
        <w:widowControl/>
        <w:jc w:val="left"/>
        <w:rPr>
          <w:rFonts w:ascii="Times New Roman" w:hAnsi="Times New Roman" w:eastAsia="宋体" w:cs="Times New Roman"/>
          <w:szCs w:val="22"/>
          <w:lang w:bidi="ar"/>
        </w:rPr>
      </w:pPr>
      <w:r>
        <w:rPr>
          <w:rFonts w:ascii="Times New Roman" w:hAnsi="Times New Roman" w:eastAsia="宋体" w:cs="Times New Roman"/>
          <w:szCs w:val="22"/>
          <w:lang w:bidi="ar"/>
        </w:rPr>
        <w:br w:type="page"/>
      </w:r>
    </w:p>
    <w:p w14:paraId="36D5CE2B">
      <w:pPr>
        <w:jc w:val="center"/>
      </w:pPr>
      <w:r>
        <w:rPr>
          <w:rFonts w:hint="eastAsia"/>
        </w:rPr>
        <w:drawing>
          <wp:inline distT="0" distB="0" distL="114300" distR="114300">
            <wp:extent cx="5247005" cy="3470275"/>
            <wp:effectExtent l="0" t="0" r="10795" b="4445"/>
            <wp:docPr id="8" name="图片 8" descr="补充图S7.GO图、差异基因交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补充图S7.GO图、差异基因交集图"/>
                    <pic:cNvPicPr>
                      <a:picLocks noChangeAspect="1"/>
                    </pic:cNvPicPr>
                  </pic:nvPicPr>
                  <pic:blipFill>
                    <a:blip r:embed="rId12"/>
                    <a:stretch>
                      <a:fillRect/>
                    </a:stretch>
                  </pic:blipFill>
                  <pic:spPr>
                    <a:xfrm>
                      <a:off x="0" y="0"/>
                      <a:ext cx="5247005" cy="3470275"/>
                    </a:xfrm>
                    <a:prstGeom prst="rect">
                      <a:avLst/>
                    </a:prstGeom>
                  </pic:spPr>
                </pic:pic>
              </a:graphicData>
            </a:graphic>
          </wp:inline>
        </w:drawing>
      </w:r>
    </w:p>
    <w:p w14:paraId="42E02B1F">
      <w:pPr>
        <w:rPr>
          <w:rFonts w:ascii="Times New Roman" w:hAnsi="Times New Roman" w:eastAsia="宋体" w:cs="Times New Roman"/>
          <w:sz w:val="20"/>
          <w:szCs w:val="20"/>
        </w:rPr>
      </w:pPr>
      <w:r>
        <w:rPr>
          <w:rFonts w:hint="eastAsia" w:ascii="Times New Roman" w:hAnsi="Times New Roman" w:eastAsia="宋体" w:cs="Times New Roman"/>
          <w:b/>
          <w:bCs/>
          <w:sz w:val="20"/>
          <w:szCs w:val="20"/>
        </w:rPr>
        <w:t>Fig.S9</w:t>
      </w:r>
      <w:r>
        <w:rPr>
          <w:rFonts w:hint="eastAsia" w:ascii="Times New Roman" w:hAnsi="Times New Roman" w:eastAsia="宋体" w:cs="Times New Roman"/>
          <w:sz w:val="20"/>
          <w:szCs w:val="20"/>
        </w:rPr>
        <w:t>-GO enrichment analysis and differential gene expression analysis of different genotypes under salt stress and normal conditions</w:t>
      </w:r>
      <w:r>
        <w:rPr>
          <w:rFonts w:hint="eastAsia" w:ascii="Times New Roman" w:hAnsi="Times New Roman" w:eastAsia="宋体" w:cs="Times New Roman"/>
          <w:sz w:val="20"/>
          <w:szCs w:val="20"/>
          <w:lang w:val="en-US" w:eastAsia="zh-CN"/>
        </w:rPr>
        <w:t xml:space="preserve">. </w:t>
      </w:r>
      <w:r>
        <w:rPr>
          <w:rFonts w:hint="default" w:ascii="Arial" w:hAnsi="Arial" w:eastAsia="宋体" w:cs="Arial"/>
          <w:b/>
          <w:bCs/>
          <w:sz w:val="21"/>
          <w:szCs w:val="21"/>
        </w:rPr>
        <w:t>(A)</w:t>
      </w:r>
      <w:r>
        <w:rPr>
          <w:rFonts w:ascii="Times New Roman" w:hAnsi="Times New Roman" w:eastAsia="宋体" w:cs="Times New Roman"/>
          <w:sz w:val="20"/>
          <w:szCs w:val="20"/>
        </w:rPr>
        <w:t xml:space="preserve"> GO pathway enrichment analysis based on RNA-seq of differentially expressed genes (DEGs) across all mutants and the WT between salt-stress and normal conditions. </w:t>
      </w:r>
      <w:r>
        <w:rPr>
          <w:rFonts w:hint="default" w:ascii="Arial" w:hAnsi="Arial" w:eastAsia="宋体" w:cs="Arial"/>
          <w:b/>
          <w:bCs/>
          <w:sz w:val="21"/>
          <w:szCs w:val="21"/>
        </w:rPr>
        <w:t>(B)</w:t>
      </w:r>
      <w:r>
        <w:rPr>
          <w:rFonts w:ascii="Times New Roman" w:hAnsi="Times New Roman" w:eastAsia="宋体" w:cs="Times New Roman"/>
          <w:sz w:val="20"/>
          <w:szCs w:val="20"/>
        </w:rPr>
        <w:t xml:space="preserve"> Total numbers of DEGs identified in each mutant line and the WT under salt stress compared to normal conditions.</w:t>
      </w:r>
    </w:p>
    <w:p w14:paraId="04238419">
      <w:pP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73040" cy="2092325"/>
            <wp:effectExtent l="0" t="0" r="0" b="10795"/>
            <wp:docPr id="14" name="图片 14" descr="补充图，三基因突变体与其他的交集upset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补充图，三基因突变体与其他的交集upset图"/>
                    <pic:cNvPicPr>
                      <a:picLocks noChangeAspect="1"/>
                    </pic:cNvPicPr>
                  </pic:nvPicPr>
                  <pic:blipFill>
                    <a:blip r:embed="rId13"/>
                    <a:stretch>
                      <a:fillRect/>
                    </a:stretch>
                  </pic:blipFill>
                  <pic:spPr>
                    <a:xfrm>
                      <a:off x="0" y="0"/>
                      <a:ext cx="5273040" cy="2092325"/>
                    </a:xfrm>
                    <a:prstGeom prst="rect">
                      <a:avLst/>
                    </a:prstGeom>
                  </pic:spPr>
                </pic:pic>
              </a:graphicData>
            </a:graphic>
          </wp:inline>
        </w:drawing>
      </w:r>
    </w:p>
    <w:p w14:paraId="6178CDB6">
      <w:pPr>
        <w:rPr>
          <w:rFonts w:ascii="Times New Roman" w:hAnsi="Times New Roman" w:eastAsia="宋体" w:cs="Times New Roman"/>
          <w:sz w:val="20"/>
          <w:szCs w:val="20"/>
        </w:rPr>
      </w:pPr>
      <w:r>
        <w:rPr>
          <w:rFonts w:hint="eastAsia" w:ascii="Times New Roman" w:hAnsi="Times New Roman" w:eastAsia="宋体" w:cs="Times New Roman"/>
          <w:b/>
          <w:bCs/>
          <w:sz w:val="20"/>
          <w:szCs w:val="20"/>
        </w:rPr>
        <w:t>Fig.S10</w:t>
      </w:r>
      <w:r>
        <w:rPr>
          <w:rFonts w:hint="eastAsia" w:ascii="Times New Roman" w:hAnsi="Times New Roman" w:eastAsia="宋体" w:cs="Times New Roman"/>
          <w:sz w:val="20"/>
          <w:szCs w:val="20"/>
        </w:rPr>
        <w:t>-</w:t>
      </w:r>
      <w:r>
        <w:rPr>
          <w:rFonts w:ascii="Times New Roman" w:hAnsi="Times New Roman" w:eastAsia="宋体" w:cs="Times New Roman"/>
          <w:sz w:val="20"/>
          <w:szCs w:val="20"/>
        </w:rPr>
        <w:t>The intersecting region of the Venn diagram (represented by the connected black dots) identifies the common responsive genes that are differentially expressed across all plant groups under salt stress versus normal conditions.</w:t>
      </w:r>
      <w:r>
        <w:rPr>
          <w:rFonts w:ascii="Times New Roman" w:hAnsi="Times New Roman" w:eastAsia="宋体" w:cs="Times New Roman"/>
          <w:sz w:val="20"/>
          <w:szCs w:val="20"/>
        </w:rPr>
        <w:br w:type="page"/>
      </w:r>
    </w:p>
    <w:p w14:paraId="7E02DB09">
      <w:pP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42560" cy="3037205"/>
            <wp:effectExtent l="0" t="0" r="0" b="10795"/>
            <wp:docPr id="15" name="图片 15" descr="补充图，盐胁迫与正常条件下各突变体与WT的差异基因韦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补充图，盐胁迫与正常条件下各突变体与WT的差异基因韦恩图"/>
                    <pic:cNvPicPr>
                      <a:picLocks noChangeAspect="1"/>
                    </pic:cNvPicPr>
                  </pic:nvPicPr>
                  <pic:blipFill>
                    <a:blip r:embed="rId14"/>
                    <a:stretch>
                      <a:fillRect/>
                    </a:stretch>
                  </pic:blipFill>
                  <pic:spPr>
                    <a:xfrm>
                      <a:off x="0" y="0"/>
                      <a:ext cx="5242560" cy="3037205"/>
                    </a:xfrm>
                    <a:prstGeom prst="rect">
                      <a:avLst/>
                    </a:prstGeom>
                  </pic:spPr>
                </pic:pic>
              </a:graphicData>
            </a:graphic>
          </wp:inline>
        </w:drawing>
      </w:r>
    </w:p>
    <w:p w14:paraId="096A102A">
      <w:pPr>
        <w:rPr>
          <w:rFonts w:ascii="Times New Roman" w:hAnsi="Times New Roman" w:eastAsia="宋体" w:cs="Times New Roman"/>
          <w:sz w:val="20"/>
          <w:szCs w:val="20"/>
        </w:rPr>
      </w:pPr>
      <w:r>
        <w:rPr>
          <w:rFonts w:hint="eastAsia" w:ascii="Times New Roman" w:hAnsi="Times New Roman" w:eastAsia="宋体" w:cs="Times New Roman"/>
          <w:b/>
          <w:bCs/>
          <w:sz w:val="20"/>
          <w:szCs w:val="20"/>
        </w:rPr>
        <w:t>Fig.S11</w:t>
      </w:r>
      <w:r>
        <w:rPr>
          <w:rFonts w:hint="eastAsia" w:ascii="Times New Roman" w:hAnsi="Times New Roman" w:eastAsia="宋体" w:cs="Times New Roman"/>
          <w:sz w:val="20"/>
          <w:szCs w:val="20"/>
        </w:rPr>
        <w:t>-Analysis of Intersecting Differentially Expressed Genes Among Genotypes Under Salt Stress</w:t>
      </w:r>
      <w:r>
        <w:rPr>
          <w:rFonts w:hint="eastAsia" w:ascii="Times New Roman" w:hAnsi="Times New Roman" w:eastAsia="宋体" w:cs="Times New Roman"/>
          <w:sz w:val="20"/>
          <w:szCs w:val="20"/>
          <w:lang w:val="en-US" w:eastAsia="zh-CN"/>
        </w:rPr>
        <w:t xml:space="preserve">. </w:t>
      </w:r>
      <w:r>
        <w:rPr>
          <w:rFonts w:hint="default" w:ascii="Arial" w:hAnsi="Arial" w:eastAsia="宋体" w:cs="Arial"/>
          <w:b/>
          <w:bCs/>
          <w:sz w:val="21"/>
          <w:szCs w:val="21"/>
        </w:rPr>
        <w:t>(A–F)</w:t>
      </w:r>
      <w:r>
        <w:rPr>
          <w:rFonts w:ascii="Times New Roman" w:hAnsi="Times New Roman" w:eastAsia="宋体" w:cs="Times New Roman"/>
          <w:sz w:val="20"/>
          <w:szCs w:val="20"/>
        </w:rPr>
        <w:t xml:space="preserve"> Number of gene differences between each mutant and the WT under salt stress compared to normal conditions.</w:t>
      </w:r>
    </w:p>
    <w:p w14:paraId="045E7472">
      <w:pP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52720" cy="1723390"/>
            <wp:effectExtent l="0" t="0" r="5080" b="13970"/>
            <wp:docPr id="24" name="图片 24" descr="补充图，转录组NHX定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补充图，转录组NHX定量"/>
                    <pic:cNvPicPr>
                      <a:picLocks noChangeAspect="1"/>
                    </pic:cNvPicPr>
                  </pic:nvPicPr>
                  <pic:blipFill>
                    <a:blip r:embed="rId15"/>
                    <a:stretch>
                      <a:fillRect/>
                    </a:stretch>
                  </pic:blipFill>
                  <pic:spPr>
                    <a:xfrm>
                      <a:off x="0" y="0"/>
                      <a:ext cx="5252720" cy="1723390"/>
                    </a:xfrm>
                    <a:prstGeom prst="rect">
                      <a:avLst/>
                    </a:prstGeom>
                  </pic:spPr>
                </pic:pic>
              </a:graphicData>
            </a:graphic>
          </wp:inline>
        </w:drawing>
      </w:r>
    </w:p>
    <w:p w14:paraId="3DCB6419">
      <w:pPr>
        <w:rPr>
          <w:rFonts w:ascii="Times New Roman" w:hAnsi="Times New Roman" w:eastAsia="宋体" w:cs="Times New Roman"/>
          <w:sz w:val="20"/>
          <w:szCs w:val="20"/>
          <w:lang w:bidi="ar"/>
        </w:rPr>
      </w:pPr>
      <w:r>
        <w:rPr>
          <w:rFonts w:hint="eastAsia" w:ascii="Times New Roman" w:hAnsi="Times New Roman" w:eastAsia="宋体" w:cs="Times New Roman"/>
          <w:b/>
          <w:bCs/>
          <w:sz w:val="20"/>
          <w:szCs w:val="20"/>
        </w:rPr>
        <w:t>Fig.S12</w:t>
      </w:r>
      <w:r>
        <w:rPr>
          <w:rFonts w:hint="eastAsia" w:ascii="Times New Roman" w:hAnsi="Times New Roman" w:eastAsia="宋体" w:cs="Times New Roman"/>
          <w:sz w:val="20"/>
          <w:szCs w:val="20"/>
        </w:rPr>
        <w:t>-</w:t>
      </w:r>
      <w:r>
        <w:rPr>
          <w:rFonts w:ascii="Times New Roman" w:hAnsi="Times New Roman" w:eastAsia="宋体" w:cs="Times New Roman"/>
          <w:sz w:val="20"/>
          <w:szCs w:val="20"/>
          <w:lang w:bidi="ar"/>
        </w:rPr>
        <w:t xml:space="preserve">Transcriptome analysis of </w:t>
      </w:r>
      <w:r>
        <w:rPr>
          <w:rFonts w:ascii="Times New Roman" w:hAnsi="Times New Roman" w:eastAsia="宋体" w:cs="Times New Roman"/>
          <w:i/>
          <w:iCs/>
          <w:sz w:val="20"/>
          <w:szCs w:val="20"/>
          <w:lang w:bidi="ar"/>
        </w:rPr>
        <w:t>OsNHX1</w:t>
      </w:r>
      <w:r>
        <w:rPr>
          <w:rFonts w:ascii="Times New Roman" w:hAnsi="Times New Roman" w:eastAsia="宋体" w:cs="Times New Roman"/>
          <w:sz w:val="20"/>
          <w:szCs w:val="20"/>
          <w:lang w:bidi="ar"/>
        </w:rPr>
        <w:t xml:space="preserve"> expression levels is presented. Values are shown as the mean ± standard deviation of three biological replicates (n = 3). Significant differences among the plant groups, as determined by one-way ANOVA, are indicated (</w:t>
      </w:r>
      <w:r>
        <w:rPr>
          <w:rFonts w:ascii="Times New Roman" w:hAnsi="Times New Roman" w:eastAsia="宋体" w:cs="Times New Roman"/>
          <w:sz w:val="20"/>
          <w:szCs w:val="20"/>
          <w:vertAlign w:val="superscript"/>
          <w:lang w:bidi="ar"/>
        </w:rPr>
        <w:t>*</w:t>
      </w:r>
      <w:r>
        <w:rPr>
          <w:rFonts w:ascii="Times New Roman" w:hAnsi="Times New Roman" w:eastAsia="宋体" w:cs="Times New Roman"/>
          <w:sz w:val="20"/>
          <w:szCs w:val="20"/>
          <w:lang w:bidi="ar"/>
        </w:rPr>
        <w:t xml:space="preserve">p &lt; 0.05, </w:t>
      </w:r>
      <w:r>
        <w:rPr>
          <w:rFonts w:ascii="Times New Roman" w:hAnsi="Times New Roman" w:eastAsia="宋体" w:cs="Times New Roman"/>
          <w:sz w:val="20"/>
          <w:szCs w:val="20"/>
          <w:vertAlign w:val="superscript"/>
          <w:lang w:bidi="ar"/>
        </w:rPr>
        <w:t>**</w:t>
      </w:r>
      <w:r>
        <w:rPr>
          <w:rFonts w:ascii="Times New Roman" w:hAnsi="Times New Roman" w:eastAsia="宋体" w:cs="Times New Roman"/>
          <w:sz w:val="20"/>
          <w:szCs w:val="20"/>
          <w:lang w:bidi="ar"/>
        </w:rPr>
        <w:t xml:space="preserve">p &lt; 0.01, </w:t>
      </w:r>
      <w:r>
        <w:rPr>
          <w:rFonts w:ascii="Times New Roman" w:hAnsi="Times New Roman" w:eastAsia="宋体" w:cs="Times New Roman"/>
          <w:sz w:val="20"/>
          <w:szCs w:val="20"/>
          <w:vertAlign w:val="superscript"/>
          <w:lang w:bidi="ar"/>
        </w:rPr>
        <w:t>***</w:t>
      </w:r>
      <w:r>
        <w:rPr>
          <w:rFonts w:ascii="Times New Roman" w:hAnsi="Times New Roman" w:eastAsia="宋体" w:cs="Times New Roman"/>
          <w:sz w:val="20"/>
          <w:szCs w:val="20"/>
          <w:lang w:bidi="ar"/>
        </w:rPr>
        <w:t>p &lt; 0.001).</w:t>
      </w:r>
    </w:p>
    <w:p w14:paraId="7326AD29">
      <w:pPr>
        <w:rPr>
          <w:rFonts w:ascii="Times New Roman" w:hAnsi="Times New Roman" w:eastAsia="宋体" w:cs="Times New Roman"/>
          <w:szCs w:val="22"/>
          <w:lang w:bidi="ar"/>
        </w:rPr>
      </w:pPr>
      <w:r>
        <w:rPr>
          <w:rFonts w:hint="eastAsia" w:ascii="Times New Roman" w:hAnsi="Times New Roman" w:eastAsia="宋体" w:cs="Times New Roman"/>
          <w:szCs w:val="22"/>
          <w:lang w:bidi="ar"/>
        </w:rPr>
        <w:br w:type="page"/>
      </w:r>
    </w:p>
    <w:p w14:paraId="2E68E535">
      <w:pPr>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58435" cy="3127375"/>
            <wp:effectExtent l="0" t="0" r="14605" b="12065"/>
            <wp:docPr id="22" name="图片 22" descr="正常条件下与WT相比差异基因火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正常条件下与WT相比差异基因火山图"/>
                    <pic:cNvPicPr>
                      <a:picLocks noChangeAspect="1"/>
                    </pic:cNvPicPr>
                  </pic:nvPicPr>
                  <pic:blipFill>
                    <a:blip r:embed="rId16"/>
                    <a:stretch>
                      <a:fillRect/>
                    </a:stretch>
                  </pic:blipFill>
                  <pic:spPr>
                    <a:xfrm>
                      <a:off x="0" y="0"/>
                      <a:ext cx="5258435" cy="3127375"/>
                    </a:xfrm>
                    <a:prstGeom prst="rect">
                      <a:avLst/>
                    </a:prstGeom>
                  </pic:spPr>
                </pic:pic>
              </a:graphicData>
            </a:graphic>
          </wp:inline>
        </w:drawing>
      </w:r>
    </w:p>
    <w:p w14:paraId="31BEDC9E">
      <w:pPr>
        <w:rPr>
          <w:rFonts w:ascii="Times New Roman" w:hAnsi="Times New Roman" w:eastAsia="宋体" w:cs="Times New Roman"/>
          <w:sz w:val="20"/>
          <w:szCs w:val="20"/>
        </w:rPr>
      </w:pPr>
      <w:r>
        <w:rPr>
          <w:rFonts w:hint="eastAsia" w:ascii="Times New Roman" w:hAnsi="Times New Roman" w:eastAsia="宋体" w:cs="Times New Roman"/>
          <w:b/>
          <w:bCs/>
          <w:sz w:val="20"/>
          <w:szCs w:val="20"/>
        </w:rPr>
        <w:t>Fig.S13</w:t>
      </w:r>
      <w:r>
        <w:rPr>
          <w:rFonts w:hint="eastAsia" w:ascii="Times New Roman" w:hAnsi="Times New Roman" w:eastAsia="宋体" w:cs="Times New Roman"/>
          <w:sz w:val="20"/>
          <w:szCs w:val="20"/>
        </w:rPr>
        <w:t>-Analysis of differentially expressed genes among genotypes under normal conditions</w:t>
      </w:r>
      <w:r>
        <w:rPr>
          <w:rFonts w:hint="eastAsia" w:ascii="Times New Roman" w:hAnsi="Times New Roman" w:eastAsia="宋体" w:cs="Times New Roman"/>
          <w:sz w:val="20"/>
          <w:szCs w:val="20"/>
          <w:lang w:val="en-US" w:eastAsia="zh-CN"/>
        </w:rPr>
        <w:t xml:space="preserve">. </w:t>
      </w:r>
      <w:r>
        <w:rPr>
          <w:rFonts w:hint="default" w:ascii="Arial" w:hAnsi="Arial" w:eastAsia="宋体" w:cs="Arial"/>
          <w:b/>
          <w:bCs/>
          <w:sz w:val="21"/>
          <w:szCs w:val="21"/>
        </w:rPr>
        <w:t xml:space="preserve">(A-F) </w:t>
      </w:r>
      <w:r>
        <w:rPr>
          <w:rFonts w:ascii="Times New Roman" w:hAnsi="Times New Roman" w:eastAsia="宋体" w:cs="Times New Roman"/>
          <w:sz w:val="20"/>
          <w:szCs w:val="20"/>
        </w:rPr>
        <w:t>Comparative analysis of differentially expressed genes (DEGs) between each mutant and the WT under normal growth conditions.</w:t>
      </w:r>
    </w:p>
    <w:p w14:paraId="05867A5D">
      <w:pPr>
        <w:rPr>
          <w:rFonts w:ascii="Times New Roman" w:hAnsi="Times New Roman" w:eastAsia="宋体" w:cs="Times New Roman"/>
        </w:rPr>
      </w:pPr>
      <w:r>
        <w:rPr>
          <w:rFonts w:ascii="Times New Roman" w:hAnsi="Times New Roman" w:eastAsia="宋体" w:cs="Times New Roman"/>
        </w:rPr>
        <w:drawing>
          <wp:inline distT="0" distB="0" distL="114300" distR="114300">
            <wp:extent cx="5269230" cy="2899410"/>
            <wp:effectExtent l="0" t="0" r="3810" b="11430"/>
            <wp:docPr id="23" name="图片 23" descr="未归一的钠离子相关基因定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归一的钠离子相关基因定量"/>
                    <pic:cNvPicPr>
                      <a:picLocks noChangeAspect="1"/>
                    </pic:cNvPicPr>
                  </pic:nvPicPr>
                  <pic:blipFill>
                    <a:blip r:embed="rId17"/>
                    <a:stretch>
                      <a:fillRect/>
                    </a:stretch>
                  </pic:blipFill>
                  <pic:spPr>
                    <a:xfrm>
                      <a:off x="0" y="0"/>
                      <a:ext cx="5269230" cy="2899410"/>
                    </a:xfrm>
                    <a:prstGeom prst="rect">
                      <a:avLst/>
                    </a:prstGeom>
                  </pic:spPr>
                </pic:pic>
              </a:graphicData>
            </a:graphic>
          </wp:inline>
        </w:drawing>
      </w:r>
    </w:p>
    <w:p w14:paraId="27C77786">
      <w:pPr>
        <w:rPr>
          <w:rFonts w:ascii="Times New Roman" w:hAnsi="Times New Roman" w:eastAsia="宋体" w:cs="Times New Roman"/>
          <w:sz w:val="20"/>
          <w:szCs w:val="20"/>
        </w:rPr>
      </w:pPr>
      <w:r>
        <w:rPr>
          <w:rFonts w:hint="eastAsia" w:ascii="Times New Roman" w:hAnsi="Times New Roman" w:eastAsia="宋体" w:cs="Times New Roman"/>
          <w:b/>
          <w:bCs/>
          <w:sz w:val="20"/>
          <w:szCs w:val="20"/>
        </w:rPr>
        <w:t>Fig.S14</w:t>
      </w:r>
      <w:r>
        <w:rPr>
          <w:rFonts w:hint="eastAsia" w:ascii="Times New Roman" w:hAnsi="Times New Roman" w:eastAsia="宋体" w:cs="Times New Roman"/>
          <w:sz w:val="20"/>
          <w:szCs w:val="20"/>
        </w:rPr>
        <w:t>-RT-qPCR Analysis of Salt Stress Response Genes</w:t>
      </w:r>
      <w:r>
        <w:rPr>
          <w:rFonts w:hint="eastAsia" w:ascii="Times New Roman" w:hAnsi="Times New Roman" w:eastAsia="宋体" w:cs="Times New Roman"/>
          <w:sz w:val="20"/>
          <w:szCs w:val="20"/>
          <w:lang w:val="en-US" w:eastAsia="zh-CN"/>
        </w:rPr>
        <w:t xml:space="preserve">. </w:t>
      </w:r>
      <w:r>
        <w:rPr>
          <w:rFonts w:hint="default" w:ascii="Arial" w:hAnsi="Arial" w:eastAsia="宋体" w:cs="Arial"/>
          <w:b/>
          <w:bCs/>
          <w:sz w:val="21"/>
          <w:szCs w:val="21"/>
        </w:rPr>
        <w:t>(A-I)</w:t>
      </w:r>
      <w:r>
        <w:rPr>
          <w:rFonts w:ascii="Times New Roman" w:hAnsi="Times New Roman" w:eastAsia="宋体" w:cs="Times New Roman"/>
          <w:sz w:val="20"/>
          <w:szCs w:val="20"/>
        </w:rPr>
        <w:t xml:space="preserve"> Expression profiles of key sodium ion transporters and antioxidant enzymes across all plant lines at 0 h and after 24 h of treatment with 1.0% NaCl. Data are presented as the mean ± standard deviation of three biological replicates (n = 3). Significant differences among the lines, as determined by one-way ANOVA, are indicated (</w:t>
      </w:r>
      <w:r>
        <w:rPr>
          <w:rFonts w:ascii="Times New Roman" w:hAnsi="Times New Roman" w:eastAsia="宋体" w:cs="Times New Roman"/>
          <w:sz w:val="20"/>
          <w:szCs w:val="20"/>
          <w:vertAlign w:val="superscript"/>
        </w:rPr>
        <w:t>*</w:t>
      </w:r>
      <w:r>
        <w:rPr>
          <w:rFonts w:ascii="Times New Roman" w:hAnsi="Times New Roman" w:eastAsia="宋体" w:cs="Times New Roman"/>
          <w:sz w:val="20"/>
          <w:szCs w:val="20"/>
        </w:rPr>
        <w:t xml:space="preserve">p &lt; 0.05, </w:t>
      </w:r>
      <w:r>
        <w:rPr>
          <w:rFonts w:ascii="Times New Roman" w:hAnsi="Times New Roman" w:eastAsia="宋体" w:cs="Times New Roman"/>
          <w:sz w:val="20"/>
          <w:szCs w:val="20"/>
          <w:vertAlign w:val="superscript"/>
        </w:rPr>
        <w:t>**</w:t>
      </w:r>
      <w:r>
        <w:rPr>
          <w:rFonts w:ascii="Times New Roman" w:hAnsi="Times New Roman" w:eastAsia="宋体" w:cs="Times New Roman"/>
          <w:sz w:val="20"/>
          <w:szCs w:val="20"/>
        </w:rPr>
        <w:t xml:space="preserve">p &lt; 0.01, </w:t>
      </w:r>
      <w:r>
        <w:rPr>
          <w:rFonts w:ascii="Times New Roman" w:hAnsi="Times New Roman" w:eastAsia="宋体" w:cs="Times New Roman"/>
          <w:sz w:val="20"/>
          <w:szCs w:val="20"/>
          <w:vertAlign w:val="superscript"/>
        </w:rPr>
        <w:t>***</w:t>
      </w:r>
      <w:r>
        <w:rPr>
          <w:rFonts w:ascii="Times New Roman" w:hAnsi="Times New Roman" w:eastAsia="宋体" w:cs="Times New Roman"/>
          <w:sz w:val="20"/>
          <w:szCs w:val="20"/>
        </w:rPr>
        <w:t>p &lt; 0.001).</w:t>
      </w:r>
    </w:p>
    <w:p w14:paraId="11B034B9">
      <w:pPr>
        <w:rPr>
          <w:rFonts w:ascii="Times New Roman" w:hAnsi="Times New Roman" w:eastAsia="宋体" w:cs="Times New Roman"/>
        </w:rPr>
      </w:pPr>
      <w:r>
        <w:rPr>
          <w:rFonts w:ascii="Times New Roman" w:hAnsi="Times New Roman" w:eastAsia="宋体" w:cs="Times New Roman"/>
        </w:rPr>
        <w:br w:type="page"/>
      </w:r>
    </w:p>
    <w:p w14:paraId="505A48DE">
      <w:pPr>
        <w:jc w:val="left"/>
        <w:rPr>
          <w:rFonts w:ascii="Times New Roman" w:hAnsi="Times New Roman" w:eastAsia="宋体" w:cs="Times New Roman"/>
          <w:sz w:val="20"/>
          <w:szCs w:val="20"/>
          <w:lang w:bidi="ar"/>
        </w:rPr>
      </w:pPr>
      <w:r>
        <w:rPr>
          <w:rFonts w:hint="eastAsia" w:ascii="Times New Roman" w:hAnsi="Times New Roman" w:eastAsia="宋体" w:cs="Times New Roman"/>
          <w:sz w:val="20"/>
          <w:szCs w:val="20"/>
          <w:lang w:bidi="ar"/>
        </w:rPr>
        <w:drawing>
          <wp:inline distT="0" distB="0" distL="0" distR="0">
            <wp:extent cx="5274310" cy="3400425"/>
            <wp:effectExtent l="0" t="0" r="2540" b="9525"/>
            <wp:docPr id="9896757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75734"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400425"/>
                    </a:xfrm>
                    <a:prstGeom prst="rect">
                      <a:avLst/>
                    </a:prstGeom>
                  </pic:spPr>
                </pic:pic>
              </a:graphicData>
            </a:graphic>
          </wp:inline>
        </w:drawing>
      </w:r>
      <w:r>
        <w:rPr>
          <w:rFonts w:hint="eastAsia" w:ascii="Times New Roman" w:hAnsi="Times New Roman" w:eastAsia="宋体" w:cs="Times New Roman"/>
          <w:b/>
          <w:bCs/>
          <w:sz w:val="20"/>
          <w:szCs w:val="20"/>
        </w:rPr>
        <w:t>Fig.S15</w:t>
      </w:r>
      <w:r>
        <w:rPr>
          <w:rFonts w:hint="eastAsia" w:ascii="Times New Roman" w:hAnsi="Times New Roman" w:eastAsia="宋体" w:cs="Times New Roman"/>
          <w:sz w:val="20"/>
          <w:szCs w:val="20"/>
          <w:lang w:bidi="ar"/>
        </w:rPr>
        <w:t>-</w:t>
      </w:r>
      <w:r>
        <w:rPr>
          <w:rFonts w:hint="eastAsia" w:ascii="Times New Roman" w:hAnsi="Times New Roman" w:eastAsia="宋体" w:cs="Times New Roman"/>
          <w:i/>
          <w:iCs/>
          <w:sz w:val="20"/>
          <w:szCs w:val="20"/>
          <w:lang w:bidi="ar"/>
        </w:rPr>
        <w:t>OsWRKY53</w:t>
      </w:r>
      <w:r>
        <w:rPr>
          <w:rFonts w:hint="eastAsia" w:ascii="Times New Roman" w:hAnsi="Times New Roman" w:eastAsia="宋体" w:cs="Times New Roman"/>
          <w:sz w:val="20"/>
          <w:szCs w:val="20"/>
          <w:lang w:bidi="ar"/>
        </w:rPr>
        <w:t xml:space="preserve"> and </w:t>
      </w:r>
      <w:r>
        <w:rPr>
          <w:rFonts w:hint="eastAsia" w:ascii="Times New Roman" w:hAnsi="Times New Roman" w:eastAsia="宋体" w:cs="Times New Roman"/>
          <w:i/>
          <w:iCs/>
          <w:sz w:val="20"/>
          <w:szCs w:val="20"/>
          <w:lang w:bidi="ar"/>
        </w:rPr>
        <w:t>O</w:t>
      </w:r>
      <w:bookmarkStart w:id="0" w:name="_GoBack"/>
      <w:bookmarkEnd w:id="0"/>
      <w:r>
        <w:rPr>
          <w:rFonts w:hint="eastAsia" w:ascii="Times New Roman" w:hAnsi="Times New Roman" w:eastAsia="宋体" w:cs="Times New Roman"/>
          <w:i/>
          <w:iCs/>
          <w:sz w:val="20"/>
          <w:szCs w:val="20"/>
          <w:lang w:bidi="ar"/>
        </w:rPr>
        <w:t>sARF18</w:t>
      </w:r>
      <w:r>
        <w:rPr>
          <w:rFonts w:hint="eastAsia" w:ascii="Times New Roman" w:hAnsi="Times New Roman" w:eastAsia="宋体" w:cs="Times New Roman"/>
          <w:sz w:val="20"/>
          <w:szCs w:val="20"/>
          <w:lang w:bidi="ar"/>
        </w:rPr>
        <w:t xml:space="preserve"> physically interact.</w:t>
      </w:r>
      <w:r>
        <w:rPr>
          <w:rFonts w:hint="eastAsia" w:ascii="Times New Roman" w:hAnsi="Times New Roman" w:eastAsia="宋体" w:cs="Times New Roman"/>
          <w:sz w:val="20"/>
          <w:szCs w:val="20"/>
          <w:lang w:val="en-US" w:eastAsia="zh-CN" w:bidi="ar"/>
        </w:rPr>
        <w:t xml:space="preserve"> </w:t>
      </w:r>
      <w:r>
        <w:rPr>
          <w:rFonts w:hint="default" w:ascii="Arial" w:hAnsi="Arial" w:eastAsia="宋体" w:cs="Arial"/>
          <w:b/>
          <w:bCs/>
          <w:sz w:val="21"/>
          <w:szCs w:val="21"/>
        </w:rPr>
        <w:t>(A)</w:t>
      </w:r>
      <w:r>
        <w:rPr>
          <w:rFonts w:ascii="Times New Roman" w:hAnsi="Times New Roman" w:eastAsia="宋体" w:cs="Times New Roman"/>
          <w:sz w:val="20"/>
          <w:szCs w:val="20"/>
          <w:lang w:bidi="ar"/>
        </w:rPr>
        <w:t xml:space="preserve"> Predicted binding interface between </w:t>
      </w:r>
      <w:r>
        <w:rPr>
          <w:rFonts w:ascii="Times New Roman" w:hAnsi="Times New Roman" w:eastAsia="宋体" w:cs="Times New Roman"/>
          <w:i/>
          <w:iCs/>
          <w:sz w:val="20"/>
          <w:szCs w:val="20"/>
          <w:lang w:bidi="ar"/>
        </w:rPr>
        <w:t>OsWRKY53</w:t>
      </w:r>
      <w:r>
        <w:rPr>
          <w:rFonts w:ascii="Times New Roman" w:hAnsi="Times New Roman" w:eastAsia="宋体" w:cs="Times New Roman"/>
          <w:sz w:val="20"/>
          <w:szCs w:val="20"/>
          <w:lang w:bidi="ar"/>
        </w:rPr>
        <w:t xml:space="preserve"> and </w:t>
      </w:r>
      <w:r>
        <w:rPr>
          <w:rFonts w:ascii="Times New Roman" w:hAnsi="Times New Roman" w:eastAsia="宋体" w:cs="Times New Roman"/>
          <w:i/>
          <w:iCs/>
          <w:sz w:val="20"/>
          <w:szCs w:val="20"/>
          <w:lang w:bidi="ar"/>
        </w:rPr>
        <w:t>OsRR22</w:t>
      </w:r>
      <w:r>
        <w:rPr>
          <w:rFonts w:ascii="Times New Roman" w:hAnsi="Times New Roman" w:eastAsia="宋体" w:cs="Times New Roman"/>
          <w:sz w:val="20"/>
          <w:szCs w:val="20"/>
          <w:lang w:bidi="ar"/>
        </w:rPr>
        <w:t xml:space="preserve"> amino acids. The three-dimensional structures of </w:t>
      </w:r>
      <w:r>
        <w:rPr>
          <w:rFonts w:ascii="Times New Roman" w:hAnsi="Times New Roman" w:eastAsia="宋体" w:cs="Times New Roman"/>
          <w:i/>
          <w:iCs/>
          <w:sz w:val="20"/>
          <w:szCs w:val="20"/>
          <w:lang w:bidi="ar"/>
        </w:rPr>
        <w:t>OsWRKY53</w:t>
      </w:r>
      <w:r>
        <w:rPr>
          <w:rFonts w:ascii="Times New Roman" w:hAnsi="Times New Roman" w:eastAsia="宋体" w:cs="Times New Roman"/>
          <w:sz w:val="20"/>
          <w:szCs w:val="20"/>
          <w:lang w:bidi="ar"/>
        </w:rPr>
        <w:t xml:space="preserve"> and </w:t>
      </w:r>
      <w:r>
        <w:rPr>
          <w:rFonts w:ascii="Times New Roman" w:hAnsi="Times New Roman" w:eastAsia="宋体" w:cs="Times New Roman"/>
          <w:i/>
          <w:iCs/>
          <w:sz w:val="20"/>
          <w:szCs w:val="20"/>
          <w:lang w:bidi="ar"/>
        </w:rPr>
        <w:t>OsARF18</w:t>
      </w:r>
      <w:r>
        <w:rPr>
          <w:rFonts w:ascii="Times New Roman" w:hAnsi="Times New Roman" w:eastAsia="宋体" w:cs="Times New Roman"/>
          <w:sz w:val="20"/>
          <w:szCs w:val="20"/>
          <w:lang w:bidi="ar"/>
        </w:rPr>
        <w:t xml:space="preserve"> are shown in cyan and dark blue, respectively.</w:t>
      </w:r>
      <w:r>
        <w:rPr>
          <w:rFonts w:hint="eastAsia" w:ascii="Times New Roman" w:hAnsi="Times New Roman" w:eastAsia="宋体" w:cs="Times New Roman"/>
          <w:sz w:val="20"/>
          <w:szCs w:val="20"/>
          <w:lang w:bidi="ar"/>
        </w:rPr>
        <w:t xml:space="preserve"> </w:t>
      </w:r>
      <w:r>
        <w:rPr>
          <w:rFonts w:hint="default" w:ascii="Arial" w:hAnsi="Arial" w:eastAsia="宋体" w:cs="Arial"/>
          <w:b/>
          <w:bCs/>
          <w:sz w:val="21"/>
          <w:szCs w:val="21"/>
        </w:rPr>
        <w:t>(B)</w:t>
      </w:r>
      <w:r>
        <w:rPr>
          <w:rFonts w:ascii="Times New Roman" w:hAnsi="Times New Roman" w:eastAsia="宋体" w:cs="Times New Roman"/>
          <w:sz w:val="20"/>
          <w:szCs w:val="20"/>
          <w:lang w:bidi="ar"/>
        </w:rPr>
        <w:t xml:space="preserve"> Yeast two-hybrid (Y2H) assay for the interaction between </w:t>
      </w:r>
      <w:r>
        <w:rPr>
          <w:rFonts w:ascii="Times New Roman" w:hAnsi="Times New Roman" w:eastAsia="宋体" w:cs="Times New Roman"/>
          <w:i/>
          <w:iCs/>
          <w:sz w:val="20"/>
          <w:szCs w:val="20"/>
          <w:lang w:bidi="ar"/>
        </w:rPr>
        <w:t>OsWRKY53</w:t>
      </w:r>
      <w:r>
        <w:rPr>
          <w:rFonts w:ascii="Times New Roman" w:hAnsi="Times New Roman" w:eastAsia="宋体" w:cs="Times New Roman"/>
          <w:sz w:val="20"/>
          <w:szCs w:val="20"/>
          <w:lang w:bidi="ar"/>
        </w:rPr>
        <w:t xml:space="preserve"> and </w:t>
      </w:r>
      <w:r>
        <w:rPr>
          <w:rFonts w:ascii="Times New Roman" w:hAnsi="Times New Roman" w:eastAsia="宋体" w:cs="Times New Roman"/>
          <w:i/>
          <w:iCs/>
          <w:sz w:val="20"/>
          <w:szCs w:val="20"/>
          <w:lang w:bidi="ar"/>
        </w:rPr>
        <w:t>OsARF18</w:t>
      </w:r>
      <w:r>
        <w:rPr>
          <w:rFonts w:ascii="Times New Roman" w:hAnsi="Times New Roman" w:eastAsia="宋体" w:cs="Times New Roman"/>
          <w:sz w:val="20"/>
          <w:szCs w:val="20"/>
          <w:lang w:bidi="ar"/>
        </w:rPr>
        <w:t>. Yeast cells co‑transformed with pGBKT7‑</w:t>
      </w:r>
      <w:r>
        <w:rPr>
          <w:rFonts w:ascii="Times New Roman" w:hAnsi="Times New Roman" w:eastAsia="宋体" w:cs="Times New Roman"/>
          <w:i/>
          <w:iCs/>
          <w:sz w:val="20"/>
          <w:szCs w:val="20"/>
          <w:lang w:bidi="ar"/>
        </w:rPr>
        <w:t>OsARF18</w:t>
      </w:r>
      <w:r>
        <w:rPr>
          <w:rFonts w:ascii="Times New Roman" w:hAnsi="Times New Roman" w:eastAsia="宋体" w:cs="Times New Roman"/>
          <w:sz w:val="20"/>
          <w:szCs w:val="20"/>
          <w:lang w:bidi="ar"/>
        </w:rPr>
        <w:t xml:space="preserve"> (bait) and pGADT7‑</w:t>
      </w:r>
      <w:r>
        <w:rPr>
          <w:rFonts w:ascii="Times New Roman" w:hAnsi="Times New Roman" w:eastAsia="宋体" w:cs="Times New Roman"/>
          <w:i/>
          <w:iCs/>
          <w:sz w:val="20"/>
          <w:szCs w:val="20"/>
          <w:lang w:bidi="ar"/>
        </w:rPr>
        <w:t>OsWRKY53</w:t>
      </w:r>
      <w:r>
        <w:rPr>
          <w:rFonts w:ascii="Times New Roman" w:hAnsi="Times New Roman" w:eastAsia="宋体" w:cs="Times New Roman"/>
          <w:sz w:val="20"/>
          <w:szCs w:val="20"/>
          <w:lang w:bidi="ar"/>
        </w:rPr>
        <w:t xml:space="preserve"> (prey) were plated on selective media: SD/‑Trp/‑Leu (+3‑AT) and SD/‑Trp/‑Leu/‑His/‑Ade. Controls included: positive (pGBKT7‑53 + pGADT7‑T), negative (pGBKT7‑Lam + pGADT7‑T), and bait self‑activation (</w:t>
      </w:r>
      <w:r>
        <w:rPr>
          <w:rFonts w:ascii="Times New Roman" w:hAnsi="Times New Roman" w:eastAsia="宋体" w:cs="Times New Roman"/>
          <w:i/>
          <w:iCs/>
          <w:sz w:val="20"/>
          <w:szCs w:val="20"/>
          <w:lang w:bidi="ar"/>
        </w:rPr>
        <w:t>OsARF18</w:t>
      </w:r>
      <w:r>
        <w:rPr>
          <w:rFonts w:ascii="Times New Roman" w:hAnsi="Times New Roman" w:eastAsia="宋体" w:cs="Times New Roman"/>
          <w:sz w:val="20"/>
          <w:szCs w:val="20"/>
          <w:lang w:bidi="ar"/>
        </w:rPr>
        <w:t>‑pGBKT7 + pGADT7). Plates were incubated for 3–5 days.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9A7F59"/>
    <w:rsid w:val="00006AF0"/>
    <w:rsid w:val="0003794C"/>
    <w:rsid w:val="00053DCA"/>
    <w:rsid w:val="000547BF"/>
    <w:rsid w:val="000821DE"/>
    <w:rsid w:val="000C77A2"/>
    <w:rsid w:val="001B0E39"/>
    <w:rsid w:val="001B6C16"/>
    <w:rsid w:val="001C0440"/>
    <w:rsid w:val="001F2F3E"/>
    <w:rsid w:val="00215F76"/>
    <w:rsid w:val="002259FB"/>
    <w:rsid w:val="00281BF4"/>
    <w:rsid w:val="002A4DFD"/>
    <w:rsid w:val="002E79F2"/>
    <w:rsid w:val="00305C25"/>
    <w:rsid w:val="00331E20"/>
    <w:rsid w:val="00366436"/>
    <w:rsid w:val="00372F9B"/>
    <w:rsid w:val="003740D1"/>
    <w:rsid w:val="0039376A"/>
    <w:rsid w:val="003E1DBA"/>
    <w:rsid w:val="0045320F"/>
    <w:rsid w:val="00484A53"/>
    <w:rsid w:val="004A0113"/>
    <w:rsid w:val="004C7809"/>
    <w:rsid w:val="004F746C"/>
    <w:rsid w:val="00500F11"/>
    <w:rsid w:val="00564610"/>
    <w:rsid w:val="0056672A"/>
    <w:rsid w:val="00632429"/>
    <w:rsid w:val="006D57DA"/>
    <w:rsid w:val="006D7FED"/>
    <w:rsid w:val="006F361D"/>
    <w:rsid w:val="00762E0E"/>
    <w:rsid w:val="007A205C"/>
    <w:rsid w:val="007B68FD"/>
    <w:rsid w:val="007C2B24"/>
    <w:rsid w:val="007F058C"/>
    <w:rsid w:val="007F1C21"/>
    <w:rsid w:val="007F6C6F"/>
    <w:rsid w:val="0081047C"/>
    <w:rsid w:val="008A6F81"/>
    <w:rsid w:val="009174DA"/>
    <w:rsid w:val="009561A9"/>
    <w:rsid w:val="00996141"/>
    <w:rsid w:val="009D6ABE"/>
    <w:rsid w:val="00A27793"/>
    <w:rsid w:val="00A309E5"/>
    <w:rsid w:val="00A60258"/>
    <w:rsid w:val="00A6244D"/>
    <w:rsid w:val="00A8383F"/>
    <w:rsid w:val="00AB3048"/>
    <w:rsid w:val="00B0588C"/>
    <w:rsid w:val="00B20243"/>
    <w:rsid w:val="00BB2432"/>
    <w:rsid w:val="00C15B56"/>
    <w:rsid w:val="00C31478"/>
    <w:rsid w:val="00C822E4"/>
    <w:rsid w:val="00CC5D07"/>
    <w:rsid w:val="00D256B4"/>
    <w:rsid w:val="00D47BFA"/>
    <w:rsid w:val="00DE2E41"/>
    <w:rsid w:val="00E467CC"/>
    <w:rsid w:val="00E57982"/>
    <w:rsid w:val="00E70600"/>
    <w:rsid w:val="00E84D92"/>
    <w:rsid w:val="00E9397A"/>
    <w:rsid w:val="00ED2BB0"/>
    <w:rsid w:val="00EF2110"/>
    <w:rsid w:val="00F4588D"/>
    <w:rsid w:val="00FB4E7A"/>
    <w:rsid w:val="00FD7191"/>
    <w:rsid w:val="01101675"/>
    <w:rsid w:val="027D71DE"/>
    <w:rsid w:val="034159D0"/>
    <w:rsid w:val="035B12CD"/>
    <w:rsid w:val="04447FB3"/>
    <w:rsid w:val="06FE6B3F"/>
    <w:rsid w:val="084E7652"/>
    <w:rsid w:val="09866978"/>
    <w:rsid w:val="09D516AE"/>
    <w:rsid w:val="0AEE2A27"/>
    <w:rsid w:val="0B094FB3"/>
    <w:rsid w:val="0B2428ED"/>
    <w:rsid w:val="0B5605CC"/>
    <w:rsid w:val="0C2F779B"/>
    <w:rsid w:val="0CF32576"/>
    <w:rsid w:val="0D4C1C87"/>
    <w:rsid w:val="0DC108C7"/>
    <w:rsid w:val="12C0114D"/>
    <w:rsid w:val="14DB04C0"/>
    <w:rsid w:val="15F01B6D"/>
    <w:rsid w:val="18A64941"/>
    <w:rsid w:val="1A450189"/>
    <w:rsid w:val="1C387FA6"/>
    <w:rsid w:val="1DB775F0"/>
    <w:rsid w:val="1DDE692B"/>
    <w:rsid w:val="1E9A7F59"/>
    <w:rsid w:val="1F07716A"/>
    <w:rsid w:val="22317971"/>
    <w:rsid w:val="22853819"/>
    <w:rsid w:val="24455956"/>
    <w:rsid w:val="25CD5C03"/>
    <w:rsid w:val="263537A8"/>
    <w:rsid w:val="270C4509"/>
    <w:rsid w:val="28261C25"/>
    <w:rsid w:val="28335AC5"/>
    <w:rsid w:val="2A1C0F07"/>
    <w:rsid w:val="2F666780"/>
    <w:rsid w:val="304271ED"/>
    <w:rsid w:val="30E20088"/>
    <w:rsid w:val="31A324DE"/>
    <w:rsid w:val="320A7897"/>
    <w:rsid w:val="33044C2E"/>
    <w:rsid w:val="34A43FD3"/>
    <w:rsid w:val="35696FCA"/>
    <w:rsid w:val="36541A28"/>
    <w:rsid w:val="38213B8C"/>
    <w:rsid w:val="38D330D8"/>
    <w:rsid w:val="39677CC5"/>
    <w:rsid w:val="3B561D9F"/>
    <w:rsid w:val="3BDC6B19"/>
    <w:rsid w:val="3D251A29"/>
    <w:rsid w:val="3DD35929"/>
    <w:rsid w:val="3E1D6BA4"/>
    <w:rsid w:val="416C5E78"/>
    <w:rsid w:val="476C396E"/>
    <w:rsid w:val="49927B74"/>
    <w:rsid w:val="49F11610"/>
    <w:rsid w:val="4D6420F9"/>
    <w:rsid w:val="51E8779D"/>
    <w:rsid w:val="524F15CA"/>
    <w:rsid w:val="52DC2732"/>
    <w:rsid w:val="5463310B"/>
    <w:rsid w:val="54F71AA5"/>
    <w:rsid w:val="550D751A"/>
    <w:rsid w:val="55B07EC1"/>
    <w:rsid w:val="56835CE6"/>
    <w:rsid w:val="57B41ECF"/>
    <w:rsid w:val="57DE0CFA"/>
    <w:rsid w:val="58A4140A"/>
    <w:rsid w:val="59B40298"/>
    <w:rsid w:val="5C036E64"/>
    <w:rsid w:val="5E203E1A"/>
    <w:rsid w:val="5E587A58"/>
    <w:rsid w:val="5EC0115A"/>
    <w:rsid w:val="604162CA"/>
    <w:rsid w:val="604F09E7"/>
    <w:rsid w:val="61B825BC"/>
    <w:rsid w:val="62E47AC9"/>
    <w:rsid w:val="63302FD5"/>
    <w:rsid w:val="640408D0"/>
    <w:rsid w:val="65750EF0"/>
    <w:rsid w:val="673E5311"/>
    <w:rsid w:val="67F81964"/>
    <w:rsid w:val="6ACB366A"/>
    <w:rsid w:val="6B2036AC"/>
    <w:rsid w:val="6E3D27C7"/>
    <w:rsid w:val="6F0E7CBF"/>
    <w:rsid w:val="70DD65D9"/>
    <w:rsid w:val="71193077"/>
    <w:rsid w:val="72031631"/>
    <w:rsid w:val="73EB5C28"/>
    <w:rsid w:val="74F00593"/>
    <w:rsid w:val="75297601"/>
    <w:rsid w:val="75E8126A"/>
    <w:rsid w:val="769907B6"/>
    <w:rsid w:val="77527E0B"/>
    <w:rsid w:val="7840538D"/>
    <w:rsid w:val="7A1F7224"/>
    <w:rsid w:val="7A786D85"/>
    <w:rsid w:val="7AC06E30"/>
    <w:rsid w:val="7ADA5881"/>
    <w:rsid w:val="7B136D89"/>
    <w:rsid w:val="7B7D4202"/>
    <w:rsid w:val="7BEB1AB4"/>
    <w:rsid w:val="7D1B3CD3"/>
    <w:rsid w:val="7EAD12A3"/>
    <w:rsid w:val="7FBD2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等线"/>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alloon Text"/>
    <w:basedOn w:val="1"/>
    <w:link w:val="10"/>
    <w:qFormat/>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批注框文本 字符"/>
    <w:basedOn w:val="8"/>
    <w:link w:val="3"/>
    <w:qFormat/>
    <w:uiPriority w:val="0"/>
    <w:rPr>
      <w:rFonts w:asciiTheme="minorHAnsi" w:hAnsiTheme="minorHAnsi" w:eastAsiaTheme="minorEastAsia" w:cstheme="minorBidi"/>
      <w:kern w:val="2"/>
      <w:sz w:val="18"/>
      <w:szCs w:val="18"/>
    </w:rPr>
  </w:style>
  <w:style w:type="character" w:customStyle="1" w:styleId="11">
    <w:name w:val="页眉 字符"/>
    <w:basedOn w:val="8"/>
    <w:link w:val="5"/>
    <w:qFormat/>
    <w:uiPriority w:val="0"/>
    <w:rPr>
      <w:rFonts w:asciiTheme="minorHAnsi" w:hAnsiTheme="minorHAnsi" w:eastAsiaTheme="minorEastAsia" w:cstheme="minorBidi"/>
      <w:kern w:val="2"/>
      <w:sz w:val="18"/>
      <w:szCs w:val="18"/>
    </w:rPr>
  </w:style>
  <w:style w:type="character" w:customStyle="1" w:styleId="12">
    <w:name w:val="页脚 字符"/>
    <w:basedOn w:val="8"/>
    <w:link w:val="4"/>
    <w:qFormat/>
    <w:uiPriority w:val="0"/>
    <w:rPr>
      <w:rFonts w:asciiTheme="minorHAnsi" w:hAnsiTheme="minorHAnsi" w:eastAsiaTheme="minorEastAsia" w:cstheme="minorBidi"/>
      <w:kern w:val="2"/>
      <w:sz w:val="18"/>
      <w:szCs w:val="18"/>
    </w:rPr>
  </w:style>
  <w:style w:type="character" w:customStyle="1" w:styleId="13">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4">
    <w:name w:val="批注主题 字符"/>
    <w:basedOn w:val="13"/>
    <w:link w:val="6"/>
    <w:qFormat/>
    <w:uiPriority w:val="0"/>
    <w:rPr>
      <w:rFonts w:asciiTheme="minorHAnsi" w:hAnsiTheme="minorHAnsi" w:eastAsiaTheme="minorEastAsia" w:cstheme="minorBidi"/>
      <w:b/>
      <w:bCs/>
      <w:kern w:val="2"/>
      <w:sz w:val="21"/>
      <w:szCs w:val="24"/>
    </w:rPr>
  </w:style>
  <w:style w:type="paragraph" w:customStyle="1" w:styleId="15">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161</Words>
  <Characters>979</Characters>
  <Lines>36</Lines>
  <Paragraphs>10</Paragraphs>
  <TotalTime>2621</TotalTime>
  <ScaleCrop>false</ScaleCrop>
  <LinksUpToDate>false</LinksUpToDate>
  <CharactersWithSpaces>1137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2025-07-20T11:19:00Z</dcterms:created>
  <dc:creator>ZzzzX.</dc:creator>
  <cp:lastModifiedBy>ZzzzX.</cp:lastModifiedBy>
  <dcterms:modified xsi:type="dcterms:W3CDTF">2026-02-01T13:52:34Z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6FD4CED9519A4F0CB55D5EC14A022DEC_13</vt:lpwstr>
  </property>
  <property fmtid="{D5CDD505-2E9C-101B-9397-08002B2CF9AE}" pid="4" name="KSOTemplateDocerSaveRecord">
    <vt:lpwstr>eyJoZGlkIjoiODhmYmVmMzczMzQxNDg0NDAxYzk4MTdmM2JhYzc1NjIiLCJ1c2VySWQiOiI3NzI5Njg3MTcifQ==</vt:lpwstr>
  </property>
</Properties>
</file>