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CE791" w14:textId="77777777" w:rsidR="009756FD" w:rsidRDefault="009756FD" w:rsidP="009756FD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Supplementary Data</w:t>
      </w:r>
    </w:p>
    <w:p w14:paraId="5C2C93D2" w14:textId="77777777" w:rsidR="009756FD" w:rsidRPr="006E3EF3" w:rsidRDefault="009756FD" w:rsidP="009756F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6E3EF3">
        <w:rPr>
          <w:rFonts w:ascii="Times New Roman" w:hAnsi="Times New Roman" w:cs="Times New Roman"/>
          <w:lang w:val="en-GB"/>
        </w:rPr>
        <w:t>HSD - Tukey results of all the analysed parameters</w:t>
      </w:r>
    </w:p>
    <w:p w14:paraId="352FB994" w14:textId="77777777" w:rsidR="009756FD" w:rsidRPr="004E3C20" w:rsidRDefault="009756FD" w:rsidP="009756FD">
      <w:pPr>
        <w:pStyle w:val="Caption"/>
        <w:keepNext/>
        <w:jc w:val="center"/>
        <w:rPr>
          <w:rFonts w:ascii="Times New Roman" w:hAnsi="Times New Roman" w:cs="Times New Roman"/>
          <w:color w:val="000000" w:themeColor="text1"/>
          <w:lang w:val="en-GB"/>
        </w:rPr>
      </w:pPr>
      <w:r w:rsidRPr="004E3C20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Table </w:t>
      </w:r>
      <w:r w:rsidRPr="004E3C20">
        <w:rPr>
          <w:rFonts w:ascii="Times New Roman" w:hAnsi="Times New Roman" w:cs="Times New Roman"/>
          <w:b/>
          <w:bCs/>
          <w:color w:val="000000" w:themeColor="text1"/>
        </w:rPr>
        <w:fldChar w:fldCharType="begin"/>
      </w:r>
      <w:r w:rsidRPr="004E3C20">
        <w:rPr>
          <w:rFonts w:ascii="Times New Roman" w:hAnsi="Times New Roman" w:cs="Times New Roman"/>
          <w:b/>
          <w:bCs/>
          <w:color w:val="000000" w:themeColor="text1"/>
          <w:lang w:val="en-GB"/>
        </w:rPr>
        <w:instrText xml:space="preserve"> SEQ Table \* ARABIC </w:instrText>
      </w:r>
      <w:r w:rsidRPr="004E3C20">
        <w:rPr>
          <w:rFonts w:ascii="Times New Roman" w:hAnsi="Times New Roman" w:cs="Times New Roman"/>
          <w:b/>
          <w:bCs/>
          <w:color w:val="000000" w:themeColor="text1"/>
        </w:rPr>
        <w:fldChar w:fldCharType="separate"/>
      </w:r>
      <w:r>
        <w:rPr>
          <w:rFonts w:ascii="Times New Roman" w:hAnsi="Times New Roman" w:cs="Times New Roman"/>
          <w:b/>
          <w:bCs/>
          <w:noProof/>
          <w:color w:val="000000" w:themeColor="text1"/>
          <w:lang w:val="en-GB"/>
        </w:rPr>
        <w:t>5</w:t>
      </w:r>
      <w:r w:rsidRPr="004E3C20">
        <w:rPr>
          <w:rFonts w:ascii="Times New Roman" w:hAnsi="Times New Roman" w:cs="Times New Roman"/>
          <w:b/>
          <w:bCs/>
          <w:color w:val="000000" w:themeColor="text1"/>
        </w:rPr>
        <w:fldChar w:fldCharType="end"/>
      </w:r>
      <w:r w:rsidRPr="004E3C20">
        <w:rPr>
          <w:rFonts w:ascii="Times New Roman" w:hAnsi="Times New Roman" w:cs="Times New Roman"/>
          <w:b/>
          <w:bCs/>
          <w:color w:val="000000" w:themeColor="text1"/>
          <w:lang w:val="en-GB"/>
        </w:rPr>
        <w:t>:</w:t>
      </w:r>
      <w:r w:rsidRPr="004E3C20">
        <w:rPr>
          <w:rFonts w:ascii="Times New Roman" w:hAnsi="Times New Roman" w:cs="Times New Roman"/>
          <w:color w:val="000000" w:themeColor="text1"/>
          <w:lang w:val="en-GB"/>
        </w:rPr>
        <w:t xml:space="preserve"> </w:t>
      </w:r>
      <w:bookmarkStart w:id="0" w:name="_Hlk211344071"/>
      <w:r w:rsidRPr="004E3C20">
        <w:rPr>
          <w:rFonts w:ascii="Times New Roman" w:hAnsi="Times New Roman" w:cs="Times New Roman"/>
          <w:color w:val="000000" w:themeColor="text1"/>
          <w:lang w:val="en-GB"/>
        </w:rPr>
        <w:t>HSD - Tukey results of all the analysed parameters</w:t>
      </w:r>
      <w:bookmarkEnd w:id="0"/>
    </w:p>
    <w:tbl>
      <w:tblPr>
        <w:tblW w:w="8647" w:type="dxa"/>
        <w:tblLook w:val="04A0" w:firstRow="1" w:lastRow="0" w:firstColumn="1" w:lastColumn="0" w:noHBand="0" w:noVBand="1"/>
      </w:tblPr>
      <w:tblGrid>
        <w:gridCol w:w="2281"/>
        <w:gridCol w:w="1023"/>
        <w:gridCol w:w="1023"/>
        <w:gridCol w:w="1023"/>
        <w:gridCol w:w="1023"/>
        <w:gridCol w:w="1158"/>
        <w:gridCol w:w="1267"/>
      </w:tblGrid>
      <w:tr w:rsidR="009756FD" w:rsidRPr="00F10320" w14:paraId="5EBA8276" w14:textId="77777777" w:rsidTr="00712A97">
        <w:trPr>
          <w:trHeight w:val="300"/>
        </w:trPr>
        <w:tc>
          <w:tcPr>
            <w:tcW w:w="228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2EF37E3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 </w:t>
            </w:r>
          </w:p>
        </w:tc>
        <w:tc>
          <w:tcPr>
            <w:tcW w:w="6366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3FC021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HSD - Tukey</w:t>
            </w:r>
          </w:p>
        </w:tc>
      </w:tr>
      <w:tr w:rsidR="009756FD" w:rsidRPr="00F10320" w14:paraId="5034CD99" w14:textId="77777777" w:rsidTr="00712A97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BDCDB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C49E4B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B140_80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969D4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B140_10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DC7E8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B258_80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AB340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B258_10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4B58EB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CTRL_80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F1D54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CTRL_10</w:t>
            </w:r>
          </w:p>
        </w:tc>
      </w:tr>
      <w:tr w:rsidR="009756FD" w:rsidRPr="00F10320" w14:paraId="42E3BC19" w14:textId="77777777" w:rsidTr="00712A97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C03543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Chl 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C7FFA4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ab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A7082E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ab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178C6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a*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B2EFE9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 xml:space="preserve">b* 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AAAF63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17389E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ab</w:t>
            </w:r>
          </w:p>
        </w:tc>
      </w:tr>
      <w:tr w:rsidR="009756FD" w:rsidRPr="00F10320" w14:paraId="27524317" w14:textId="77777777" w:rsidTr="00712A97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3D57D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Chl 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1DE0C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8050B1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48A72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5FD982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81C80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DA5741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</w:tr>
      <w:tr w:rsidR="009756FD" w:rsidRPr="00F10320" w14:paraId="24002904" w14:textId="77777777" w:rsidTr="00712A97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4811B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Carotenoids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39A1AD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C64E2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6EF77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D9F5E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A7ABCC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7671FF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</w:tr>
      <w:tr w:rsidR="009756FD" w:rsidRPr="00F10320" w14:paraId="58487B04" w14:textId="77777777" w:rsidTr="00712A97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324F14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Athocianins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1076D3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AB5E36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A041F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8D168A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6A0F2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794492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</w:tr>
      <w:tr w:rsidR="009756FD" w:rsidRPr="00F10320" w14:paraId="7DD56FF8" w14:textId="77777777" w:rsidTr="00712A97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A42A75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Performance Index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DBAD3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F4EEEB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E8509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C2980B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F9584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27D9A4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</w:tr>
      <w:tr w:rsidR="009756FD" w:rsidRPr="00F10320" w14:paraId="2C1ADAED" w14:textId="77777777" w:rsidTr="00712A97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3585FE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Stomatal Conductance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20F5B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 xml:space="preserve">b*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F3E4BB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 xml:space="preserve">b*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9ADDE1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ab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EFBFF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b*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5637C2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a*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A5EA50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b*</w:t>
            </w:r>
          </w:p>
        </w:tc>
      </w:tr>
      <w:tr w:rsidR="009756FD" w:rsidRPr="00F10320" w14:paraId="450B523E" w14:textId="77777777" w:rsidTr="00712A97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D841A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CO2 Fixation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D1904B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ab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996597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ab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DB0B40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ab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4B7556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ab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12AFA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a*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3A7E48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b*</w:t>
            </w:r>
          </w:p>
        </w:tc>
      </w:tr>
      <w:tr w:rsidR="009756FD" w:rsidRPr="00F10320" w14:paraId="11E6DF41" w14:textId="77777777" w:rsidTr="00712A97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EF64E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Total Soluble Sugars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1BE9BF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3354D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0C0FD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78609B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1F0B13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8BFE6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</w:tr>
      <w:tr w:rsidR="009756FD" w:rsidRPr="00F10320" w14:paraId="0515913B" w14:textId="77777777" w:rsidTr="00712A97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F8E76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Total Insoluble Sugars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D93A82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64773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FBF6D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2F785C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29515D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344DD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</w:tr>
      <w:tr w:rsidR="009756FD" w:rsidRPr="00F10320" w14:paraId="76C0C320" w14:textId="77777777" w:rsidTr="00712A97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127BA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Total Phenols Content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DD340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E1F6F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B8AF5A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BFB38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515FEC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9ACA3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</w:tr>
      <w:tr w:rsidR="009756FD" w:rsidRPr="00F10320" w14:paraId="5728E62E" w14:textId="77777777" w:rsidTr="00712A97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0AA1A1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A/gs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E772D5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D2AF3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57063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56413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1D0C22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76F62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</w:tr>
      <w:tr w:rsidR="009756FD" w:rsidRPr="00F10320" w14:paraId="23888806" w14:textId="77777777" w:rsidTr="00712A97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135BFC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 xml:space="preserve">Transpiration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CB441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ab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BF610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b*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B6C1F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a*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6FD6D3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ab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913658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a*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E91B5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b*</w:t>
            </w:r>
          </w:p>
        </w:tc>
      </w:tr>
      <w:tr w:rsidR="009756FD" w:rsidRPr="00F10320" w14:paraId="03E8469A" w14:textId="77777777" w:rsidTr="00712A97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D71BA8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H2O2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4CCED4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A769D6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43A3D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B2DF9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F6E05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DC7102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</w:tr>
      <w:tr w:rsidR="009756FD" w:rsidRPr="00F10320" w14:paraId="3241D682" w14:textId="77777777" w:rsidTr="00712A97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93281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O2-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326F4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3A18EF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B7A4E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EFCCAA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8B76CA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5905D7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</w:tr>
      <w:tr w:rsidR="009756FD" w:rsidRPr="00F10320" w14:paraId="161D5AEC" w14:textId="77777777" w:rsidTr="00712A97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F050E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Total Soluble Proteins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01BD07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DB8AC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624D2A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72452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90C05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CEF86D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</w:tr>
      <w:tr w:rsidR="009756FD" w:rsidRPr="00F10320" w14:paraId="776AD834" w14:textId="77777777" w:rsidTr="00712A97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35C3BB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APx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2DF62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609596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74CF2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2FB542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497A8D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EF10F9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</w:tr>
      <w:tr w:rsidR="009756FD" w:rsidRPr="00F10320" w14:paraId="00F4A1E2" w14:textId="77777777" w:rsidTr="00712A97">
        <w:trPr>
          <w:trHeight w:val="300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F53082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SOD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52E18A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b*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33DB3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ab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8302AC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c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0A6A0F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ab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9398AA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549C15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a*</w:t>
            </w:r>
          </w:p>
        </w:tc>
      </w:tr>
      <w:tr w:rsidR="009756FD" w:rsidRPr="00F10320" w14:paraId="22415B59" w14:textId="77777777" w:rsidTr="00712A97">
        <w:trPr>
          <w:trHeight w:val="315"/>
        </w:trPr>
        <w:tc>
          <w:tcPr>
            <w:tcW w:w="228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3F2FCD2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GPx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BD9D416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EAA4674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55DB0A5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64EA859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29D224B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139676B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 xml:space="preserve">a </w:t>
            </w:r>
          </w:p>
        </w:tc>
      </w:tr>
    </w:tbl>
    <w:p w14:paraId="405A3941" w14:textId="77777777" w:rsidR="009756FD" w:rsidRDefault="009756FD" w:rsidP="009756FD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605336DF" w14:textId="77777777" w:rsidR="009756FD" w:rsidRPr="006E3EF3" w:rsidRDefault="009756FD" w:rsidP="009756F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6E3EF3">
        <w:rPr>
          <w:rFonts w:ascii="Times New Roman" w:hAnsi="Times New Roman" w:cs="Times New Roman"/>
          <w:lang w:val="en-GB"/>
        </w:rPr>
        <w:t>LSD - Fisher results of all the analysed parameters</w:t>
      </w:r>
    </w:p>
    <w:p w14:paraId="736CF50E" w14:textId="77777777" w:rsidR="009756FD" w:rsidRPr="004E3C20" w:rsidRDefault="009756FD" w:rsidP="009756FD">
      <w:pPr>
        <w:pStyle w:val="Caption"/>
        <w:keepNext/>
        <w:jc w:val="center"/>
        <w:rPr>
          <w:rFonts w:ascii="Times New Roman" w:hAnsi="Times New Roman" w:cs="Times New Roman"/>
          <w:color w:val="000000" w:themeColor="text1"/>
          <w:lang w:val="en-GB"/>
        </w:rPr>
      </w:pPr>
      <w:r w:rsidRPr="004E3C20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Table </w:t>
      </w:r>
      <w:r w:rsidRPr="004E3C20">
        <w:rPr>
          <w:rFonts w:ascii="Times New Roman" w:hAnsi="Times New Roman" w:cs="Times New Roman"/>
          <w:b/>
          <w:bCs/>
          <w:color w:val="000000" w:themeColor="text1"/>
        </w:rPr>
        <w:fldChar w:fldCharType="begin"/>
      </w:r>
      <w:r w:rsidRPr="004E3C20">
        <w:rPr>
          <w:rFonts w:ascii="Times New Roman" w:hAnsi="Times New Roman" w:cs="Times New Roman"/>
          <w:b/>
          <w:bCs/>
          <w:color w:val="000000" w:themeColor="text1"/>
          <w:lang w:val="en-GB"/>
        </w:rPr>
        <w:instrText xml:space="preserve"> SEQ Table \* ARABIC </w:instrText>
      </w:r>
      <w:r w:rsidRPr="004E3C20">
        <w:rPr>
          <w:rFonts w:ascii="Times New Roman" w:hAnsi="Times New Roman" w:cs="Times New Roman"/>
          <w:b/>
          <w:bCs/>
          <w:color w:val="000000" w:themeColor="text1"/>
        </w:rPr>
        <w:fldChar w:fldCharType="separate"/>
      </w:r>
      <w:r>
        <w:rPr>
          <w:rFonts w:ascii="Times New Roman" w:hAnsi="Times New Roman" w:cs="Times New Roman"/>
          <w:b/>
          <w:bCs/>
          <w:noProof/>
          <w:color w:val="000000" w:themeColor="text1"/>
          <w:lang w:val="en-GB"/>
        </w:rPr>
        <w:t>6</w:t>
      </w:r>
      <w:r w:rsidRPr="004E3C20">
        <w:rPr>
          <w:rFonts w:ascii="Times New Roman" w:hAnsi="Times New Roman" w:cs="Times New Roman"/>
          <w:b/>
          <w:bCs/>
          <w:color w:val="000000" w:themeColor="text1"/>
        </w:rPr>
        <w:fldChar w:fldCharType="end"/>
      </w:r>
      <w:r w:rsidRPr="004E3C20">
        <w:rPr>
          <w:rFonts w:ascii="Times New Roman" w:hAnsi="Times New Roman" w:cs="Times New Roman"/>
          <w:b/>
          <w:bCs/>
          <w:color w:val="000000" w:themeColor="text1"/>
          <w:lang w:val="en-GB"/>
        </w:rPr>
        <w:t>:</w:t>
      </w:r>
      <w:r w:rsidRPr="004E3C20">
        <w:rPr>
          <w:rFonts w:ascii="Times New Roman" w:hAnsi="Times New Roman" w:cs="Times New Roman"/>
          <w:color w:val="000000" w:themeColor="text1"/>
          <w:lang w:val="en-GB"/>
        </w:rPr>
        <w:t xml:space="preserve"> LSD - Fisher results of all the analysed parameters</w:t>
      </w:r>
    </w:p>
    <w:tbl>
      <w:tblPr>
        <w:tblW w:w="8562" w:type="dxa"/>
        <w:tblLook w:val="04A0" w:firstRow="1" w:lastRow="0" w:firstColumn="1" w:lastColumn="0" w:noHBand="0" w:noVBand="1"/>
      </w:tblPr>
      <w:tblGrid>
        <w:gridCol w:w="2360"/>
        <w:gridCol w:w="1023"/>
        <w:gridCol w:w="1023"/>
        <w:gridCol w:w="1023"/>
        <w:gridCol w:w="1023"/>
        <w:gridCol w:w="1158"/>
        <w:gridCol w:w="1158"/>
      </w:tblGrid>
      <w:tr w:rsidR="009756FD" w:rsidRPr="00F10320" w14:paraId="7BA8FAFF" w14:textId="77777777" w:rsidTr="00712A97">
        <w:trPr>
          <w:trHeight w:val="300"/>
        </w:trPr>
        <w:tc>
          <w:tcPr>
            <w:tcW w:w="23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021771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 </w:t>
            </w:r>
          </w:p>
        </w:tc>
        <w:tc>
          <w:tcPr>
            <w:tcW w:w="6202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4A1F8C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LSD - Fisher</w:t>
            </w:r>
          </w:p>
        </w:tc>
      </w:tr>
      <w:tr w:rsidR="009756FD" w:rsidRPr="00F10320" w14:paraId="5EF75652" w14:textId="77777777" w:rsidTr="00712A97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2113C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BE35D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B140_80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E6C4E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B140_10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DE08D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B258_80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C507F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B258_10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B8F8B8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CTRL_80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2A89DB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CTRL_10</w:t>
            </w:r>
          </w:p>
        </w:tc>
      </w:tr>
      <w:tr w:rsidR="009756FD" w:rsidRPr="00F10320" w14:paraId="40F87322" w14:textId="77777777" w:rsidTr="00712A97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B777BB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Chl 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792903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71707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B5791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4AF811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1B8C53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E3386C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</w:t>
            </w:r>
          </w:p>
        </w:tc>
      </w:tr>
      <w:tr w:rsidR="009756FD" w:rsidRPr="00F10320" w14:paraId="58372EA6" w14:textId="77777777" w:rsidTr="00712A97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5A869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Chl b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FA7B71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5E79D7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74F423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C6C40C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5BD853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86CB6F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</w:tr>
      <w:tr w:rsidR="009756FD" w:rsidRPr="00F10320" w14:paraId="33F8EB7E" w14:textId="77777777" w:rsidTr="00712A97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58187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Carotenoids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6EF1C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FE18F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D035D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C6ED83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295A1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830F8F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</w:t>
            </w:r>
          </w:p>
        </w:tc>
      </w:tr>
      <w:tr w:rsidR="009756FD" w:rsidRPr="00F10320" w14:paraId="083BD2FB" w14:textId="77777777" w:rsidTr="00712A97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F1511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Athocianins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881448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EBF3B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B39AA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5FF292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98D47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DA626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</w:tr>
      <w:tr w:rsidR="009756FD" w:rsidRPr="00F10320" w14:paraId="4862F930" w14:textId="77777777" w:rsidTr="00712A97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98C1F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Performance Index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17028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881C7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78191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325C17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38B9C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0FD4C9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</w:tr>
      <w:tr w:rsidR="009756FD" w:rsidRPr="00F10320" w14:paraId="4AA2B873" w14:textId="77777777" w:rsidTr="00712A97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FE7BEF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Stomatal Conductance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53CF8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60B1F7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cd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980939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A6CE42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3B23C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19962B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d</w:t>
            </w:r>
          </w:p>
        </w:tc>
      </w:tr>
      <w:tr w:rsidR="009756FD" w:rsidRPr="00F10320" w14:paraId="78AE1AE5" w14:textId="77777777" w:rsidTr="00712A97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B02E5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CO2 Fixation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FAF357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563CE1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A4959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CAB5B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69B99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C18BE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c</w:t>
            </w:r>
          </w:p>
        </w:tc>
      </w:tr>
      <w:tr w:rsidR="009756FD" w:rsidRPr="00F10320" w14:paraId="142A0A06" w14:textId="77777777" w:rsidTr="00712A97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AB648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Total Soluble Sugars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3FC1FF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02254F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5E2117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283D94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CF48E3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BD228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</w:tr>
      <w:tr w:rsidR="009756FD" w:rsidRPr="00F10320" w14:paraId="135D9B95" w14:textId="77777777" w:rsidTr="00712A97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F4936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Total Insoluble Sugars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385A52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EDD8BC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09DD5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3BFD4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7324D8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5963FD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</w:t>
            </w:r>
          </w:p>
        </w:tc>
      </w:tr>
      <w:tr w:rsidR="009756FD" w:rsidRPr="00F10320" w14:paraId="66924974" w14:textId="77777777" w:rsidTr="00712A97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65F3A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Total Phenols Content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1FDB1C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58D01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9F0BF3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A1FAE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BE103E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81FB4C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</w:tr>
      <w:tr w:rsidR="009756FD" w:rsidRPr="00F10320" w14:paraId="3512F4BC" w14:textId="77777777" w:rsidTr="00712A97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18E5D9" w14:textId="77777777" w:rsidR="009756FD" w:rsidRPr="00F10320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A/gs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66F39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55E327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F83C57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FA21C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6AD11C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E4D6D9" w14:textId="77777777" w:rsidR="009756FD" w:rsidRPr="00F10320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F10320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</w:tr>
      <w:tr w:rsidR="009756FD" w:rsidRPr="00BF2B1B" w14:paraId="01A27A5C" w14:textId="77777777" w:rsidTr="00712A97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43A917" w14:textId="77777777" w:rsidR="009756FD" w:rsidRPr="00BF2B1B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lastRenderedPageBreak/>
              <w:t xml:space="preserve">Transpiration 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BA9432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bc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42EE3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bc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178371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1A831A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482B8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B79381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c</w:t>
            </w:r>
          </w:p>
        </w:tc>
      </w:tr>
      <w:tr w:rsidR="009756FD" w:rsidRPr="00BF2B1B" w14:paraId="424A1F8A" w14:textId="77777777" w:rsidTr="00712A97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3CBB44" w14:textId="77777777" w:rsidR="009756FD" w:rsidRPr="00BF2B1B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H2O2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9011D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DC7993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30AD2E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0A111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DFF47A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B2A3FE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</w:tr>
      <w:tr w:rsidR="009756FD" w:rsidRPr="00BF2B1B" w14:paraId="25EF4035" w14:textId="77777777" w:rsidTr="00712A97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A8C9ED" w14:textId="77777777" w:rsidR="009756FD" w:rsidRPr="00BF2B1B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O2-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5745F0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2F4E8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A579F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06BF8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AD0A7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035C0E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</w:tr>
      <w:tr w:rsidR="009756FD" w:rsidRPr="00BF2B1B" w14:paraId="704A6683" w14:textId="77777777" w:rsidTr="00712A97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7EF0CB" w14:textId="77777777" w:rsidR="009756FD" w:rsidRPr="00BF2B1B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Total Soluble Proteins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E876C9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21CB19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93BE6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FBBAC7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391E0F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432761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</w:tr>
      <w:tr w:rsidR="009756FD" w:rsidRPr="00BF2B1B" w14:paraId="4B59A455" w14:textId="77777777" w:rsidTr="00712A97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4BAB38" w14:textId="77777777" w:rsidR="009756FD" w:rsidRPr="00BF2B1B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APx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47874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ab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DF6C0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AFD9ED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ab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81916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73F7B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ab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B0709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ab</w:t>
            </w:r>
          </w:p>
        </w:tc>
      </w:tr>
      <w:tr w:rsidR="009756FD" w:rsidRPr="00BF2B1B" w14:paraId="4C1679C8" w14:textId="77777777" w:rsidTr="00712A97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23655" w14:textId="77777777" w:rsidR="009756FD" w:rsidRPr="00BF2B1B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SOD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EB3278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FC0C64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ab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74609F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c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AB9D30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ab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BA03B8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b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2D760B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</w:tr>
      <w:tr w:rsidR="009756FD" w:rsidRPr="00BF2B1B" w14:paraId="39F6522C" w14:textId="77777777" w:rsidTr="00712A97">
        <w:trPr>
          <w:trHeight w:val="315"/>
        </w:trPr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54ADC2E" w14:textId="77777777" w:rsidR="009756FD" w:rsidRPr="00BF2B1B" w:rsidRDefault="009756FD" w:rsidP="00712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en-GB"/>
                <w14:ligatures w14:val="none"/>
              </w:rPr>
              <w:t>GPx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3ED811D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97F1C69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C71D11F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570582B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1F35584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F24985E" w14:textId="77777777" w:rsidR="009756FD" w:rsidRPr="00BF2B1B" w:rsidRDefault="009756FD" w:rsidP="00712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</w:pPr>
            <w:r w:rsidRPr="00BF2B1B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en-GB"/>
                <w14:ligatures w14:val="none"/>
              </w:rPr>
              <w:t>a</w:t>
            </w:r>
          </w:p>
        </w:tc>
      </w:tr>
    </w:tbl>
    <w:p w14:paraId="39BB3DEC" w14:textId="77777777" w:rsidR="009756FD" w:rsidRDefault="009756FD" w:rsidP="009756FD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5F435BB4" w14:textId="77777777" w:rsidR="009756FD" w:rsidRPr="004D0C60" w:rsidRDefault="009756FD" w:rsidP="009756F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One-Way ANOVAs for the analysis of pigment synthesis</w:t>
      </w:r>
    </w:p>
    <w:p w14:paraId="3621E17B" w14:textId="77777777" w:rsidR="009756FD" w:rsidRPr="004D0C60" w:rsidRDefault="009756FD" w:rsidP="009756FD">
      <w:pPr>
        <w:keepNext/>
        <w:spacing w:line="360" w:lineRule="auto"/>
        <w:ind w:left="480"/>
        <w:rPr>
          <w:lang w:val="en-US"/>
        </w:rPr>
      </w:pPr>
      <w:r w:rsidRPr="00BF2B1B">
        <w:rPr>
          <w:rFonts w:ascii="Times New Roman" w:hAnsi="Times New Roman" w:cs="Times New Roman"/>
          <w:noProof/>
          <w:lang w:val="en-GB"/>
        </w:rPr>
        <w:drawing>
          <wp:anchor distT="0" distB="0" distL="114300" distR="114300" simplePos="0" relativeHeight="251659264" behindDoc="0" locked="0" layoutInCell="1" allowOverlap="1" wp14:anchorId="4D71E7CC" wp14:editId="25D66E54">
            <wp:simplePos x="0" y="0"/>
            <wp:positionH relativeFrom="margin">
              <wp:posOffset>288641</wp:posOffset>
            </wp:positionH>
            <wp:positionV relativeFrom="paragraph">
              <wp:posOffset>3810</wp:posOffset>
            </wp:positionV>
            <wp:extent cx="5397500" cy="3084195"/>
            <wp:effectExtent l="0" t="0" r="0" b="1905"/>
            <wp:wrapNone/>
            <wp:docPr id="1735891066" name="Picture 3" descr="A group of colorful bars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5891066" name="Picture 3" descr="A group of colorful bars  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308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CD40466" w14:textId="77777777" w:rsidR="009756FD" w:rsidRPr="004D0C60" w:rsidRDefault="009756FD" w:rsidP="009756FD">
      <w:pPr>
        <w:keepNext/>
        <w:spacing w:line="360" w:lineRule="auto"/>
        <w:ind w:left="480"/>
        <w:rPr>
          <w:lang w:val="en-US"/>
        </w:rPr>
      </w:pPr>
    </w:p>
    <w:p w14:paraId="7CB9994A" w14:textId="77777777" w:rsidR="009756FD" w:rsidRPr="004D0C60" w:rsidRDefault="009756FD" w:rsidP="009756FD">
      <w:pPr>
        <w:keepNext/>
        <w:spacing w:line="360" w:lineRule="auto"/>
        <w:ind w:left="480"/>
        <w:rPr>
          <w:lang w:val="en-US"/>
        </w:rPr>
      </w:pPr>
    </w:p>
    <w:p w14:paraId="773A9CB9" w14:textId="77777777" w:rsidR="009756FD" w:rsidRPr="004D0C60" w:rsidRDefault="009756FD" w:rsidP="009756FD">
      <w:pPr>
        <w:keepNext/>
        <w:spacing w:line="360" w:lineRule="auto"/>
        <w:ind w:left="480"/>
        <w:rPr>
          <w:lang w:val="en-US"/>
        </w:rPr>
      </w:pPr>
    </w:p>
    <w:p w14:paraId="1E9B5454" w14:textId="77777777" w:rsidR="009756FD" w:rsidRPr="004D0C60" w:rsidRDefault="009756FD" w:rsidP="009756FD">
      <w:pPr>
        <w:keepNext/>
        <w:spacing w:line="360" w:lineRule="auto"/>
        <w:ind w:left="480"/>
        <w:rPr>
          <w:lang w:val="en-US"/>
        </w:rPr>
      </w:pPr>
    </w:p>
    <w:p w14:paraId="47FEDC61" w14:textId="77777777" w:rsidR="009756FD" w:rsidRDefault="009756FD" w:rsidP="009756FD">
      <w:pPr>
        <w:keepNext/>
        <w:spacing w:line="360" w:lineRule="auto"/>
        <w:ind w:left="480"/>
        <w:rPr>
          <w:lang w:val="en-US"/>
        </w:rPr>
      </w:pPr>
    </w:p>
    <w:p w14:paraId="1759421E" w14:textId="77777777" w:rsidR="009756FD" w:rsidRDefault="009756FD" w:rsidP="009756FD">
      <w:pPr>
        <w:keepNext/>
        <w:spacing w:line="360" w:lineRule="auto"/>
        <w:ind w:left="480"/>
        <w:rPr>
          <w:lang w:val="en-US"/>
        </w:rPr>
      </w:pPr>
    </w:p>
    <w:p w14:paraId="564A3A4F" w14:textId="77777777" w:rsidR="009756FD" w:rsidRPr="004D0C60" w:rsidRDefault="009756FD" w:rsidP="009756FD">
      <w:pPr>
        <w:keepNext/>
        <w:spacing w:line="360" w:lineRule="auto"/>
        <w:ind w:left="480"/>
        <w:rPr>
          <w:lang w:val="en-US"/>
        </w:rPr>
      </w:pPr>
    </w:p>
    <w:p w14:paraId="78ABD87D" w14:textId="77777777" w:rsidR="009756FD" w:rsidRPr="004D0C60" w:rsidRDefault="009756FD" w:rsidP="009756FD">
      <w:pPr>
        <w:keepNext/>
        <w:spacing w:line="360" w:lineRule="auto"/>
        <w:ind w:left="480"/>
        <w:rPr>
          <w:lang w:val="en-US"/>
        </w:rPr>
      </w:pPr>
    </w:p>
    <w:p w14:paraId="739D33E9" w14:textId="77777777" w:rsidR="009756FD" w:rsidRDefault="009756FD" w:rsidP="009756FD">
      <w:pPr>
        <w:pStyle w:val="Caption"/>
        <w:jc w:val="both"/>
        <w:rPr>
          <w:rFonts w:ascii="Times New Roman" w:hAnsi="Times New Roman" w:cs="Times New Roman"/>
          <w:lang w:val="en-GB"/>
        </w:rPr>
      </w:pPr>
      <w:r w:rsidRPr="004D0C60">
        <w:rPr>
          <w:rFonts w:ascii="Times New Roman" w:hAnsi="Times New Roman" w:cs="Times New Roman"/>
          <w:b/>
          <w:bCs/>
          <w:color w:val="000000" w:themeColor="text1"/>
          <w:lang w:val="en-US"/>
        </w:rPr>
        <w:t xml:space="preserve">Figure </w:t>
      </w:r>
      <w:r w:rsidRPr="004D0C60">
        <w:rPr>
          <w:rFonts w:ascii="Times New Roman" w:hAnsi="Times New Roman" w:cs="Times New Roman"/>
          <w:b/>
          <w:bCs/>
          <w:color w:val="000000" w:themeColor="text1"/>
        </w:rPr>
        <w:fldChar w:fldCharType="begin"/>
      </w:r>
      <w:r w:rsidRPr="004D0C60">
        <w:rPr>
          <w:rFonts w:ascii="Times New Roman" w:hAnsi="Times New Roman" w:cs="Times New Roman"/>
          <w:b/>
          <w:bCs/>
          <w:color w:val="000000" w:themeColor="text1"/>
          <w:lang w:val="en-US"/>
        </w:rPr>
        <w:instrText xml:space="preserve"> SEQ Figure \* ARABIC </w:instrText>
      </w:r>
      <w:r w:rsidRPr="004D0C60">
        <w:rPr>
          <w:rFonts w:ascii="Times New Roman" w:hAnsi="Times New Roman" w:cs="Times New Roman"/>
          <w:b/>
          <w:bCs/>
          <w:color w:val="000000" w:themeColor="text1"/>
        </w:rPr>
        <w:fldChar w:fldCharType="separate"/>
      </w:r>
      <w:r>
        <w:rPr>
          <w:rFonts w:ascii="Times New Roman" w:hAnsi="Times New Roman" w:cs="Times New Roman"/>
          <w:b/>
          <w:bCs/>
          <w:noProof/>
          <w:color w:val="000000" w:themeColor="text1"/>
          <w:lang w:val="en-US"/>
        </w:rPr>
        <w:t>6</w:t>
      </w:r>
      <w:r w:rsidRPr="004D0C60">
        <w:rPr>
          <w:rFonts w:ascii="Times New Roman" w:hAnsi="Times New Roman" w:cs="Times New Roman"/>
          <w:b/>
          <w:bCs/>
          <w:color w:val="000000" w:themeColor="text1"/>
        </w:rPr>
        <w:fldChar w:fldCharType="end"/>
      </w:r>
      <w:r w:rsidRPr="004D0C60">
        <w:rPr>
          <w:rFonts w:ascii="Times New Roman" w:hAnsi="Times New Roman" w:cs="Times New Roman"/>
          <w:b/>
          <w:bCs/>
          <w:color w:val="000000" w:themeColor="text1"/>
          <w:lang w:val="en-US"/>
        </w:rPr>
        <w:t>:</w:t>
      </w:r>
      <w:r w:rsidRPr="004D0C60">
        <w:rPr>
          <w:color w:val="000000" w:themeColor="text1"/>
          <w:lang w:val="en-US"/>
        </w:rPr>
        <w:t xml:space="preserve"> </w:t>
      </w:r>
      <w:r w:rsidRPr="00BF2B1B">
        <w:rPr>
          <w:rFonts w:ascii="Times New Roman" w:hAnsi="Times New Roman" w:cs="Times New Roman"/>
          <w:color w:val="000000" w:themeColor="text1"/>
          <w:lang w:val="en-GB"/>
        </w:rPr>
        <w:t xml:space="preserve">One-way ANOVAs for the analysis of </w:t>
      </w:r>
      <w:r>
        <w:rPr>
          <w:rFonts w:ascii="Times New Roman" w:hAnsi="Times New Roman" w:cs="Times New Roman"/>
          <w:color w:val="000000" w:themeColor="text1"/>
          <w:lang w:val="en-GB"/>
        </w:rPr>
        <w:t>pigment synthesis</w:t>
      </w:r>
      <w:r w:rsidRPr="00BF2B1B">
        <w:rPr>
          <w:rFonts w:ascii="Times New Roman" w:hAnsi="Times New Roman" w:cs="Times New Roman"/>
          <w:color w:val="000000" w:themeColor="text1"/>
          <w:lang w:val="en-GB"/>
        </w:rPr>
        <w:t xml:space="preserve"> in potted grapevines; B140 – Myroides odoratimimus; B258 Arthrobacter </w:t>
      </w:r>
      <w:r>
        <w:rPr>
          <w:rFonts w:ascii="Times New Roman" w:hAnsi="Times New Roman" w:cs="Times New Roman"/>
          <w:color w:val="000000" w:themeColor="text1"/>
          <w:lang w:val="en-GB"/>
        </w:rPr>
        <w:t>nicotinovorans</w:t>
      </w:r>
      <w:r w:rsidRPr="00BF2B1B">
        <w:rPr>
          <w:rFonts w:ascii="Times New Roman" w:hAnsi="Times New Roman" w:cs="Times New Roman"/>
          <w:color w:val="000000" w:themeColor="text1"/>
          <w:lang w:val="en-GB"/>
        </w:rPr>
        <w:t xml:space="preserve">; CTRL – Control plants; </w:t>
      </w:r>
      <w:r>
        <w:rPr>
          <w:rFonts w:ascii="Times New Roman" w:hAnsi="Times New Roman" w:cs="Times New Roman"/>
          <w:color w:val="000000" w:themeColor="text1"/>
          <w:lang w:val="en-GB"/>
        </w:rPr>
        <w:t xml:space="preserve">Chl a – Chlorophyll a; Chl b – Chlorophyll b; </w:t>
      </w:r>
    </w:p>
    <w:p w14:paraId="70DD5F43" w14:textId="77777777" w:rsidR="009756FD" w:rsidRDefault="009756FD" w:rsidP="009756FD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779C83A6" w14:textId="77777777" w:rsidR="009756FD" w:rsidRDefault="009756FD" w:rsidP="009756FD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4A737050" w14:textId="77777777" w:rsidR="009756FD" w:rsidRDefault="009756FD" w:rsidP="009756FD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49A89463" w14:textId="77777777" w:rsidR="009756FD" w:rsidRDefault="009756FD" w:rsidP="009756FD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6351864F" w14:textId="77777777" w:rsidR="009756FD" w:rsidRDefault="009756FD" w:rsidP="009756FD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499A7790" w14:textId="77777777" w:rsidR="009756FD" w:rsidRPr="00BF2B1B" w:rsidRDefault="009756FD" w:rsidP="009756FD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45E9BA9C" w14:textId="77777777" w:rsidR="009756FD" w:rsidRPr="00BF2B1B" w:rsidRDefault="009756FD" w:rsidP="009756F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lang w:val="en-GB"/>
        </w:rPr>
      </w:pPr>
      <w:r w:rsidRPr="00BF2B1B">
        <w:rPr>
          <w:rFonts w:ascii="Times New Roman" w:hAnsi="Times New Roman" w:cs="Times New Roman"/>
          <w:lang w:val="en-GB"/>
        </w:rPr>
        <w:t>One-way ANOVAs for the analysis of stomata status and gas exchange efficiency in potted grapevines</w:t>
      </w:r>
    </w:p>
    <w:p w14:paraId="32A8D0B5" w14:textId="77777777" w:rsidR="009756FD" w:rsidRPr="00BF2B1B" w:rsidRDefault="009756FD" w:rsidP="009756FD">
      <w:pPr>
        <w:pStyle w:val="Caption"/>
        <w:jc w:val="both"/>
        <w:rPr>
          <w:rFonts w:ascii="Times New Roman" w:hAnsi="Times New Roman" w:cs="Times New Roman"/>
          <w:lang w:val="en-GB"/>
        </w:rPr>
      </w:pPr>
      <w:r w:rsidRPr="00BF2B1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E53519A" wp14:editId="4D6E468E">
            <wp:extent cx="5389245" cy="3078480"/>
            <wp:effectExtent l="0" t="0" r="1905" b="7620"/>
            <wp:docPr id="1071423734" name="Picture 2" descr="A group of colorful bars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423734" name="Picture 2" descr="A group of colorful bars  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9245" cy="3078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5B8806" w14:textId="77777777" w:rsidR="009756FD" w:rsidRPr="004D0C60" w:rsidRDefault="009756FD" w:rsidP="009756FD">
      <w:pPr>
        <w:pStyle w:val="Caption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BF2B1B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Figure </w:t>
      </w:r>
      <w:r w:rsidRPr="00BF2B1B">
        <w:rPr>
          <w:rFonts w:ascii="Times New Roman" w:hAnsi="Times New Roman" w:cs="Times New Roman"/>
          <w:b/>
          <w:bCs/>
          <w:color w:val="000000" w:themeColor="text1"/>
        </w:rPr>
        <w:fldChar w:fldCharType="begin"/>
      </w:r>
      <w:r w:rsidRPr="00BF2B1B">
        <w:rPr>
          <w:rFonts w:ascii="Times New Roman" w:hAnsi="Times New Roman" w:cs="Times New Roman"/>
          <w:b/>
          <w:bCs/>
          <w:color w:val="000000" w:themeColor="text1"/>
          <w:lang w:val="en-GB"/>
        </w:rPr>
        <w:instrText xml:space="preserve"> SEQ Figure \* ARABIC </w:instrText>
      </w:r>
      <w:r w:rsidRPr="00BF2B1B">
        <w:rPr>
          <w:rFonts w:ascii="Times New Roman" w:hAnsi="Times New Roman" w:cs="Times New Roman"/>
          <w:b/>
          <w:bCs/>
          <w:color w:val="000000" w:themeColor="text1"/>
        </w:rPr>
        <w:fldChar w:fldCharType="separate"/>
      </w:r>
      <w:r>
        <w:rPr>
          <w:rFonts w:ascii="Times New Roman" w:hAnsi="Times New Roman" w:cs="Times New Roman"/>
          <w:b/>
          <w:bCs/>
          <w:noProof/>
          <w:color w:val="000000" w:themeColor="text1"/>
          <w:lang w:val="en-GB"/>
        </w:rPr>
        <w:t>7</w:t>
      </w:r>
      <w:r w:rsidRPr="00BF2B1B">
        <w:rPr>
          <w:rFonts w:ascii="Times New Roman" w:hAnsi="Times New Roman" w:cs="Times New Roman"/>
          <w:b/>
          <w:bCs/>
          <w:color w:val="000000" w:themeColor="text1"/>
        </w:rPr>
        <w:fldChar w:fldCharType="end"/>
      </w:r>
      <w:r w:rsidRPr="00BF2B1B">
        <w:rPr>
          <w:rFonts w:ascii="Times New Roman" w:hAnsi="Times New Roman" w:cs="Times New Roman"/>
          <w:b/>
          <w:bCs/>
          <w:color w:val="000000" w:themeColor="text1"/>
          <w:lang w:val="en-GB"/>
        </w:rPr>
        <w:t>:</w:t>
      </w:r>
      <w:r w:rsidRPr="00BF2B1B">
        <w:rPr>
          <w:rFonts w:ascii="Times New Roman" w:hAnsi="Times New Roman" w:cs="Times New Roman"/>
          <w:color w:val="000000" w:themeColor="text1"/>
          <w:lang w:val="en-GB"/>
        </w:rPr>
        <w:t xml:space="preserve"> One-way ANOVAs for the analysis of stomata status and gas exchange efficiency in potted grapevines; B140 – Myroides odoratimimus; B258 Arthrobacter </w:t>
      </w:r>
      <w:r>
        <w:rPr>
          <w:rFonts w:ascii="Times New Roman" w:hAnsi="Times New Roman" w:cs="Times New Roman"/>
          <w:color w:val="000000" w:themeColor="text1"/>
          <w:lang w:val="en-GB"/>
        </w:rPr>
        <w:t>nicotinovorans</w:t>
      </w:r>
      <w:r w:rsidRPr="00BF2B1B">
        <w:rPr>
          <w:rFonts w:ascii="Times New Roman" w:hAnsi="Times New Roman" w:cs="Times New Roman"/>
          <w:color w:val="000000" w:themeColor="text1"/>
          <w:lang w:val="en-GB"/>
        </w:rPr>
        <w:t>; CTRL – Control plants; Performance index, Photosynthetic rate (A), CO</w:t>
      </w:r>
      <w:r w:rsidRPr="00BF2B1B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BF2B1B">
        <w:rPr>
          <w:rFonts w:ascii="Times New Roman" w:hAnsi="Times New Roman" w:cs="Times New Roman"/>
          <w:color w:val="000000" w:themeColor="text1"/>
          <w:lang w:val="en-GB"/>
        </w:rPr>
        <w:t xml:space="preserve"> fixation efficiency (A/gs), and stomatal conductance were measured/calculated for 10% and 80% field capacity; Different letters mean statistically different results.</w:t>
      </w:r>
    </w:p>
    <w:p w14:paraId="7F7E009A" w14:textId="77777777" w:rsidR="009756FD" w:rsidRPr="00BF2B1B" w:rsidRDefault="009756FD" w:rsidP="009756F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GB"/>
        </w:rPr>
      </w:pPr>
      <w:r w:rsidRPr="00BF2B1B">
        <w:rPr>
          <w:rFonts w:ascii="Times New Roman" w:hAnsi="Times New Roman" w:cs="Times New Roman"/>
          <w:color w:val="000000" w:themeColor="text1"/>
          <w:lang w:val="en-GB"/>
        </w:rPr>
        <w:t>Transpiration rate (E), total soluble (TSS) and insoluble sugars (TIS) quantification in potted grapevines</w:t>
      </w:r>
    </w:p>
    <w:p w14:paraId="1FEA1D84" w14:textId="77777777" w:rsidR="009756FD" w:rsidRPr="00BF2B1B" w:rsidRDefault="009756FD" w:rsidP="009756FD">
      <w:pPr>
        <w:keepNext/>
        <w:spacing w:line="360" w:lineRule="auto"/>
        <w:jc w:val="both"/>
        <w:rPr>
          <w:rFonts w:ascii="Times New Roman" w:hAnsi="Times New Roman" w:cs="Times New Roman"/>
        </w:rPr>
      </w:pPr>
      <w:r w:rsidRPr="00BF2B1B">
        <w:rPr>
          <w:rFonts w:ascii="Times New Roman" w:hAnsi="Times New Roman" w:cs="Times New Roman"/>
          <w:noProof/>
        </w:rPr>
        <w:drawing>
          <wp:inline distT="0" distB="0" distL="0" distR="0" wp14:anchorId="1A95859D" wp14:editId="75338B35">
            <wp:extent cx="5243195" cy="3182620"/>
            <wp:effectExtent l="0" t="0" r="0" b="0"/>
            <wp:docPr id="981567876" name="Picture 3" descr="A graph of different colors and numbers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1567876" name="Picture 3" descr="A graph of different colors and numbers  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3195" cy="3182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7B174F" w14:textId="77777777" w:rsidR="009756FD" w:rsidRDefault="009756FD" w:rsidP="009756FD">
      <w:pPr>
        <w:pStyle w:val="Caption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BF2B1B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Figure </w:t>
      </w:r>
      <w:r w:rsidRPr="00BF2B1B">
        <w:rPr>
          <w:rFonts w:ascii="Times New Roman" w:hAnsi="Times New Roman" w:cs="Times New Roman"/>
          <w:b/>
          <w:bCs/>
          <w:color w:val="000000" w:themeColor="text1"/>
        </w:rPr>
        <w:fldChar w:fldCharType="begin"/>
      </w:r>
      <w:r w:rsidRPr="00BF2B1B">
        <w:rPr>
          <w:rFonts w:ascii="Times New Roman" w:hAnsi="Times New Roman" w:cs="Times New Roman"/>
          <w:b/>
          <w:bCs/>
          <w:color w:val="000000" w:themeColor="text1"/>
          <w:lang w:val="en-GB"/>
        </w:rPr>
        <w:instrText xml:space="preserve"> SEQ Figure \* ARABIC </w:instrText>
      </w:r>
      <w:r w:rsidRPr="00BF2B1B">
        <w:rPr>
          <w:rFonts w:ascii="Times New Roman" w:hAnsi="Times New Roman" w:cs="Times New Roman"/>
          <w:b/>
          <w:bCs/>
          <w:color w:val="000000" w:themeColor="text1"/>
        </w:rPr>
        <w:fldChar w:fldCharType="separate"/>
      </w:r>
      <w:r>
        <w:rPr>
          <w:rFonts w:ascii="Times New Roman" w:hAnsi="Times New Roman" w:cs="Times New Roman"/>
          <w:b/>
          <w:bCs/>
          <w:noProof/>
          <w:color w:val="000000" w:themeColor="text1"/>
          <w:lang w:val="en-GB"/>
        </w:rPr>
        <w:t>8</w:t>
      </w:r>
      <w:r w:rsidRPr="00BF2B1B">
        <w:rPr>
          <w:rFonts w:ascii="Times New Roman" w:hAnsi="Times New Roman" w:cs="Times New Roman"/>
          <w:b/>
          <w:bCs/>
          <w:color w:val="000000" w:themeColor="text1"/>
        </w:rPr>
        <w:fldChar w:fldCharType="end"/>
      </w:r>
      <w:r w:rsidRPr="00BF2B1B">
        <w:rPr>
          <w:rFonts w:ascii="Times New Roman" w:hAnsi="Times New Roman" w:cs="Times New Roman"/>
          <w:b/>
          <w:bCs/>
          <w:color w:val="000000" w:themeColor="text1"/>
          <w:lang w:val="en-GB"/>
        </w:rPr>
        <w:t>:</w:t>
      </w:r>
      <w:r w:rsidRPr="00BF2B1B">
        <w:rPr>
          <w:rFonts w:ascii="Times New Roman" w:hAnsi="Times New Roman" w:cs="Times New Roman"/>
          <w:color w:val="000000" w:themeColor="text1"/>
          <w:lang w:val="en-GB"/>
        </w:rPr>
        <w:t xml:space="preserve"> Transpiration rate (E), total soluble (TSS) and insoluble sugars (TIS) quantification of plants treated with B140, B258, and control ones, in both irrigation treatments.</w:t>
      </w:r>
    </w:p>
    <w:p w14:paraId="543A210B" w14:textId="77777777" w:rsidR="009756FD" w:rsidRPr="004D0C60" w:rsidRDefault="009756FD" w:rsidP="009756FD">
      <w:pPr>
        <w:rPr>
          <w:lang w:val="en-GB"/>
        </w:rPr>
      </w:pPr>
    </w:p>
    <w:p w14:paraId="551279D6" w14:textId="77777777" w:rsidR="009756FD" w:rsidRPr="00BF2B1B" w:rsidRDefault="009756FD" w:rsidP="009756F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lang w:val="en-GB"/>
        </w:rPr>
      </w:pPr>
      <w:r w:rsidRPr="00BF2B1B">
        <w:rPr>
          <w:rFonts w:ascii="Times New Roman" w:hAnsi="Times New Roman" w:cs="Times New Roman"/>
          <w:lang w:val="en-GB"/>
        </w:rPr>
        <w:t>Quantification of Total Phenols Content, H</w:t>
      </w:r>
      <w:r w:rsidRPr="004D0C60">
        <w:rPr>
          <w:rFonts w:ascii="Times New Roman" w:hAnsi="Times New Roman" w:cs="Times New Roman"/>
          <w:vertAlign w:val="subscript"/>
          <w:lang w:val="en-GB"/>
        </w:rPr>
        <w:t>2</w:t>
      </w:r>
      <w:r w:rsidRPr="00BF2B1B">
        <w:rPr>
          <w:rFonts w:ascii="Times New Roman" w:hAnsi="Times New Roman" w:cs="Times New Roman"/>
          <w:lang w:val="en-GB"/>
        </w:rPr>
        <w:t>O</w:t>
      </w:r>
      <w:r w:rsidRPr="004D0C60">
        <w:rPr>
          <w:rFonts w:ascii="Times New Roman" w:hAnsi="Times New Roman" w:cs="Times New Roman"/>
          <w:vertAlign w:val="subscript"/>
          <w:lang w:val="en-GB"/>
        </w:rPr>
        <w:t>2</w:t>
      </w:r>
      <w:r w:rsidRPr="00BF2B1B">
        <w:rPr>
          <w:rFonts w:ascii="Times New Roman" w:hAnsi="Times New Roman" w:cs="Times New Roman"/>
          <w:lang w:val="en-GB"/>
        </w:rPr>
        <w:t xml:space="preserve"> and O</w:t>
      </w:r>
      <w:r w:rsidRPr="004D0C60">
        <w:rPr>
          <w:rFonts w:ascii="Times New Roman" w:hAnsi="Times New Roman" w:cs="Times New Roman"/>
          <w:vertAlign w:val="subscript"/>
          <w:lang w:val="en-GB"/>
        </w:rPr>
        <w:t>2</w:t>
      </w:r>
      <w:r w:rsidRPr="004D0C60">
        <w:rPr>
          <w:rFonts w:ascii="Times New Roman" w:hAnsi="Times New Roman" w:cs="Times New Roman"/>
          <w:vertAlign w:val="superscript"/>
          <w:lang w:val="en-GB"/>
        </w:rPr>
        <w:t>-</w:t>
      </w:r>
      <w:r w:rsidRPr="00BF2B1B">
        <w:rPr>
          <w:rFonts w:ascii="Times New Roman" w:hAnsi="Times New Roman" w:cs="Times New Roman"/>
          <w:lang w:val="en-GB"/>
        </w:rPr>
        <w:t xml:space="preserve"> in potted grapevines </w:t>
      </w:r>
    </w:p>
    <w:p w14:paraId="40D8F496" w14:textId="77777777" w:rsidR="009756FD" w:rsidRPr="00BF2B1B" w:rsidRDefault="009756FD" w:rsidP="009756FD">
      <w:pPr>
        <w:keepNext/>
        <w:spacing w:line="360" w:lineRule="auto"/>
        <w:jc w:val="both"/>
        <w:rPr>
          <w:rFonts w:ascii="Times New Roman" w:hAnsi="Times New Roman" w:cs="Times New Roman"/>
        </w:rPr>
      </w:pPr>
      <w:r w:rsidRPr="00BF2B1B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57072C7" wp14:editId="55F02651">
            <wp:extent cx="5397500" cy="3077845"/>
            <wp:effectExtent l="0" t="0" r="0" b="8255"/>
            <wp:docPr id="773696825" name="Picture 5" descr="A graph of different colored bars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696825" name="Picture 5" descr="A graph of different colored bars  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307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2C0345" w14:textId="77777777" w:rsidR="009756FD" w:rsidRPr="004D0C60" w:rsidRDefault="009756FD" w:rsidP="009756FD">
      <w:pPr>
        <w:pStyle w:val="Caption"/>
        <w:ind w:left="480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BF2B1B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Figure </w:t>
      </w:r>
      <w:r w:rsidRPr="00BF2B1B">
        <w:rPr>
          <w:rFonts w:ascii="Times New Roman" w:hAnsi="Times New Roman" w:cs="Times New Roman"/>
          <w:b/>
          <w:bCs/>
          <w:color w:val="000000" w:themeColor="text1"/>
        </w:rPr>
        <w:fldChar w:fldCharType="begin"/>
      </w:r>
      <w:r w:rsidRPr="00BF2B1B">
        <w:rPr>
          <w:rFonts w:ascii="Times New Roman" w:hAnsi="Times New Roman" w:cs="Times New Roman"/>
          <w:b/>
          <w:bCs/>
          <w:color w:val="000000" w:themeColor="text1"/>
          <w:lang w:val="en-GB"/>
        </w:rPr>
        <w:instrText xml:space="preserve"> SEQ Figure \* ARABIC </w:instrText>
      </w:r>
      <w:r w:rsidRPr="00BF2B1B">
        <w:rPr>
          <w:rFonts w:ascii="Times New Roman" w:hAnsi="Times New Roman" w:cs="Times New Roman"/>
          <w:b/>
          <w:bCs/>
          <w:color w:val="000000" w:themeColor="text1"/>
        </w:rPr>
        <w:fldChar w:fldCharType="separate"/>
      </w:r>
      <w:r>
        <w:rPr>
          <w:rFonts w:ascii="Times New Roman" w:hAnsi="Times New Roman" w:cs="Times New Roman"/>
          <w:b/>
          <w:bCs/>
          <w:noProof/>
          <w:color w:val="000000" w:themeColor="text1"/>
          <w:lang w:val="en-GB"/>
        </w:rPr>
        <w:t>9</w:t>
      </w:r>
      <w:r w:rsidRPr="00BF2B1B">
        <w:rPr>
          <w:rFonts w:ascii="Times New Roman" w:hAnsi="Times New Roman" w:cs="Times New Roman"/>
          <w:b/>
          <w:bCs/>
          <w:color w:val="000000" w:themeColor="text1"/>
        </w:rPr>
        <w:fldChar w:fldCharType="end"/>
      </w:r>
      <w:r w:rsidRPr="00BF2B1B">
        <w:rPr>
          <w:rFonts w:ascii="Times New Roman" w:hAnsi="Times New Roman" w:cs="Times New Roman"/>
          <w:b/>
          <w:bCs/>
          <w:color w:val="000000" w:themeColor="text1"/>
          <w:lang w:val="en-GB"/>
        </w:rPr>
        <w:t>:</w:t>
      </w:r>
      <w:r w:rsidRPr="00BF2B1B">
        <w:rPr>
          <w:rFonts w:ascii="Times New Roman" w:hAnsi="Times New Roman" w:cs="Times New Roman"/>
          <w:color w:val="000000" w:themeColor="text1"/>
          <w:lang w:val="en-GB"/>
        </w:rPr>
        <w:t xml:space="preserve"> Quantification of Total Phenols Content, </w:t>
      </w:r>
      <w:r w:rsidRPr="00BF2B1B">
        <w:rPr>
          <w:rStyle w:val="Emphasis"/>
          <w:rFonts w:ascii="Times New Roman" w:hAnsi="Times New Roman" w:cs="Times New Roman"/>
          <w:color w:val="000000" w:themeColor="text1"/>
          <w:lang w:val="en-GB"/>
        </w:rPr>
        <w:t>H</w:t>
      </w:r>
      <w:r w:rsidRPr="00BF2B1B">
        <w:rPr>
          <w:rStyle w:val="Emphasis"/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BF2B1B">
        <w:rPr>
          <w:rStyle w:val="Emphasis"/>
          <w:rFonts w:ascii="Times New Roman" w:hAnsi="Times New Roman" w:cs="Times New Roman"/>
          <w:color w:val="000000" w:themeColor="text1"/>
          <w:lang w:val="en-GB"/>
        </w:rPr>
        <w:t>O</w:t>
      </w:r>
      <w:r w:rsidRPr="00BF2B1B">
        <w:rPr>
          <w:rStyle w:val="Emphasis"/>
          <w:rFonts w:ascii="Times New Roman" w:hAnsi="Times New Roman" w:cs="Times New Roman"/>
          <w:color w:val="000000" w:themeColor="text1"/>
          <w:vertAlign w:val="subscript"/>
          <w:lang w:val="en-GB"/>
        </w:rPr>
        <w:t xml:space="preserve">2 </w:t>
      </w:r>
      <w:r w:rsidRPr="00BF2B1B">
        <w:rPr>
          <w:rStyle w:val="Emphasis"/>
          <w:rFonts w:ascii="Times New Roman" w:hAnsi="Times New Roman" w:cs="Times New Roman"/>
          <w:color w:val="000000" w:themeColor="text1"/>
          <w:lang w:val="en-GB"/>
        </w:rPr>
        <w:t>and</w:t>
      </w:r>
      <w:r w:rsidRPr="00BF2B1B">
        <w:rPr>
          <w:rFonts w:ascii="Times New Roman" w:hAnsi="Times New Roman" w:cs="Times New Roman"/>
          <w:i w:val="0"/>
          <w:iCs w:val="0"/>
          <w:color w:val="000000" w:themeColor="text1"/>
          <w:lang w:val="en-GB"/>
        </w:rPr>
        <w:t xml:space="preserve"> </w:t>
      </w:r>
      <w:r w:rsidRPr="00BF2B1B">
        <w:rPr>
          <w:rStyle w:val="Emphasis"/>
          <w:rFonts w:ascii="Times New Roman" w:hAnsi="Times New Roman" w:cs="Times New Roman"/>
          <w:color w:val="000000" w:themeColor="text1"/>
          <w:lang w:val="en-GB"/>
        </w:rPr>
        <w:t>O</w:t>
      </w:r>
      <w:r w:rsidRPr="00BF2B1B">
        <w:rPr>
          <w:rStyle w:val="Emphasis"/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BF2B1B">
        <w:rPr>
          <w:rStyle w:val="Emphasis"/>
          <w:rFonts w:ascii="Times New Roman" w:hAnsi="Times New Roman" w:cs="Times New Roman"/>
          <w:color w:val="000000" w:themeColor="text1"/>
          <w:vertAlign w:val="superscript"/>
          <w:lang w:val="en-GB"/>
        </w:rPr>
        <w:t>-</w:t>
      </w:r>
      <w:r w:rsidRPr="00BF2B1B">
        <w:rPr>
          <w:rStyle w:val="Emphasis"/>
          <w:rFonts w:ascii="Times New Roman" w:hAnsi="Times New Roman" w:cs="Times New Roman"/>
          <w:color w:val="000000" w:themeColor="text1"/>
          <w:lang w:val="en-GB"/>
        </w:rPr>
        <w:t xml:space="preserve"> in </w:t>
      </w:r>
      <w:r w:rsidRPr="00BF2B1B">
        <w:rPr>
          <w:rFonts w:ascii="Times New Roman" w:hAnsi="Times New Roman" w:cs="Times New Roman"/>
          <w:color w:val="000000" w:themeColor="text1"/>
          <w:lang w:val="en-GB"/>
        </w:rPr>
        <w:t>grapevines treated with B140, B258, and control ones, in both irrigation treatments.</w:t>
      </w:r>
    </w:p>
    <w:p w14:paraId="598653AB" w14:textId="77777777" w:rsidR="009756FD" w:rsidRPr="00BF2B1B" w:rsidRDefault="009756FD" w:rsidP="009756FD">
      <w:pPr>
        <w:pStyle w:val="ListParagraph"/>
        <w:numPr>
          <w:ilvl w:val="0"/>
          <w:numId w:val="1"/>
        </w:numPr>
        <w:tabs>
          <w:tab w:val="left" w:pos="456"/>
        </w:tabs>
        <w:rPr>
          <w:rFonts w:ascii="Times New Roman" w:hAnsi="Times New Roman" w:cs="Times New Roman"/>
          <w:lang w:val="en-GB"/>
        </w:rPr>
      </w:pPr>
      <w:r w:rsidRPr="00BF2B1B">
        <w:rPr>
          <w:rFonts w:ascii="Times New Roman" w:hAnsi="Times New Roman" w:cs="Times New Roman"/>
          <w:lang w:val="en-GB"/>
        </w:rPr>
        <w:t xml:space="preserve">Quantification of Total Soluble Proteins (TSP), Guaiacol Peroxidase (GPx), Ascorbate Peroxidase (APx), and Superoxide Dismutase (SOD) in potted grapevines </w:t>
      </w:r>
    </w:p>
    <w:p w14:paraId="1144ACA7" w14:textId="77777777" w:rsidR="009756FD" w:rsidRPr="00BF2B1B" w:rsidRDefault="009756FD" w:rsidP="009756FD">
      <w:pPr>
        <w:keepNext/>
        <w:spacing w:line="360" w:lineRule="auto"/>
        <w:jc w:val="both"/>
        <w:rPr>
          <w:rFonts w:ascii="Times New Roman" w:hAnsi="Times New Roman" w:cs="Times New Roman"/>
        </w:rPr>
      </w:pPr>
      <w:r w:rsidRPr="00BF2B1B">
        <w:rPr>
          <w:rStyle w:val="Emphasis"/>
          <w:rFonts w:ascii="Times New Roman" w:hAnsi="Times New Roman" w:cs="Times New Roman"/>
          <w:i w:val="0"/>
          <w:iCs w:val="0"/>
          <w:noProof/>
          <w:lang w:val="en-GB"/>
        </w:rPr>
        <w:drawing>
          <wp:inline distT="0" distB="0" distL="0" distR="0" wp14:anchorId="78FACC16" wp14:editId="48745FF4">
            <wp:extent cx="5369664" cy="3067050"/>
            <wp:effectExtent l="0" t="0" r="2540" b="0"/>
            <wp:docPr id="1558393898" name="Picture 2" descr="A graph of different colors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393898" name="Picture 2" descr="A graph of different colors  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256" cy="30816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A03ADE" w14:textId="77777777" w:rsidR="009756FD" w:rsidRDefault="009756FD" w:rsidP="009756FD">
      <w:pPr>
        <w:pStyle w:val="Caption"/>
        <w:jc w:val="both"/>
        <w:rPr>
          <w:rFonts w:ascii="Times New Roman" w:hAnsi="Times New Roman" w:cs="Times New Roman"/>
          <w:color w:val="000000" w:themeColor="text1"/>
          <w:lang w:val="en-GB"/>
        </w:rPr>
      </w:pPr>
      <w:r w:rsidRPr="00BF2B1B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Figure </w:t>
      </w:r>
      <w:r w:rsidRPr="00BF2B1B">
        <w:rPr>
          <w:rFonts w:ascii="Times New Roman" w:hAnsi="Times New Roman" w:cs="Times New Roman"/>
          <w:b/>
          <w:bCs/>
          <w:color w:val="000000" w:themeColor="text1"/>
        </w:rPr>
        <w:fldChar w:fldCharType="begin"/>
      </w:r>
      <w:r w:rsidRPr="00BF2B1B">
        <w:rPr>
          <w:rFonts w:ascii="Times New Roman" w:hAnsi="Times New Roman" w:cs="Times New Roman"/>
          <w:b/>
          <w:bCs/>
          <w:color w:val="000000" w:themeColor="text1"/>
          <w:lang w:val="en-GB"/>
        </w:rPr>
        <w:instrText xml:space="preserve"> SEQ Figure \* ARABIC </w:instrText>
      </w:r>
      <w:r w:rsidRPr="00BF2B1B">
        <w:rPr>
          <w:rFonts w:ascii="Times New Roman" w:hAnsi="Times New Roman" w:cs="Times New Roman"/>
          <w:b/>
          <w:bCs/>
          <w:color w:val="000000" w:themeColor="text1"/>
        </w:rPr>
        <w:fldChar w:fldCharType="separate"/>
      </w:r>
      <w:r>
        <w:rPr>
          <w:rFonts w:ascii="Times New Roman" w:hAnsi="Times New Roman" w:cs="Times New Roman"/>
          <w:b/>
          <w:bCs/>
          <w:noProof/>
          <w:color w:val="000000" w:themeColor="text1"/>
          <w:lang w:val="en-GB"/>
        </w:rPr>
        <w:t>10</w:t>
      </w:r>
      <w:r w:rsidRPr="00BF2B1B">
        <w:rPr>
          <w:rFonts w:ascii="Times New Roman" w:hAnsi="Times New Roman" w:cs="Times New Roman"/>
          <w:b/>
          <w:bCs/>
          <w:color w:val="000000" w:themeColor="text1"/>
        </w:rPr>
        <w:fldChar w:fldCharType="end"/>
      </w:r>
      <w:r w:rsidRPr="00BF2B1B">
        <w:rPr>
          <w:rFonts w:ascii="Times New Roman" w:hAnsi="Times New Roman" w:cs="Times New Roman"/>
          <w:b/>
          <w:bCs/>
          <w:color w:val="000000" w:themeColor="text1"/>
          <w:lang w:val="en-GB"/>
        </w:rPr>
        <w:t>:</w:t>
      </w:r>
      <w:r w:rsidRPr="00BF2B1B">
        <w:rPr>
          <w:rFonts w:ascii="Times New Roman" w:hAnsi="Times New Roman" w:cs="Times New Roman"/>
          <w:color w:val="000000" w:themeColor="text1"/>
          <w:lang w:val="en-GB"/>
        </w:rPr>
        <w:t xml:space="preserve"> Quantification of Total Soluble Proteins (TSP), Guaiacol Peroxidase (GPx), Ascorbate Peroxidase (APx), and Superoxide Dismutase (SOD) in grapevines treated with B140, B258, and control ones, in both irrigation treatments.</w:t>
      </w:r>
    </w:p>
    <w:p w14:paraId="27FF12F8" w14:textId="77777777" w:rsidR="009756FD" w:rsidRDefault="009756FD" w:rsidP="009756FD">
      <w:pPr>
        <w:rPr>
          <w:lang w:val="en-GB"/>
        </w:rPr>
      </w:pPr>
    </w:p>
    <w:p w14:paraId="7F877008" w14:textId="77777777" w:rsidR="009756FD" w:rsidRPr="004D0C60" w:rsidRDefault="009756FD" w:rsidP="009756FD">
      <w:pPr>
        <w:rPr>
          <w:lang w:val="en-GB"/>
        </w:rPr>
      </w:pPr>
    </w:p>
    <w:p w14:paraId="09E1EF1A" w14:textId="77777777" w:rsidR="009756FD" w:rsidRPr="00BF2B1B" w:rsidRDefault="009756FD" w:rsidP="009756FD">
      <w:pPr>
        <w:pStyle w:val="Caption"/>
        <w:jc w:val="both"/>
        <w:rPr>
          <w:rFonts w:ascii="Times New Roman" w:hAnsi="Times New Roman" w:cs="Times New Roman"/>
          <w:noProof/>
          <w:lang w:val="en-GB"/>
        </w:rPr>
      </w:pPr>
    </w:p>
    <w:p w14:paraId="3B9E663A" w14:textId="77777777" w:rsidR="009756FD" w:rsidRPr="00BF2B1B" w:rsidRDefault="009756FD" w:rsidP="009756FD">
      <w:pPr>
        <w:pStyle w:val="Caption"/>
        <w:numPr>
          <w:ilvl w:val="0"/>
          <w:numId w:val="1"/>
        </w:numPr>
        <w:jc w:val="both"/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  <w:lang w:val="en-GB"/>
        </w:rPr>
      </w:pPr>
      <w:r w:rsidRPr="00BF2B1B">
        <w:rPr>
          <w:rFonts w:ascii="Times New Roman" w:hAnsi="Times New Roman" w:cs="Times New Roman"/>
          <w:i w:val="0"/>
          <w:iCs w:val="0"/>
          <w:noProof/>
          <w:color w:val="000000" w:themeColor="text1"/>
          <w:sz w:val="22"/>
          <w:szCs w:val="22"/>
          <w:lang w:val="en-GB"/>
        </w:rPr>
        <w:t>Two-way ANOVA of the Ascorbate peroxidase concentration of the leaves of potted grapevines</w:t>
      </w:r>
    </w:p>
    <w:p w14:paraId="46C4983C" w14:textId="77777777" w:rsidR="009756FD" w:rsidRPr="00BF2B1B" w:rsidRDefault="009756FD" w:rsidP="009756FD">
      <w:pPr>
        <w:pStyle w:val="Caption"/>
        <w:keepNext/>
        <w:jc w:val="center"/>
        <w:rPr>
          <w:rFonts w:ascii="Times New Roman" w:hAnsi="Times New Roman" w:cs="Times New Roman"/>
        </w:rPr>
      </w:pPr>
      <w:r w:rsidRPr="00BF2B1B">
        <w:rPr>
          <w:rFonts w:ascii="Times New Roman" w:hAnsi="Times New Roman" w:cs="Times New Roman"/>
          <w:noProof/>
          <w:lang w:val="en-GB"/>
        </w:rPr>
        <w:lastRenderedPageBreak/>
        <w:drawing>
          <wp:inline distT="0" distB="0" distL="0" distR="0" wp14:anchorId="3391E623" wp14:editId="7F36A607">
            <wp:extent cx="3568065" cy="2725420"/>
            <wp:effectExtent l="0" t="0" r="0" b="0"/>
            <wp:docPr id="1652649035" name="Picture 5" descr="A screenshot of a video game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649035" name="Picture 5" descr="A screenshot of a video game  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065" cy="272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1157A" w14:textId="77777777" w:rsidR="009756FD" w:rsidRPr="00BF2B1B" w:rsidRDefault="009756FD" w:rsidP="009756FD">
      <w:pPr>
        <w:pStyle w:val="Caption"/>
        <w:jc w:val="center"/>
        <w:rPr>
          <w:rFonts w:ascii="Times New Roman" w:hAnsi="Times New Roman" w:cs="Times New Roman"/>
          <w:noProof/>
          <w:color w:val="000000" w:themeColor="text1"/>
          <w:lang w:val="en-GB"/>
        </w:rPr>
      </w:pPr>
      <w:r w:rsidRPr="00BF2B1B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Figure </w:t>
      </w:r>
      <w:r w:rsidRPr="00BF2B1B">
        <w:rPr>
          <w:rFonts w:ascii="Times New Roman" w:hAnsi="Times New Roman" w:cs="Times New Roman"/>
          <w:b/>
          <w:bCs/>
          <w:color w:val="000000" w:themeColor="text1"/>
        </w:rPr>
        <w:fldChar w:fldCharType="begin"/>
      </w:r>
      <w:r w:rsidRPr="00BF2B1B">
        <w:rPr>
          <w:rFonts w:ascii="Times New Roman" w:hAnsi="Times New Roman" w:cs="Times New Roman"/>
          <w:b/>
          <w:bCs/>
          <w:color w:val="000000" w:themeColor="text1"/>
          <w:lang w:val="en-GB"/>
        </w:rPr>
        <w:instrText xml:space="preserve"> SEQ Figure \* ARABIC </w:instrText>
      </w:r>
      <w:r w:rsidRPr="00BF2B1B">
        <w:rPr>
          <w:rFonts w:ascii="Times New Roman" w:hAnsi="Times New Roman" w:cs="Times New Roman"/>
          <w:b/>
          <w:bCs/>
          <w:color w:val="000000" w:themeColor="text1"/>
        </w:rPr>
        <w:fldChar w:fldCharType="separate"/>
      </w:r>
      <w:r>
        <w:rPr>
          <w:rFonts w:ascii="Times New Roman" w:hAnsi="Times New Roman" w:cs="Times New Roman"/>
          <w:b/>
          <w:bCs/>
          <w:noProof/>
          <w:color w:val="000000" w:themeColor="text1"/>
          <w:lang w:val="en-GB"/>
        </w:rPr>
        <w:t>11</w:t>
      </w:r>
      <w:r w:rsidRPr="00BF2B1B">
        <w:rPr>
          <w:rFonts w:ascii="Times New Roman" w:hAnsi="Times New Roman" w:cs="Times New Roman"/>
          <w:b/>
          <w:bCs/>
          <w:color w:val="000000" w:themeColor="text1"/>
        </w:rPr>
        <w:fldChar w:fldCharType="end"/>
      </w:r>
      <w:r w:rsidRPr="00BF2B1B">
        <w:rPr>
          <w:rFonts w:ascii="Times New Roman" w:hAnsi="Times New Roman" w:cs="Times New Roman"/>
          <w:b/>
          <w:bCs/>
          <w:color w:val="000000" w:themeColor="text1"/>
          <w:lang w:val="en-GB"/>
        </w:rPr>
        <w:t xml:space="preserve">: </w:t>
      </w:r>
      <w:r w:rsidRPr="00BF2B1B">
        <w:rPr>
          <w:rFonts w:ascii="Times New Roman" w:hAnsi="Times New Roman" w:cs="Times New Roman"/>
          <w:color w:val="000000" w:themeColor="text1"/>
          <w:lang w:val="en-GB"/>
        </w:rPr>
        <w:t>Two-way ANOVA of the Ascorbate peroxidase concentration of the leaves of potted grapevines</w:t>
      </w:r>
    </w:p>
    <w:p w14:paraId="16D5222B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375B31"/>
    <w:multiLevelType w:val="hybridMultilevel"/>
    <w:tmpl w:val="793EBD52"/>
    <w:lvl w:ilvl="0" w:tplc="8B9C66F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52429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6FD"/>
    <w:rsid w:val="002C7D54"/>
    <w:rsid w:val="0033371E"/>
    <w:rsid w:val="005C0D39"/>
    <w:rsid w:val="00622561"/>
    <w:rsid w:val="0070406C"/>
    <w:rsid w:val="00724754"/>
    <w:rsid w:val="009756FD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A2FC5"/>
  <w15:chartTrackingRefBased/>
  <w15:docId w15:val="{EC7E37C4-543F-4F4F-80D1-7B2555244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56FD"/>
    <w:pPr>
      <w:spacing w:line="259" w:lineRule="auto"/>
    </w:pPr>
    <w:rPr>
      <w:sz w:val="22"/>
      <w:szCs w:val="22"/>
      <w:lang w:val="pt-PT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56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56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56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56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56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56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56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56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56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56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56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56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56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56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56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56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56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56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56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56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56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56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56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56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56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56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56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56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56FD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9756FD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9756FD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511</Words>
  <Characters>2970</Characters>
  <Application>Microsoft Office Word</Application>
  <DocSecurity>0</DocSecurity>
  <Lines>69</Lines>
  <Paragraphs>37</Paragraphs>
  <ScaleCrop>false</ScaleCrop>
  <Company/>
  <LinksUpToDate>false</LinksUpToDate>
  <CharactersWithSpaces>3444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2026-03-17T08:11:00Z</dcterms:created>
  <dcterms:modified xsi:type="dcterms:W3CDTF">2026-03-17T08:11:00Z</dcterms:modified>
</cp:coreProperties>
</file>