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4E2CB" w14:textId="77777777" w:rsidR="00AD7955" w:rsidRDefault="00000000">
      <w:pPr>
        <w:spacing w:line="480" w:lineRule="auto"/>
        <w:jc w:val="center"/>
        <w:rPr>
          <w:rFonts w:ascii="Times New Roman" w:hAnsi="Times New Roman" w:cs="Times New Roman"/>
          <w:b/>
          <w:bCs/>
          <w:sz w:val="24"/>
          <w:szCs w:val="24"/>
        </w:rPr>
      </w:pPr>
      <w:bookmarkStart w:id="0" w:name="_Hlk210898803"/>
      <w:bookmarkStart w:id="1" w:name="_Hlk210898524"/>
      <w:r>
        <w:rPr>
          <w:rFonts w:hint="eastAsia"/>
          <w:noProof/>
        </w:rPr>
        <w:drawing>
          <wp:inline distT="0" distB="0" distL="0" distR="0" wp14:anchorId="26320BDC" wp14:editId="68FDB629">
            <wp:extent cx="5274310" cy="1492250"/>
            <wp:effectExtent l="0" t="0" r="2540" b="0"/>
            <wp:docPr id="12763518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5182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1492250"/>
                    </a:xfrm>
                    <a:prstGeom prst="rect">
                      <a:avLst/>
                    </a:prstGeom>
                    <a:noFill/>
                    <a:ln>
                      <a:noFill/>
                    </a:ln>
                  </pic:spPr>
                </pic:pic>
              </a:graphicData>
            </a:graphic>
          </wp:inline>
        </w:drawing>
      </w:r>
    </w:p>
    <w:p w14:paraId="52331FBA" w14:textId="78CB68B1" w:rsidR="0092142B" w:rsidRPr="00163C68" w:rsidRDefault="00000000" w:rsidP="00163C68">
      <w:pPr>
        <w:jc w:val="center"/>
        <w:rPr>
          <w:rFonts w:ascii="Times New Roman" w:hAnsi="Times New Roman" w:hint="eastAsia"/>
          <w:sz w:val="24"/>
          <w:szCs w:val="24"/>
        </w:rPr>
      </w:pPr>
      <w:r>
        <w:rPr>
          <w:rFonts w:ascii="Times New Roman" w:hAnsi="Times New Roman" w:cs="Times New Roman" w:hint="eastAsia"/>
          <w:b/>
          <w:bCs/>
          <w:color w:val="000000" w:themeColor="text1"/>
          <w:sz w:val="24"/>
          <w:szCs w:val="24"/>
        </w:rPr>
        <w:t>Appendix 1.</w:t>
      </w:r>
      <w:r>
        <w:rPr>
          <w:rFonts w:ascii="Times New Roman" w:hAnsi="Times New Roman" w:cs="Times New Roman" w:hint="eastAsia"/>
          <w:color w:val="000000" w:themeColor="text1"/>
          <w:sz w:val="24"/>
          <w:szCs w:val="24"/>
        </w:rPr>
        <w:t xml:space="preserve"> </w:t>
      </w:r>
      <w:r>
        <w:rPr>
          <w:rFonts w:ascii="Times New Roman" w:hAnsi="Times New Roman"/>
          <w:sz w:val="24"/>
          <w:szCs w:val="24"/>
        </w:rPr>
        <w:t>Experimental setup of the corn straw-based wastewater treatment system.</w:t>
      </w:r>
    </w:p>
    <w:p w14:paraId="53AB7F9C" w14:textId="77777777" w:rsidR="0092142B" w:rsidRPr="009A5202" w:rsidRDefault="0092142B" w:rsidP="0092142B">
      <w:pPr>
        <w:jc w:val="center"/>
        <w:rPr>
          <w:rFonts w:ascii="Times New Roman" w:hAnsi="Times New Roman" w:cs="Times New Roman"/>
          <w:sz w:val="22"/>
        </w:rPr>
      </w:pPr>
      <w:r w:rsidRPr="00395299">
        <w:rPr>
          <w:noProof/>
        </w:rPr>
        <w:drawing>
          <wp:inline distT="0" distB="0" distL="0" distR="0" wp14:anchorId="675ABBBE" wp14:editId="1EE15772">
            <wp:extent cx="5274310" cy="1511210"/>
            <wp:effectExtent l="0" t="0" r="0" b="0"/>
            <wp:docPr id="8172631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4461" r="2523"/>
                    <a:stretch>
                      <a:fillRect/>
                    </a:stretch>
                  </pic:blipFill>
                  <pic:spPr bwMode="auto">
                    <a:xfrm>
                      <a:off x="0" y="0"/>
                      <a:ext cx="5274310" cy="1511210"/>
                    </a:xfrm>
                    <a:prstGeom prst="rect">
                      <a:avLst/>
                    </a:prstGeom>
                    <a:noFill/>
                    <a:ln>
                      <a:noFill/>
                    </a:ln>
                    <a:extLst>
                      <a:ext uri="{53640926-AAD7-44D8-BBD7-CCE9431645EC}">
                        <a14:shadowObscured xmlns:a14="http://schemas.microsoft.com/office/drawing/2010/main"/>
                      </a:ext>
                    </a:extLst>
                  </pic:spPr>
                </pic:pic>
              </a:graphicData>
            </a:graphic>
          </wp:inline>
        </w:drawing>
      </w:r>
    </w:p>
    <w:p w14:paraId="05219BF5" w14:textId="2E7C3A46" w:rsidR="00EF56FA" w:rsidRPr="0092142B" w:rsidRDefault="0092142B" w:rsidP="00163C68">
      <w:pPr>
        <w:jc w:val="center"/>
        <w:rPr>
          <w:rFonts w:ascii="Times New Roman" w:hAnsi="Times New Roman" w:cs="Times New Roman" w:hint="eastAsia"/>
          <w:sz w:val="22"/>
        </w:rPr>
      </w:pPr>
      <w:bookmarkStart w:id="2" w:name="_Hlk219715921"/>
      <w:r>
        <w:rPr>
          <w:rFonts w:ascii="Times New Roman" w:hAnsi="Times New Roman" w:cs="Times New Roman" w:hint="eastAsia"/>
          <w:b/>
          <w:bCs/>
          <w:color w:val="000000" w:themeColor="text1"/>
          <w:sz w:val="24"/>
          <w:szCs w:val="24"/>
        </w:rPr>
        <w:t>Appendix 2</w:t>
      </w:r>
      <w:bookmarkEnd w:id="2"/>
      <w:r>
        <w:rPr>
          <w:rFonts w:ascii="Times New Roman" w:hAnsi="Times New Roman" w:cs="Times New Roman" w:hint="eastAsia"/>
          <w:b/>
          <w:bCs/>
          <w:color w:val="000000" w:themeColor="text1"/>
          <w:sz w:val="24"/>
          <w:szCs w:val="24"/>
        </w:rPr>
        <w:t xml:space="preserve">. </w:t>
      </w:r>
      <w:r w:rsidRPr="00B93DDC">
        <w:rPr>
          <w:rFonts w:ascii="Times New Roman" w:hAnsi="Times New Roman" w:cs="Times New Roman"/>
          <w:sz w:val="22"/>
        </w:rPr>
        <w:t>Two-way analysis of the effects of influent concentration and straw treatment on NH</w:t>
      </w:r>
      <w:r w:rsidRPr="00CA1210">
        <w:rPr>
          <w:rFonts w:ascii="Times New Roman" w:hAnsi="Times New Roman" w:cs="Times New Roman" w:hint="eastAsia"/>
          <w:sz w:val="22"/>
          <w:vertAlign w:val="subscript"/>
        </w:rPr>
        <w:t>4</w:t>
      </w:r>
      <w:r w:rsidRPr="00CA1210">
        <w:rPr>
          <w:rFonts w:ascii="Times New Roman" w:hAnsi="Times New Roman" w:cs="Times New Roman" w:hint="eastAsia"/>
          <w:sz w:val="22"/>
          <w:vertAlign w:val="superscript"/>
        </w:rPr>
        <w:t>+</w:t>
      </w:r>
      <w:r w:rsidRPr="00B93DDC">
        <w:rPr>
          <w:rFonts w:ascii="Times New Roman" w:hAnsi="Times New Roman" w:cs="Times New Roman" w:hint="eastAsia"/>
          <w:sz w:val="22"/>
        </w:rPr>
        <w:t>-</w:t>
      </w:r>
      <w:r w:rsidRPr="00B93DDC">
        <w:rPr>
          <w:rFonts w:ascii="Times New Roman" w:hAnsi="Times New Roman" w:cs="Times New Roman"/>
          <w:sz w:val="22"/>
        </w:rPr>
        <w:t>N, TN, and TP removal by corn straw.</w:t>
      </w:r>
      <w:r w:rsidRPr="00B93DDC">
        <w:rPr>
          <w:rFonts w:ascii="Times New Roman" w:hAnsi="Times New Roman" w:cs="Times New Roman" w:hint="eastAsia"/>
          <w:sz w:val="22"/>
        </w:rPr>
        <w:t xml:space="preserve"> </w:t>
      </w:r>
      <w:r w:rsidRPr="00B93DDC">
        <w:rPr>
          <w:rFonts w:ascii="Times New Roman" w:hAnsi="Times New Roman" w:cs="Times New Roman"/>
          <w:sz w:val="22"/>
        </w:rPr>
        <w:t>Here, “*” indicates significant differences among the different concentrations (</w:t>
      </w:r>
      <w:r w:rsidRPr="00B93DDC">
        <w:rPr>
          <w:rFonts w:ascii="Times New Roman" w:hAnsi="Times New Roman" w:cs="Times New Roman"/>
          <w:i/>
          <w:iCs/>
          <w:sz w:val="22"/>
        </w:rPr>
        <w:t>p</w:t>
      </w:r>
      <w:r w:rsidRPr="00B93DDC">
        <w:rPr>
          <w:rFonts w:ascii="Times New Roman" w:hAnsi="Times New Roman" w:cs="Times New Roman"/>
          <w:sz w:val="22"/>
        </w:rPr>
        <w:t xml:space="preserve"> &lt; 0.05).</w:t>
      </w:r>
    </w:p>
    <w:p w14:paraId="051B1A5D" w14:textId="2B9EF15A" w:rsidR="0092142B" w:rsidRDefault="00EF56FA" w:rsidP="00EF56FA">
      <w:pPr>
        <w:ind w:firstLineChars="200" w:firstLine="420"/>
        <w:jc w:val="center"/>
        <w:rPr>
          <w:rFonts w:ascii="Times New Roman" w:eastAsia="宋体" w:hAnsi="Times New Roman" w:cs="Times New Roman"/>
          <w:sz w:val="24"/>
          <w:szCs w:val="24"/>
          <w:lang w:bidi="ar"/>
        </w:rPr>
      </w:pPr>
      <w:r w:rsidRPr="00F8416A">
        <w:rPr>
          <w:b/>
          <w:noProof/>
        </w:rPr>
        <w:drawing>
          <wp:inline distT="0" distB="0" distL="0" distR="0" wp14:anchorId="0EF70566" wp14:editId="3D9A1F98">
            <wp:extent cx="2821940" cy="2176780"/>
            <wp:effectExtent l="0" t="0" r="0" b="0"/>
            <wp:docPr id="13989998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l="2704" t="4073" r="8919" b="6538"/>
                    <a:stretch>
                      <a:fillRect/>
                    </a:stretch>
                  </pic:blipFill>
                  <pic:spPr bwMode="auto">
                    <a:xfrm>
                      <a:off x="0" y="0"/>
                      <a:ext cx="2821940" cy="2176780"/>
                    </a:xfrm>
                    <a:prstGeom prst="rect">
                      <a:avLst/>
                    </a:prstGeom>
                    <a:noFill/>
                    <a:ln>
                      <a:noFill/>
                    </a:ln>
                  </pic:spPr>
                </pic:pic>
              </a:graphicData>
            </a:graphic>
          </wp:inline>
        </w:drawing>
      </w:r>
    </w:p>
    <w:p w14:paraId="1ECFB549" w14:textId="6ED45F87" w:rsidR="004F5320" w:rsidRDefault="00EF56FA" w:rsidP="00163C68">
      <w:pPr>
        <w:ind w:firstLineChars="200" w:firstLine="480"/>
        <w:jc w:val="center"/>
        <w:rPr>
          <w:rFonts w:ascii="Times New Roman" w:eastAsia="宋体" w:hAnsi="Times New Roman" w:cs="Times New Roman" w:hint="eastAsia"/>
          <w:sz w:val="24"/>
          <w:szCs w:val="24"/>
          <w:lang w:bidi="ar"/>
        </w:rPr>
      </w:pPr>
      <w:r>
        <w:rPr>
          <w:rFonts w:ascii="Times New Roman" w:hAnsi="Times New Roman" w:cs="Times New Roman" w:hint="eastAsia"/>
          <w:b/>
          <w:bCs/>
          <w:color w:val="000000" w:themeColor="text1"/>
          <w:sz w:val="24"/>
          <w:szCs w:val="24"/>
        </w:rPr>
        <w:t>Appendix 3.</w:t>
      </w:r>
      <w:r w:rsidRPr="00EF56FA">
        <w:t xml:space="preserve"> </w:t>
      </w:r>
      <w:r w:rsidRPr="00EF56FA">
        <w:rPr>
          <w:rFonts w:ascii="Times New Roman" w:hAnsi="Times New Roman" w:cs="Times New Roman"/>
          <w:color w:val="000000" w:themeColor="text1"/>
          <w:sz w:val="24"/>
          <w:szCs w:val="24"/>
        </w:rPr>
        <w:t>Analysis of the differences in pollutant removal from the water before and after eight days.</w:t>
      </w:r>
    </w:p>
    <w:p w14:paraId="2FF73F13" w14:textId="3B5DF6BE" w:rsidR="00AD7955" w:rsidRDefault="00000000" w:rsidP="00790349">
      <w:pPr>
        <w:spacing w:line="48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lang w:bidi="ar"/>
        </w:rPr>
        <w:t>To characterize the dissolved organic matter (DOM) released from corn straw after wastewater immersion and to analyze its composition, three-dimensional</w:t>
      </w:r>
      <w:r>
        <w:rPr>
          <w:rFonts w:ascii="Times New Roman" w:eastAsia="宋体" w:hAnsi="Times New Roman" w:cs="Times New Roman"/>
          <w:b/>
          <w:bCs/>
          <w:color w:val="C00000"/>
          <w:sz w:val="24"/>
          <w:szCs w:val="24"/>
          <w:lang w:bidi="ar"/>
        </w:rPr>
        <w:t xml:space="preserve"> </w:t>
      </w:r>
      <w:r>
        <w:rPr>
          <w:rFonts w:ascii="Times New Roman" w:eastAsia="宋体" w:hAnsi="Times New Roman" w:cs="Times New Roman"/>
          <w:sz w:val="24"/>
          <w:szCs w:val="24"/>
          <w:lang w:bidi="ar"/>
        </w:rPr>
        <w:t xml:space="preserve">fluorescence spectroscopy was employed. Excitation-emission matrix (EEM) spectra were analyzed in combination with parallel factor analysis (PARAFAC). Prior to measurement, the samples were filtered through 0.45 </w:t>
      </w:r>
      <w:proofErr w:type="spellStart"/>
      <w:r>
        <w:rPr>
          <w:rFonts w:ascii="Times New Roman" w:eastAsia="宋体" w:hAnsi="Times New Roman" w:cs="Times New Roman"/>
          <w:sz w:val="24"/>
          <w:szCs w:val="24"/>
          <w:lang w:bidi="ar"/>
        </w:rPr>
        <w:t>μm</w:t>
      </w:r>
      <w:proofErr w:type="spellEnd"/>
      <w:r>
        <w:rPr>
          <w:rFonts w:ascii="Times New Roman" w:eastAsia="宋体" w:hAnsi="Times New Roman" w:cs="Times New Roman"/>
          <w:sz w:val="24"/>
          <w:szCs w:val="24"/>
          <w:lang w:bidi="ar"/>
        </w:rPr>
        <w:t xml:space="preserve"> membranes. Fluorescence spectra were recorded </w:t>
      </w:r>
      <w:r>
        <w:rPr>
          <w:rFonts w:ascii="Times New Roman" w:eastAsia="宋体" w:hAnsi="Times New Roman" w:cs="Times New Roman"/>
          <w:sz w:val="24"/>
          <w:szCs w:val="24"/>
          <w:lang w:bidi="ar"/>
        </w:rPr>
        <w:lastRenderedPageBreak/>
        <w:t xml:space="preserve">with excitation wavelengths ranging from 220 to 550 nm and emission wavelengths from 220 to 500 nm, with a scanning increment of 5 nm. Fluorescence intensity was Raman-normalized, and background noise and scattering artifacts were corrected using ultrapure water subtraction and Delaunay interpolation, respectively </w:t>
      </w:r>
      <w:r>
        <w:rPr>
          <w:rFonts w:ascii="Times New Roman" w:eastAsia="宋体" w:hAnsi="Times New Roman" w:cs="Times New Roman"/>
          <w:sz w:val="24"/>
          <w:szCs w:val="24"/>
          <w:lang w:bidi="ar"/>
        </w:rPr>
        <w:fldChar w:fldCharType="begin"/>
      </w:r>
      <w:r>
        <w:rPr>
          <w:rFonts w:ascii="Times New Roman" w:eastAsia="宋体" w:hAnsi="Times New Roman" w:cs="Times New Roman"/>
          <w:sz w:val="24"/>
          <w:szCs w:val="24"/>
          <w:lang w:bidi="ar"/>
        </w:rPr>
        <w:instrText xml:space="preserve"> ADDIN EN.CITE &lt;EndNote&gt;&lt;Cite&gt;&lt;Author&gt;Bahram&lt;/Author&gt;&lt;Year&gt;2006&lt;/Year&gt;&lt;RecNum&gt;378&lt;/RecNum&gt;&lt;DisplayText&gt;(Bahram et al., 2006)&lt;/DisplayText&gt;&lt;record&gt;&lt;rec-number&gt;378&lt;/rec-number&gt;&lt;foreign-keys&gt;&lt;key app="EN" db-id="wadfs2vx0dx221ex2z1px2eqrdvxfwxpvs5r" timestamp="1753879860"&gt;378&lt;/key&gt;&lt;/foreign-keys&gt;&lt;ref-type name="Journal Article"&gt;17&lt;/ref-type&gt;&lt;contributors&gt;&lt;authors&gt;&lt;author&gt;Bahram, M.&lt;/author&gt;&lt;author&gt;Bro, R.&lt;/author&gt;&lt;author&gt;Stedmon, C.&lt;/author&gt;&lt;author&gt;Afkhami, A.&lt;/author&gt;&lt;/authors&gt;&lt;/contributors&gt;&lt;titles&gt;&lt;title&gt;Handling of Rayleigh and Raman scatter for PARAFAC modeling of fluorescence data using interpolation&lt;/title&gt;&lt;secondary-title&gt;Journal of Chemometrics&lt;/secondary-title&gt;&lt;/titles&gt;&lt;periodical&gt;&lt;full-title&gt;Journal of Chemometrics&lt;/full-title&gt;&lt;/periodical&gt;&lt;pages&gt;99-105&lt;/pages&gt;&lt;volume&gt;20&lt;/volume&gt;&lt;number&gt;3-4&lt;/number&gt;&lt;dates&gt;&lt;year&gt;2006&lt;/year&gt;&lt;pub-dates&gt;&lt;date&gt;Mar-Apr&lt;/date&gt;&lt;/pub-dates&gt;&lt;/dates&gt;&lt;isbn&gt;0886-9383&lt;/isbn&gt;&lt;accession-num&gt;WOS:000245761000002&lt;/accession-num&gt;&lt;urls&gt;&lt;related-urls&gt;&lt;url&gt;&amp;lt;Go to ISI&amp;gt;://WOS:000245761000002&lt;/url&gt;&lt;/related-urls&gt;&lt;/urls&gt;&lt;electronic-resource-num&gt;10.1002/cem.978&lt;/electronic-resource-num&gt;&lt;/record&gt;&lt;/Cite&gt;&lt;/EndNote&gt;</w:instrText>
      </w:r>
      <w:r>
        <w:rPr>
          <w:rFonts w:ascii="Times New Roman" w:eastAsia="宋体" w:hAnsi="Times New Roman" w:cs="Times New Roman"/>
          <w:sz w:val="24"/>
          <w:szCs w:val="24"/>
          <w:lang w:bidi="ar"/>
        </w:rPr>
        <w:fldChar w:fldCharType="separate"/>
      </w:r>
      <w:r>
        <w:rPr>
          <w:rFonts w:ascii="Times New Roman" w:eastAsia="宋体" w:hAnsi="Times New Roman" w:cs="Times New Roman"/>
          <w:sz w:val="24"/>
          <w:szCs w:val="24"/>
          <w:lang w:bidi="ar"/>
        </w:rPr>
        <w:t>(Bahram et al., 2006)</w:t>
      </w:r>
      <w:r>
        <w:rPr>
          <w:rFonts w:ascii="Times New Roman" w:eastAsia="宋体" w:hAnsi="Times New Roman" w:cs="Times New Roman"/>
          <w:sz w:val="24"/>
          <w:szCs w:val="24"/>
          <w:lang w:bidi="ar"/>
        </w:rPr>
        <w:fldChar w:fldCharType="end"/>
      </w:r>
      <w:r>
        <w:rPr>
          <w:rFonts w:ascii="Times New Roman" w:eastAsia="宋体" w:hAnsi="Times New Roman" w:cs="Times New Roman"/>
          <w:sz w:val="24"/>
          <w:szCs w:val="24"/>
          <w:lang w:bidi="ar"/>
        </w:rPr>
        <w:t xml:space="preserve">. The PARAFAC model was constructed in MATLAB R2021a (MathWorks, USA) using the DOM Fluor and dr EEM toolboxes </w:t>
      </w:r>
      <w:r>
        <w:rPr>
          <w:rFonts w:ascii="Times New Roman" w:eastAsia="宋体" w:hAnsi="Times New Roman" w:cs="Times New Roman"/>
          <w:sz w:val="24"/>
          <w:szCs w:val="24"/>
          <w:lang w:bidi="ar"/>
        </w:rPr>
        <w:fldChar w:fldCharType="begin"/>
      </w:r>
      <w:r>
        <w:rPr>
          <w:rFonts w:ascii="Times New Roman" w:eastAsia="宋体" w:hAnsi="Times New Roman" w:cs="Times New Roman"/>
          <w:sz w:val="24"/>
          <w:szCs w:val="24"/>
          <w:lang w:bidi="ar"/>
        </w:rPr>
        <w:instrText xml:space="preserve"> ADDIN EN.CITE &lt;EndNote&gt;&lt;Cite&gt;&lt;Author&gt;Jia&lt;/Author&gt;&lt;Year&gt;2019&lt;/Year&gt;&lt;RecNum&gt;382&lt;/RecNum&gt;&lt;DisplayText&gt;(Jia et al., 2019)&lt;/DisplayText&gt;&lt;record&gt;&lt;rec-number&gt;382&lt;/rec-number&gt;&lt;foreign-keys&gt;&lt;key app="EN" db-id="wadfs2vx0dx221ex2z1px2eqrdvxfwxpvs5r" timestamp="1753946474"&gt;382&lt;/key&gt;&lt;/foreign-keys&gt;&lt;ref-type name="Journal Article"&gt;17&lt;/ref-type&gt;&lt;contributors&gt;&lt;authors&gt;&lt;author&gt;Jia, L. X.&lt;/author&gt;&lt;author&gt;Gou, E. F.&lt;/author&gt;&lt;author&gt;Liu, H.&lt;/author&gt;&lt;author&gt;Lu, S. Y.&lt;/author&gt;&lt;author&gt;Wu, S. B.&lt;/author&gt;&lt;author&gt;Wu, H. M.&lt;/author&gt;&lt;/authors&gt;&lt;/contributors&gt;&lt;titles&gt;&lt;title&gt;Exploring Utilization of Recycled Agricultural Biomass in Constructed Wetlands: Characterization of the Driving Force for High-Rate Nitrogen Removal&lt;/title&gt;&lt;secondary-title&gt;Environmental Science &amp;amp; Technology&lt;/secondary-title&gt;&lt;/titles&gt;&lt;periodical&gt;&lt;full-title&gt;Environmental Science &amp;amp; Technology&lt;/full-title&gt;&lt;/periodical&gt;&lt;pages&gt;1258-1268&lt;/pages&gt;&lt;volume&gt;53&lt;/volume&gt;&lt;number&gt;3&lt;/number&gt;&lt;dates&gt;&lt;year&gt;2019&lt;/year&gt;&lt;pub-dates&gt;&lt;date&gt;Feb&lt;/date&gt;&lt;/pub-dates&gt;&lt;/dates&gt;&lt;isbn&gt;0013-936X&lt;/isbn&gt;&lt;accession-num&gt;WOS:000458220600023&lt;/accession-num&gt;&lt;urls&gt;&lt;related-urls&gt;&lt;url&gt;&amp;lt;Go to ISI&amp;gt;://WOS:000458220600023&lt;/url&gt;&lt;/related-urls&gt;&lt;/urls&gt;&lt;electronic-resource-num&gt;10.1021/acs.est.8b04871&lt;/electronic-resource-num&gt;&lt;/record&gt;&lt;/Cite&gt;&lt;/EndNote&gt;</w:instrText>
      </w:r>
      <w:r>
        <w:rPr>
          <w:rFonts w:ascii="Times New Roman" w:eastAsia="宋体" w:hAnsi="Times New Roman" w:cs="Times New Roman"/>
          <w:sz w:val="24"/>
          <w:szCs w:val="24"/>
          <w:lang w:bidi="ar"/>
        </w:rPr>
        <w:fldChar w:fldCharType="separate"/>
      </w:r>
      <w:r>
        <w:rPr>
          <w:rFonts w:ascii="Times New Roman" w:eastAsia="宋体" w:hAnsi="Times New Roman" w:cs="Times New Roman"/>
          <w:sz w:val="24"/>
          <w:szCs w:val="24"/>
          <w:lang w:bidi="ar"/>
        </w:rPr>
        <w:t>(Jia et al., 2019)</w:t>
      </w:r>
      <w:r>
        <w:rPr>
          <w:rFonts w:ascii="Times New Roman" w:eastAsia="宋体" w:hAnsi="Times New Roman" w:cs="Times New Roman"/>
          <w:sz w:val="24"/>
          <w:szCs w:val="24"/>
          <w:lang w:bidi="ar"/>
        </w:rPr>
        <w:fldChar w:fldCharType="end"/>
      </w:r>
      <w:r>
        <w:rPr>
          <w:rFonts w:ascii="Times New Roman" w:eastAsia="宋体" w:hAnsi="Times New Roman" w:cs="Times New Roman"/>
          <w:sz w:val="24"/>
          <w:szCs w:val="24"/>
          <w:lang w:bidi="ar"/>
        </w:rPr>
        <w:t>.</w:t>
      </w:r>
      <w:r>
        <w:rPr>
          <w:rFonts w:ascii="Times New Roman" w:eastAsia="等线" w:hAnsi="Times New Roman" w:cs="Times New Roman"/>
          <w:sz w:val="24"/>
          <w:szCs w:val="24"/>
          <w:lang w:bidi="ar"/>
        </w:rPr>
        <w:t xml:space="preserve"> </w:t>
      </w:r>
      <w:r>
        <w:rPr>
          <w:rFonts w:ascii="Times New Roman" w:eastAsia="宋体" w:hAnsi="Times New Roman" w:cs="Times New Roman"/>
          <w:sz w:val="24"/>
          <w:szCs w:val="24"/>
          <w:lang w:bidi="ar"/>
        </w:rPr>
        <w:t xml:space="preserve">Model stability was evaluated by split-half validation. The identified fluorescent components were compared against the Open Fluor database, and similarity was assessed using Tucker’s congruence coefficient (values &gt; 0.90 were considered indicative of high similarity </w:t>
      </w:r>
      <w:r>
        <w:rPr>
          <w:rFonts w:ascii="Times New Roman" w:eastAsia="宋体" w:hAnsi="Times New Roman" w:cs="Times New Roman"/>
          <w:sz w:val="24"/>
          <w:szCs w:val="24"/>
          <w:lang w:bidi="ar"/>
        </w:rPr>
        <w:fldChar w:fldCharType="begin"/>
      </w:r>
      <w:r>
        <w:rPr>
          <w:rFonts w:ascii="Times New Roman" w:eastAsia="宋体" w:hAnsi="Times New Roman" w:cs="Times New Roman"/>
          <w:sz w:val="24"/>
          <w:szCs w:val="24"/>
          <w:lang w:bidi="ar"/>
        </w:rPr>
        <w:instrText xml:space="preserve"> ADDIN EN.CITE &lt;EndNote&gt;&lt;Cite&gt;&lt;Author&gt;Antonio&lt;/Author&gt;&lt;Year&gt;2025&lt;/Year&gt;&lt;RecNum&gt;379&lt;/RecNum&gt;&lt;DisplayText&gt;(Antonio et al., 2025)&lt;/DisplayText&gt;&lt;record&gt;&lt;rec-number&gt;379&lt;/rec-number&gt;&lt;foreign-keys&gt;&lt;key app="EN" db-id="wadfs2vx0dx221ex2z1px2eqrdvxfwxpvs5r" timestamp="1753879957"&gt;379&lt;/key&gt;&lt;/foreign-keys&gt;&lt;ref-type name="Journal Article"&gt;17&lt;/ref-type&gt;&lt;contributors&gt;&lt;authors&gt;&lt;author&gt;Antonio, M.&lt;/author&gt;&lt;author&gt;de la Peña, A. M.&lt;/author&gt;&lt;author&gt;Goicoechea, H. C.&lt;/author&gt;&lt;author&gt;Alcaraz, M. R.&lt;/author&gt;&lt;/authors&gt;&lt;/contributors&gt;&lt;titles&gt;&lt;title&gt;How excitation-emission matrices have revolutionised multi-way data analyses - A tutorial for multi-way EEM-based calibration method developments&lt;/title&gt;&lt;secondary-title&gt;Analytica Chimica Acta&lt;/secondary-title&gt;&lt;/titles&gt;&lt;periodical&gt;&lt;full-title&gt;Analytica Chimica Acta&lt;/full-title&gt;&lt;/periodical&gt;&lt;volume&gt;1360&lt;/volume&gt;&lt;dates&gt;&lt;year&gt;2025&lt;/year&gt;&lt;pub-dates&gt;&lt;date&gt;Jul&lt;/date&gt;&lt;/pub-dates&gt;&lt;/dates&gt;&lt;isbn&gt;0003-2670&lt;/isbn&gt;&lt;accession-num&gt;WOS:001498588500001&lt;/accession-num&gt;&lt;urls&gt;&lt;related-urls&gt;&lt;url&gt;&amp;lt;Go to ISI&amp;gt;://WOS:001498588500001&lt;/url&gt;&lt;/related-urls&gt;&lt;/urls&gt;&lt;custom7&gt;344089&lt;/custom7&gt;&lt;electronic-resource-num&gt;10.1016/j.aca.2025.344089&lt;/electronic-resource-num&gt;&lt;/record&gt;&lt;/Cite&gt;&lt;/EndNote&gt;</w:instrText>
      </w:r>
      <w:r>
        <w:rPr>
          <w:rFonts w:ascii="Times New Roman" w:eastAsia="宋体" w:hAnsi="Times New Roman" w:cs="Times New Roman"/>
          <w:sz w:val="24"/>
          <w:szCs w:val="24"/>
          <w:lang w:bidi="ar"/>
        </w:rPr>
        <w:fldChar w:fldCharType="separate"/>
      </w:r>
      <w:r>
        <w:rPr>
          <w:rFonts w:ascii="Times New Roman" w:eastAsia="宋体" w:hAnsi="Times New Roman" w:cs="Times New Roman"/>
          <w:sz w:val="24"/>
          <w:szCs w:val="24"/>
          <w:lang w:bidi="ar"/>
        </w:rPr>
        <w:t>(Antonio et al., 2025)</w:t>
      </w:r>
      <w:r>
        <w:rPr>
          <w:rFonts w:ascii="Times New Roman" w:eastAsia="宋体" w:hAnsi="Times New Roman" w:cs="Times New Roman"/>
          <w:sz w:val="24"/>
          <w:szCs w:val="24"/>
          <w:lang w:bidi="ar"/>
        </w:rPr>
        <w:fldChar w:fldCharType="end"/>
      </w:r>
      <w:r>
        <w:rPr>
          <w:rFonts w:ascii="Times New Roman" w:eastAsia="宋体" w:hAnsi="Times New Roman" w:cs="Times New Roman"/>
          <w:sz w:val="24"/>
          <w:szCs w:val="24"/>
          <w:lang w:bidi="ar"/>
        </w:rPr>
        <w:t>.</w:t>
      </w:r>
      <w:r>
        <w:rPr>
          <w:rFonts w:ascii="Times New Roman" w:eastAsia="等线" w:hAnsi="Times New Roman" w:cs="Times New Roman"/>
          <w:sz w:val="24"/>
          <w:szCs w:val="24"/>
          <w:lang w:bidi="ar"/>
        </w:rPr>
        <w:t xml:space="preserve"> </w:t>
      </w:r>
      <w:r>
        <w:rPr>
          <w:rFonts w:ascii="Times New Roman" w:eastAsia="宋体" w:hAnsi="Times New Roman" w:cs="Times New Roman"/>
          <w:sz w:val="24"/>
          <w:szCs w:val="24"/>
          <w:lang w:bidi="ar"/>
        </w:rPr>
        <w:t xml:space="preserve">The maximum fluorescence intensity (Fmax) was used to indicate changes in component concentrations, while the fluorescence regional integration (FRI) method was applied to partition the EEM spectra into different regions for assessing DOM compositional characteristics </w:t>
      </w:r>
      <w:r>
        <w:rPr>
          <w:rFonts w:ascii="Times New Roman" w:eastAsia="宋体" w:hAnsi="Times New Roman" w:cs="Times New Roman"/>
          <w:sz w:val="24"/>
          <w:szCs w:val="24"/>
          <w:lang w:bidi="ar"/>
        </w:rPr>
        <w:fldChar w:fldCharType="begin"/>
      </w:r>
      <w:r>
        <w:rPr>
          <w:rFonts w:ascii="Times New Roman" w:eastAsia="宋体" w:hAnsi="Times New Roman" w:cs="Times New Roman"/>
          <w:sz w:val="24"/>
          <w:szCs w:val="24"/>
          <w:lang w:bidi="ar"/>
        </w:rPr>
        <w:instrText xml:space="preserve"> ADDIN EN.CITE &lt;EndNote&gt;&lt;Cite&gt;&lt;Author&gt;Duan&lt;/Author&gt;&lt;Year&gt;2023&lt;/Year&gt;&lt;RecNum&gt;380&lt;/RecNum&gt;&lt;DisplayText&gt;(Duan et al., 2023)&lt;/DisplayText&gt;&lt;record&gt;&lt;rec-number&gt;380&lt;/rec-number&gt;&lt;foreign-keys&gt;&lt;key app="EN" db-id="wadfs2vx0dx221ex2z1px2eqrdvxfwxpvs5r" timestamp="1753880022"&gt;380&lt;/key&gt;&lt;/foreign-keys&gt;&lt;ref-type name="Journal Article"&gt;17&lt;/ref-type&gt;&lt;contributors&gt;&lt;authors&gt;&lt;author&gt;Duan, Y.&lt;/author&gt;&lt;author&gt;Chen, L.&lt;/author&gt;&lt;author&gt;Li, Y. M.&lt;/author&gt;&lt;author&gt;Li, J. Y.&lt;/author&gt;&lt;author&gt;Zhang, C. Z.&lt;/author&gt;&lt;author&gt;Ma, D. H.&lt;/author&gt;&lt;author&gt;Zhou, G. X.&lt;/author&gt;&lt;author&gt;Zhang, J. B.&lt;/author&gt;&lt;/authors&gt;&lt;/contributors&gt;&lt;titles&gt;&lt;title&gt;Nitrogen input level modulates straw-derived organic carbon physical fractions accumulation by stimulating specific fungal groups during decomposition&lt;/title&gt;&lt;secondary-title&gt;Soil &amp;amp; Tillage Research&lt;/secondary-title&gt;&lt;/titles&gt;&lt;periodical&gt;&lt;full-title&gt;Soil &amp;amp; Tillage Research&lt;/full-title&gt;&lt;/periodical&gt;&lt;volume&gt;225&lt;/volume&gt;&lt;dates&gt;&lt;year&gt;2023&lt;/year&gt;&lt;pub-dates&gt;&lt;date&gt;Jan&lt;/date&gt;&lt;/pub-dates&gt;&lt;/dates&gt;&lt;isbn&gt;0167-1987&lt;/isbn&gt;&lt;accession-num&gt;WOS:000880077800002&lt;/accession-num&gt;&lt;urls&gt;&lt;related-urls&gt;&lt;url&gt;&amp;lt;Go to ISI&amp;gt;://WOS:000880077800002&lt;/url&gt;&lt;/related-urls&gt;&lt;/urls&gt;&lt;custom7&gt;105560&lt;/custom7&gt;&lt;electronic-resource-num&gt;10.1016/j.still.2022.105560&lt;/electronic-resource-num&gt;&lt;/record&gt;&lt;/Cite&gt;&lt;/EndNote&gt;</w:instrText>
      </w:r>
      <w:r>
        <w:rPr>
          <w:rFonts w:ascii="Times New Roman" w:eastAsia="宋体" w:hAnsi="Times New Roman" w:cs="Times New Roman"/>
          <w:sz w:val="24"/>
          <w:szCs w:val="24"/>
          <w:lang w:bidi="ar"/>
        </w:rPr>
        <w:fldChar w:fldCharType="separate"/>
      </w:r>
      <w:r>
        <w:rPr>
          <w:rFonts w:ascii="Times New Roman" w:eastAsia="宋体" w:hAnsi="Times New Roman" w:cs="Times New Roman"/>
          <w:sz w:val="24"/>
          <w:szCs w:val="24"/>
          <w:lang w:bidi="ar"/>
        </w:rPr>
        <w:t>(Duan et al., 2023)</w:t>
      </w:r>
      <w:r>
        <w:rPr>
          <w:rFonts w:ascii="Times New Roman" w:eastAsia="宋体" w:hAnsi="Times New Roman" w:cs="Times New Roman"/>
          <w:sz w:val="24"/>
          <w:szCs w:val="24"/>
          <w:lang w:bidi="ar"/>
        </w:rPr>
        <w:fldChar w:fldCharType="end"/>
      </w:r>
      <w:r>
        <w:rPr>
          <w:rFonts w:ascii="Times New Roman" w:eastAsia="宋体" w:hAnsi="Times New Roman" w:cs="Times New Roman"/>
          <w:sz w:val="24"/>
          <w:szCs w:val="24"/>
          <w:lang w:bidi="ar"/>
        </w:rPr>
        <w:t>.</w:t>
      </w:r>
    </w:p>
    <w:p w14:paraId="3B3B7719" w14:textId="77777777" w:rsidR="00AD7955" w:rsidRDefault="00000000" w:rsidP="00790349">
      <w:pPr>
        <w:spacing w:line="480" w:lineRule="auto"/>
        <w:ind w:firstLineChars="200" w:firstLine="480"/>
        <w:rPr>
          <w:rFonts w:ascii="Times New Roman" w:hAnsi="Times New Roman" w:cs="Times New Roman"/>
          <w:snapToGrid w:val="0"/>
          <w:color w:val="000000"/>
          <w:kern w:val="0"/>
          <w:sz w:val="24"/>
          <w:szCs w:val="24"/>
          <w:lang w:bidi="en-US"/>
        </w:rPr>
      </w:pPr>
      <w:r>
        <w:rPr>
          <w:rFonts w:ascii="Times New Roman" w:hAnsi="Times New Roman" w:cs="Times New Roman"/>
          <w:snapToGrid w:val="0"/>
          <w:color w:val="000000"/>
          <w:kern w:val="0"/>
          <w:sz w:val="24"/>
          <w:szCs w:val="24"/>
          <w:lang w:bidi="en-US"/>
        </w:rPr>
        <w:t>In this study, parallel factor analysis (PARAFAC) was applied to the three-dimensional excitation</w:t>
      </w:r>
      <w:r>
        <w:rPr>
          <w:rFonts w:ascii="Times New Roman" w:hAnsi="Times New Roman" w:cs="Times New Roman" w:hint="eastAsia"/>
          <w:snapToGrid w:val="0"/>
          <w:color w:val="000000"/>
          <w:kern w:val="0"/>
          <w:sz w:val="24"/>
          <w:szCs w:val="24"/>
          <w:lang w:bidi="en-US"/>
        </w:rPr>
        <w:t>-</w:t>
      </w:r>
      <w:r>
        <w:rPr>
          <w:rFonts w:ascii="Times New Roman" w:hAnsi="Times New Roman" w:cs="Times New Roman"/>
          <w:snapToGrid w:val="0"/>
          <w:color w:val="000000"/>
          <w:kern w:val="0"/>
          <w:sz w:val="24"/>
          <w:szCs w:val="24"/>
          <w:lang w:bidi="en-US"/>
        </w:rPr>
        <w:t xml:space="preserve">emission matrix (EEM) fluorescence spectra of dissolved organic matter (DOM), and three main fluorescent components were identified </w:t>
      </w:r>
      <w:r>
        <w:rPr>
          <w:rFonts w:ascii="Times New Roman" w:hAnsi="Times New Roman" w:cs="Times New Roman" w:hint="eastAsia"/>
          <w:snapToGrid w:val="0"/>
          <w:color w:val="000000"/>
          <w:kern w:val="0"/>
          <w:sz w:val="24"/>
          <w:szCs w:val="24"/>
          <w:lang w:bidi="en-US"/>
        </w:rPr>
        <w:t>in</w:t>
      </w:r>
      <w:r>
        <w:rPr>
          <w:rFonts w:ascii="Times New Roman" w:hAnsi="Times New Roman" w:cs="Times New Roman"/>
          <w:snapToGrid w:val="0"/>
          <w:color w:val="000000"/>
          <w:kern w:val="0"/>
          <w:sz w:val="24"/>
          <w:szCs w:val="24"/>
          <w:lang w:bidi="en-US"/>
        </w:rPr>
        <w:t xml:space="preserve"> Table S1. The contour plots and characteristic excitation (Ex) and emission (Em) wavelengths of these components are shown in</w:t>
      </w:r>
      <w:r>
        <w:rPr>
          <w:rFonts w:ascii="Times New Roman" w:hAnsi="Times New Roman" w:cs="Times New Roman" w:hint="eastAsia"/>
          <w:snapToGrid w:val="0"/>
          <w:color w:val="000000"/>
          <w:kern w:val="0"/>
          <w:sz w:val="24"/>
          <w:szCs w:val="24"/>
          <w:lang w:bidi="en-US"/>
        </w:rPr>
        <w:t xml:space="preserve"> Appendix 2</w:t>
      </w:r>
      <w:r>
        <w:rPr>
          <w:rFonts w:ascii="Times New Roman" w:hAnsi="Times New Roman" w:cs="Times New Roman"/>
          <w:snapToGrid w:val="0"/>
          <w:color w:val="000000"/>
          <w:kern w:val="0"/>
          <w:sz w:val="24"/>
          <w:szCs w:val="24"/>
          <w:lang w:bidi="en-US"/>
        </w:rPr>
        <w:t xml:space="preserve">. Comparison with typical PARAFAC components reported in the </w:t>
      </w:r>
      <w:proofErr w:type="spellStart"/>
      <w:r>
        <w:rPr>
          <w:rFonts w:ascii="Times New Roman" w:hAnsi="Times New Roman" w:cs="Times New Roman"/>
          <w:snapToGrid w:val="0"/>
          <w:color w:val="000000"/>
          <w:kern w:val="0"/>
          <w:sz w:val="24"/>
          <w:szCs w:val="24"/>
          <w:lang w:bidi="en-US"/>
        </w:rPr>
        <w:t>OpenFluor</w:t>
      </w:r>
      <w:proofErr w:type="spellEnd"/>
      <w:r>
        <w:rPr>
          <w:rFonts w:ascii="Times New Roman" w:hAnsi="Times New Roman" w:cs="Times New Roman"/>
          <w:snapToGrid w:val="0"/>
          <w:color w:val="000000"/>
          <w:kern w:val="0"/>
          <w:sz w:val="24"/>
          <w:szCs w:val="24"/>
          <w:lang w:bidi="en-US"/>
        </w:rPr>
        <w:t xml:space="preserve"> database demonstrated high consistency, confirming the reliability of the component classification. The three components included two humic-like substances (C1 and C3) and one protein-like substance (C2). Specifically, component C1 exhibited a characteristic peak at </w:t>
      </w:r>
      <w:proofErr w:type="spellStart"/>
      <w:r>
        <w:rPr>
          <w:rFonts w:ascii="Times New Roman" w:hAnsi="Times New Roman" w:cs="Times New Roman"/>
          <w:snapToGrid w:val="0"/>
          <w:color w:val="000000"/>
          <w:kern w:val="0"/>
          <w:sz w:val="24"/>
          <w:szCs w:val="24"/>
          <w:lang w:bidi="en-US"/>
        </w:rPr>
        <w:t>λEx</w:t>
      </w:r>
      <w:proofErr w:type="spellEnd"/>
      <w:r>
        <w:rPr>
          <w:rFonts w:ascii="Times New Roman" w:hAnsi="Times New Roman" w:cs="Times New Roman"/>
          <w:snapToGrid w:val="0"/>
          <w:color w:val="000000"/>
          <w:kern w:val="0"/>
          <w:sz w:val="24"/>
          <w:szCs w:val="24"/>
          <w:lang w:bidi="en-US"/>
        </w:rPr>
        <w:t>/</w:t>
      </w:r>
      <w:proofErr w:type="spellStart"/>
      <w:r>
        <w:rPr>
          <w:rFonts w:ascii="Times New Roman" w:hAnsi="Times New Roman" w:cs="Times New Roman"/>
          <w:snapToGrid w:val="0"/>
          <w:color w:val="000000"/>
          <w:kern w:val="0"/>
          <w:sz w:val="24"/>
          <w:szCs w:val="24"/>
          <w:lang w:bidi="en-US"/>
        </w:rPr>
        <w:t>λEm</w:t>
      </w:r>
      <w:proofErr w:type="spellEnd"/>
      <w:r>
        <w:rPr>
          <w:rFonts w:ascii="Times New Roman" w:hAnsi="Times New Roman" w:cs="Times New Roman"/>
          <w:snapToGrid w:val="0"/>
          <w:color w:val="000000"/>
          <w:kern w:val="0"/>
          <w:sz w:val="24"/>
          <w:szCs w:val="24"/>
          <w:lang w:bidi="en-US"/>
        </w:rPr>
        <w:t xml:space="preserve"> = 330/430 nm, </w:t>
      </w:r>
      <w:r>
        <w:rPr>
          <w:rFonts w:ascii="Times New Roman" w:hAnsi="Times New Roman" w:cs="Times New Roman"/>
          <w:snapToGrid w:val="0"/>
          <w:color w:val="000000"/>
          <w:kern w:val="0"/>
          <w:sz w:val="24"/>
          <w:szCs w:val="24"/>
          <w:lang w:bidi="en-US"/>
        </w:rPr>
        <w:lastRenderedPageBreak/>
        <w:t xml:space="preserve">corresponding to microbially derived humic-like material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ADDIN EN.CITE &lt;EndNote&gt;&lt;Cite&gt;&lt;Author&gt;Niloy&lt;/Author&gt;&lt;Year&gt;2021&lt;/Year&gt;&lt;RecNum&gt;385&lt;/RecNum&gt;&lt;DisplayText&gt;(Niloy et al., 2021)&lt;/DisplayText&gt;&lt;record&gt;&lt;rec-number&gt;385&lt;/rec-number&gt;&lt;foreign-keys&gt;&lt;key app="EN" db-id="wadfs2vx0dx221ex2z1px2eqrdvxfwxpvs5r" timestamp="1754483402"&gt;385&lt;/key&gt;&lt;/foreign-keys&gt;&lt;ref-type name="Journal Article"&gt;17&lt;/ref-type&gt;&lt;contributors&gt;&lt;authors&gt;&lt;author&gt;Niloy, Nahin Mostofa&lt;/author&gt;&lt;author&gt;Haque, Md Morshedul&lt;/author&gt;&lt;author&gt;Tareq, Shafi M&lt;/author&gt;&lt;/authors&gt;&lt;/contributors&gt;&lt;titles&gt;&lt;title&gt;Characterization of dissolved organic matter at urban and industrial rainwater of Bangladesh by fluorescence spectroscopy and EEM-PARAFAC modeling&lt;/title&gt;&lt;secondary-title&gt;Environmental Challenges&lt;/secondary-title&gt;&lt;/titles&gt;&lt;periodical&gt;&lt;full-title&gt;Environmental Challenges&lt;/full-title&gt;&lt;/periodical&gt;&lt;pages&gt;100250&lt;/pages&gt;&lt;volume&gt;5&lt;/volume&gt;&lt;dates&gt;&lt;year&gt;2021&lt;/year&gt;&lt;/dates&gt;&lt;isbn&gt;2667-0100&lt;/isbn&gt;&lt;urls&gt;&lt;/urls&gt;&lt;/record&gt;&lt;/Cite&gt;&lt;/EndNote&gt;</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(Niloy et al., 2021)</w:t>
      </w:r>
      <w:r>
        <w:rPr>
          <w:rFonts w:ascii="Times New Roman" w:eastAsia="宋体" w:hAnsi="Times New Roman" w:cs="Times New Roman"/>
          <w:sz w:val="24"/>
          <w:szCs w:val="24"/>
        </w:rPr>
        <w:fldChar w:fldCharType="end"/>
      </w:r>
      <w:r>
        <w:rPr>
          <w:rFonts w:ascii="Times New Roman" w:hAnsi="Times New Roman" w:cs="Times New Roman"/>
          <w:snapToGrid w:val="0"/>
          <w:color w:val="000000"/>
          <w:kern w:val="0"/>
          <w:sz w:val="24"/>
          <w:szCs w:val="24"/>
          <w:lang w:bidi="en-US"/>
        </w:rPr>
        <w:t xml:space="preserve">. Component C2 showed a distinct protein-like peak at </w:t>
      </w:r>
      <w:proofErr w:type="spellStart"/>
      <w:r>
        <w:rPr>
          <w:rFonts w:ascii="Times New Roman" w:hAnsi="Times New Roman" w:cs="Times New Roman"/>
          <w:snapToGrid w:val="0"/>
          <w:color w:val="000000"/>
          <w:kern w:val="0"/>
          <w:sz w:val="24"/>
          <w:szCs w:val="24"/>
          <w:lang w:bidi="en-US"/>
        </w:rPr>
        <w:t>λEx</w:t>
      </w:r>
      <w:proofErr w:type="spellEnd"/>
      <w:r>
        <w:rPr>
          <w:rFonts w:ascii="Times New Roman" w:hAnsi="Times New Roman" w:cs="Times New Roman"/>
          <w:snapToGrid w:val="0"/>
          <w:color w:val="000000"/>
          <w:kern w:val="0"/>
          <w:sz w:val="24"/>
          <w:szCs w:val="24"/>
          <w:lang w:bidi="en-US"/>
        </w:rPr>
        <w:t>/</w:t>
      </w:r>
      <w:proofErr w:type="spellStart"/>
      <w:r>
        <w:rPr>
          <w:rFonts w:ascii="Times New Roman" w:hAnsi="Times New Roman" w:cs="Times New Roman"/>
          <w:snapToGrid w:val="0"/>
          <w:color w:val="000000"/>
          <w:kern w:val="0"/>
          <w:sz w:val="24"/>
          <w:szCs w:val="24"/>
          <w:lang w:bidi="en-US"/>
        </w:rPr>
        <w:t>λEm</w:t>
      </w:r>
      <w:proofErr w:type="spellEnd"/>
      <w:r>
        <w:rPr>
          <w:rFonts w:ascii="Times New Roman" w:hAnsi="Times New Roman" w:cs="Times New Roman" w:hint="eastAsia"/>
          <w:snapToGrid w:val="0"/>
          <w:color w:val="000000"/>
          <w:kern w:val="0"/>
          <w:sz w:val="24"/>
          <w:szCs w:val="24"/>
          <w:lang w:bidi="en-US"/>
        </w:rPr>
        <w:t xml:space="preserve"> = </w:t>
      </w:r>
      <w:r>
        <w:rPr>
          <w:rFonts w:ascii="Times New Roman" w:hAnsi="Times New Roman" w:cs="Times New Roman"/>
          <w:snapToGrid w:val="0"/>
          <w:color w:val="000000"/>
          <w:kern w:val="0"/>
          <w:sz w:val="24"/>
          <w:szCs w:val="24"/>
          <w:lang w:bidi="en-US"/>
        </w:rPr>
        <w:t xml:space="preserve">275/313 nm, associated with aromatic amino acids such as tryptophan and tyrosine, representing freshly produced, bioavailable organic matter </w:t>
      </w:r>
      <w:r>
        <w:rPr>
          <w:rFonts w:ascii="Times New Roman" w:eastAsia="宋体" w:hAnsi="Times New Roman" w:cs="Times New Roman"/>
          <w:color w:val="000000" w:themeColor="text1"/>
          <w:sz w:val="24"/>
          <w:szCs w:val="24"/>
        </w:rPr>
        <w:fldChar w:fldCharType="begin"/>
      </w:r>
      <w:r>
        <w:rPr>
          <w:rFonts w:ascii="Times New Roman" w:eastAsia="宋体" w:hAnsi="Times New Roman" w:cs="Times New Roman"/>
          <w:color w:val="000000" w:themeColor="text1"/>
          <w:sz w:val="24"/>
          <w:szCs w:val="24"/>
        </w:rPr>
        <w:instrText xml:space="preserve"> ADDIN EN.CITE &lt;EndNote&gt;&lt;Cite&gt;&lt;Author&gt;Niloy&lt;/Author&gt;&lt;Year&gt;2021&lt;/Year&gt;&lt;RecNum&gt;383&lt;/RecNum&gt;&lt;DisplayText&gt;(Niloy et al., 2021; Zhang et al., 2021a)&lt;/DisplayText&gt;&lt;record&gt;&lt;rec-number&gt;383&lt;/rec-number&gt;&lt;foreign-keys&gt;&lt;key app="EN" db-id="wadfs2vx0dx221ex2z1px2eqrdvxfwxpvs5r" timestamp="1754483149"&gt;383&lt;/key&gt;&lt;/foreign-keys&gt;&lt;ref-type name="Journal Article"&gt;17&lt;/ref-type&gt;&lt;contributors&gt;&lt;authors&gt;&lt;author&gt;Niloy, Nahin Mostofa&lt;/author&gt;&lt;author&gt;Haque, Md Morshedul&lt;/author&gt;&lt;author&gt;Tareq, Shafi M&lt;/author&gt;&lt;/authors&gt;&lt;/contributors&gt;&lt;titles&gt;&lt;title&gt;Characterization of dissolved organic matter at urban and industrial rainwater of Bangladesh by fluorescence spectroscopy and EEM-PARAFAC modeling&lt;/title&gt;&lt;secondary-title&gt;Environmental Challenges&lt;/secondary-title&gt;&lt;/titles&gt;&lt;periodical&gt;&lt;full-title&gt;Environmental Challenges&lt;/full-title&gt;&lt;/periodical&gt;&lt;pages&gt;100250&lt;/pages&gt;&lt;volume&gt;5&lt;/volume&gt;&lt;dates&gt;&lt;year&gt;2021&lt;/year&gt;&lt;/dates&gt;&lt;isbn&gt;2667-0100&lt;/isbn&gt;&lt;urls&gt;&lt;/urls&gt;&lt;/record&gt;&lt;/Cite&gt;&lt;Cite&gt;&lt;Author&gt;Zhang&lt;/Author&gt;&lt;Year&gt;2021&lt;/Year&gt;&lt;RecNum&gt;384&lt;/RecNum&gt;&lt;record&gt;&lt;rec-number&gt;384&lt;/rec-number&gt;&lt;foreign-keys&gt;&lt;key app="EN" db-id="wadfs2vx0dx221ex2z1px2eqrdvxfwxpvs5r" timestamp="1754483257"&gt;384&lt;/key&gt;&lt;/foreign-keys&gt;&lt;ref-type name="Journal Article"&gt;17&lt;/ref-type&gt;&lt;contributors&gt;&lt;authors&gt;&lt;author&gt;Zhang, Feifan&lt;/author&gt;&lt;author&gt;Ma, Chengjin&lt;/author&gt;&lt;author&gt;Huang, Xiangfeng&lt;/author&gt;&lt;author&gt;Liu, Jia&lt;/author&gt;&lt;author&gt;Lu, Lijun&lt;/author&gt;&lt;author&gt;Peng, Kaiming&lt;/author&gt;&lt;author&gt;Li, Shiyang&lt;/author&gt;&lt;/authors&gt;&lt;/contributors&gt;&lt;titles&gt;&lt;title&gt;Research progress in solid carbon source–based denitrification technologies for different target water bodies&lt;/title&gt;&lt;secondary-title&gt;Science of the Total Environment&lt;/secondary-title&gt;&lt;/titles&gt;&lt;periodical&gt;&lt;full-title&gt;Science of the Total Environment&lt;/full-title&gt;&lt;/periodical&gt;&lt;pages&gt;146669&lt;/pages&gt;&lt;volume&gt;782&lt;/volume&gt;&lt;dates&gt;&lt;year&gt;2021&lt;/year&gt;&lt;/dates&gt;&lt;isbn&gt;0048-9697&lt;/isbn&gt;&lt;urls&gt;&lt;/urls&gt;&lt;/record&gt;&lt;/Cite&gt;&lt;/EndNote&gt;</w:instrText>
      </w:r>
      <w:r>
        <w:rPr>
          <w:rFonts w:ascii="Times New Roman" w:eastAsia="宋体" w:hAnsi="Times New Roman" w:cs="Times New Roman"/>
          <w:color w:val="000000" w:themeColor="text1"/>
          <w:sz w:val="24"/>
          <w:szCs w:val="24"/>
        </w:rPr>
        <w:fldChar w:fldCharType="separate"/>
      </w:r>
      <w:r>
        <w:rPr>
          <w:rFonts w:ascii="Times New Roman" w:eastAsia="宋体" w:hAnsi="Times New Roman" w:cs="Times New Roman"/>
          <w:color w:val="000000" w:themeColor="text1"/>
          <w:sz w:val="24"/>
          <w:szCs w:val="24"/>
        </w:rPr>
        <w:t>(Niloy et al., 2021; Zhang et al., 2021a)</w:t>
      </w:r>
      <w:r>
        <w:rPr>
          <w:rFonts w:ascii="Times New Roman" w:eastAsia="宋体" w:hAnsi="Times New Roman" w:cs="Times New Roman"/>
          <w:color w:val="000000" w:themeColor="text1"/>
          <w:sz w:val="24"/>
          <w:szCs w:val="24"/>
        </w:rPr>
        <w:fldChar w:fldCharType="end"/>
      </w:r>
      <w:r>
        <w:rPr>
          <w:rFonts w:ascii="Times New Roman" w:hAnsi="Times New Roman" w:cs="Times New Roman"/>
          <w:snapToGrid w:val="0"/>
          <w:color w:val="000000"/>
          <w:kern w:val="0"/>
          <w:sz w:val="24"/>
          <w:szCs w:val="24"/>
          <w:lang w:bidi="en-US"/>
        </w:rPr>
        <w:t xml:space="preserve">. Component C3 presented a maximum peak at </w:t>
      </w:r>
      <w:proofErr w:type="spellStart"/>
      <w:r>
        <w:rPr>
          <w:rFonts w:ascii="Times New Roman" w:hAnsi="Times New Roman" w:cs="Times New Roman"/>
          <w:snapToGrid w:val="0"/>
          <w:color w:val="000000"/>
          <w:kern w:val="0"/>
          <w:sz w:val="24"/>
          <w:szCs w:val="24"/>
          <w:lang w:bidi="en-US"/>
        </w:rPr>
        <w:t>λEx</w:t>
      </w:r>
      <w:proofErr w:type="spellEnd"/>
      <w:r>
        <w:rPr>
          <w:rFonts w:ascii="Times New Roman" w:hAnsi="Times New Roman" w:cs="Times New Roman"/>
          <w:snapToGrid w:val="0"/>
          <w:color w:val="000000"/>
          <w:kern w:val="0"/>
          <w:sz w:val="24"/>
          <w:szCs w:val="24"/>
          <w:lang w:bidi="en-US"/>
        </w:rPr>
        <w:t>/</w:t>
      </w:r>
      <w:proofErr w:type="spellStart"/>
      <w:r>
        <w:rPr>
          <w:rFonts w:ascii="Times New Roman" w:hAnsi="Times New Roman" w:cs="Times New Roman"/>
          <w:snapToGrid w:val="0"/>
          <w:color w:val="000000"/>
          <w:kern w:val="0"/>
          <w:sz w:val="24"/>
          <w:szCs w:val="24"/>
          <w:lang w:bidi="en-US"/>
        </w:rPr>
        <w:t>λEm</w:t>
      </w:r>
      <w:proofErr w:type="spellEnd"/>
      <w:r>
        <w:rPr>
          <w:rFonts w:ascii="Times New Roman" w:hAnsi="Times New Roman" w:cs="Times New Roman"/>
          <w:snapToGrid w:val="0"/>
          <w:color w:val="000000"/>
          <w:kern w:val="0"/>
          <w:sz w:val="24"/>
          <w:szCs w:val="24"/>
          <w:lang w:bidi="en-US"/>
        </w:rPr>
        <w:t xml:space="preserve"> = 410/490 nm, representing high-molecular-weight, highly humified humic substances, consistent with previously identified humic-like DOM components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ADDIN EN.CITE &lt;EndNote&gt;&lt;Cite&gt;&lt;Author&gt;Murphy&lt;/Author&gt;&lt;Year&gt;2011&lt;/Year&gt;&lt;RecNum&gt;386&lt;/RecNum&gt;&lt;DisplayText&gt;(Murphy et al., 2011)&lt;/DisplayText&gt;&lt;record&gt;&lt;rec-number&gt;386&lt;/rec-number&gt;&lt;foreign-keys&gt;&lt;key app="EN" db-id="wadfs2vx0dx221ex2z1px2eqrdvxfwxpvs5r" timestamp="1754483515"&gt;386&lt;/key&gt;&lt;/foreign-keys&gt;&lt;ref-type name="Journal Article"&gt;17&lt;/ref-type&gt;&lt;contributors&gt;&lt;authors&gt;&lt;author&gt;Murphy, Kathleen R&lt;/author&gt;&lt;author&gt;Hambly, Adam&lt;/author&gt;&lt;author&gt;Singh, Sachin&lt;/author&gt;&lt;author&gt;Henderson, Rita K&lt;/author&gt;&lt;author&gt;Baker, Andy&lt;/author&gt;&lt;author&gt;Stuetz, Richard&lt;/author&gt;&lt;author&gt;Khan, Stuart J&lt;/author&gt;&lt;/authors&gt;&lt;/contributors&gt;&lt;titles&gt;&lt;title&gt;Organic matter fluorescence in municipal water recycling schemes: toward a unified PARAFAC model&lt;/title&gt;&lt;secondary-title&gt;Environmental science &amp;amp; technology&lt;/secondary-title&gt;&lt;/titles&gt;&lt;periodical&gt;&lt;full-title&gt;Environmental Science &amp;amp; Technology&lt;/full-title&gt;&lt;/periodical&gt;&lt;pages&gt;2909-2916&lt;/pages&gt;&lt;volume&gt;45&lt;/volume&gt;&lt;number&gt;7&lt;/number&gt;&lt;dates&gt;&lt;year&gt;2011&lt;/year&gt;&lt;/dates&gt;&lt;isbn&gt;0013-936X&lt;/isbn&gt;&lt;urls&gt;&lt;/urls&gt;&lt;/record&gt;&lt;/Cite&gt;&lt;/EndNote&gt;</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(Murphy et al., 2011)</w:t>
      </w:r>
      <w:r>
        <w:rPr>
          <w:rFonts w:ascii="Times New Roman" w:eastAsia="宋体" w:hAnsi="Times New Roman" w:cs="Times New Roman"/>
          <w:sz w:val="24"/>
          <w:szCs w:val="24"/>
        </w:rPr>
        <w:fldChar w:fldCharType="end"/>
      </w:r>
    </w:p>
    <w:bookmarkEnd w:id="0"/>
    <w:p w14:paraId="7354C096" w14:textId="77777777" w:rsidR="00AD7955" w:rsidRDefault="00000000">
      <w:pPr>
        <w:spacing w:line="480" w:lineRule="auto"/>
        <w:jc w:val="center"/>
        <w:rPr>
          <w:rFonts w:ascii="Times New Roman" w:eastAsia="宋体" w:hAnsi="Times New Roman" w:cs="Times New Roman"/>
          <w:sz w:val="24"/>
          <w:szCs w:val="24"/>
        </w:rPr>
      </w:pPr>
      <w:r>
        <w:rPr>
          <w:rFonts w:ascii="Times New Roman" w:hAnsi="Times New Roman" w:cs="Times New Roman"/>
          <w:noProof/>
          <w:sz w:val="24"/>
          <w:szCs w:val="24"/>
        </w:rPr>
        <w:drawing>
          <wp:inline distT="0" distB="0" distL="0" distR="0" wp14:anchorId="6842286C" wp14:editId="4D1595CB">
            <wp:extent cx="3580130" cy="5280025"/>
            <wp:effectExtent l="0" t="0" r="1270" b="0"/>
            <wp:docPr id="12910892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89298"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586001" cy="5288728"/>
                    </a:xfrm>
                    <a:prstGeom prst="rect">
                      <a:avLst/>
                    </a:prstGeom>
                    <a:noFill/>
                    <a:ln>
                      <a:noFill/>
                    </a:ln>
                  </pic:spPr>
                </pic:pic>
              </a:graphicData>
            </a:graphic>
          </wp:inline>
        </w:drawing>
      </w:r>
    </w:p>
    <w:p w14:paraId="10EFAD32" w14:textId="2FC710E5" w:rsidR="00790349" w:rsidRDefault="00000000" w:rsidP="0092142B">
      <w:pPr>
        <w:jc w:val="center"/>
        <w:rPr>
          <w:rFonts w:ascii="Times New Roman" w:hAnsi="Times New Roman" w:cs="Times New Roman"/>
          <w:sz w:val="22"/>
        </w:rPr>
      </w:pPr>
      <w:r w:rsidRPr="00096639">
        <w:rPr>
          <w:rFonts w:ascii="Times New Roman" w:hAnsi="Times New Roman" w:cs="Times New Roman"/>
          <w:b/>
          <w:bCs/>
          <w:color w:val="000000" w:themeColor="text1"/>
          <w:sz w:val="22"/>
        </w:rPr>
        <w:t xml:space="preserve">Appendix </w:t>
      </w:r>
      <w:r w:rsidR="00EF56FA">
        <w:rPr>
          <w:rFonts w:ascii="Times New Roman" w:hAnsi="Times New Roman" w:cs="Times New Roman" w:hint="eastAsia"/>
          <w:b/>
          <w:bCs/>
          <w:color w:val="000000" w:themeColor="text1"/>
          <w:sz w:val="22"/>
        </w:rPr>
        <w:t>4</w:t>
      </w:r>
      <w:r w:rsidRPr="00096639">
        <w:rPr>
          <w:rFonts w:ascii="Times New Roman" w:hAnsi="Times New Roman" w:cs="Times New Roman"/>
          <w:b/>
          <w:bCs/>
          <w:color w:val="000000" w:themeColor="text1"/>
          <w:sz w:val="22"/>
        </w:rPr>
        <w:t>.</w:t>
      </w:r>
      <w:r w:rsidRPr="00096639">
        <w:rPr>
          <w:rFonts w:ascii="Times New Roman" w:hAnsi="Times New Roman" w:cs="Times New Roman"/>
          <w:color w:val="000000" w:themeColor="text1"/>
          <w:sz w:val="22"/>
        </w:rPr>
        <w:t xml:space="preserve"> </w:t>
      </w:r>
      <w:r w:rsidRPr="00096639">
        <w:rPr>
          <w:rFonts w:ascii="Times New Roman" w:hAnsi="Times New Roman" w:cs="Times New Roman"/>
          <w:sz w:val="22"/>
        </w:rPr>
        <w:t>PARAFAC modeling was used to identify different fluorescence components.</w:t>
      </w:r>
    </w:p>
    <w:p w14:paraId="697B3B7F" w14:textId="77777777" w:rsidR="0092142B" w:rsidRPr="0092142B" w:rsidRDefault="0092142B" w:rsidP="0092142B">
      <w:pPr>
        <w:jc w:val="center"/>
        <w:rPr>
          <w:rFonts w:ascii="Times New Roman" w:hAnsi="Times New Roman" w:cs="Times New Roman"/>
          <w:sz w:val="22"/>
        </w:rPr>
      </w:pPr>
    </w:p>
    <w:p w14:paraId="6DDE08A0" w14:textId="77777777" w:rsidR="00AD7955" w:rsidRDefault="00000000">
      <w:pPr>
        <w:pStyle w:val="MDPI51figurecaption"/>
        <w:spacing w:before="0" w:after="0" w:line="480" w:lineRule="auto"/>
        <w:ind w:left="0"/>
        <w:jc w:val="center"/>
        <w:rPr>
          <w:rFonts w:ascii="Times New Roman" w:eastAsiaTheme="minorEastAsia" w:hAnsi="Times New Roman"/>
          <w:b/>
          <w:bCs/>
          <w:sz w:val="24"/>
          <w:szCs w:val="24"/>
          <w:lang w:eastAsia="zh-CN"/>
        </w:rPr>
      </w:pPr>
      <w:r>
        <w:rPr>
          <w:noProof/>
        </w:rPr>
        <w:lastRenderedPageBreak/>
        <w:drawing>
          <wp:inline distT="0" distB="0" distL="0" distR="0" wp14:anchorId="7760A5BE" wp14:editId="51C36475">
            <wp:extent cx="4914265" cy="2230755"/>
            <wp:effectExtent l="0" t="0" r="635" b="0"/>
            <wp:docPr id="9361850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5034" name="图片 3"/>
                    <pic:cNvPicPr>
                      <a:picLocks noChangeAspect="1" noChangeArrowheads="1"/>
                    </pic:cNvPicPr>
                  </pic:nvPicPr>
                  <pic:blipFill>
                    <a:blip r:embed="rId11">
                      <a:extLst>
                        <a:ext uri="{28A0092B-C50C-407E-A947-70E740481C1C}">
                          <a14:useLocalDpi xmlns:a14="http://schemas.microsoft.com/office/drawing/2010/main" val="0"/>
                        </a:ext>
                      </a:extLst>
                    </a:blip>
                    <a:srcRect l="4129" r="6298"/>
                    <a:stretch>
                      <a:fillRect/>
                    </a:stretch>
                  </pic:blipFill>
                  <pic:spPr>
                    <a:xfrm>
                      <a:off x="0" y="0"/>
                      <a:ext cx="4920433" cy="2233385"/>
                    </a:xfrm>
                    <a:prstGeom prst="rect">
                      <a:avLst/>
                    </a:prstGeom>
                    <a:noFill/>
                    <a:ln>
                      <a:noFill/>
                    </a:ln>
                  </pic:spPr>
                </pic:pic>
              </a:graphicData>
            </a:graphic>
          </wp:inline>
        </w:drawing>
      </w:r>
    </w:p>
    <w:p w14:paraId="3F472604" w14:textId="64F63BDA" w:rsidR="00AD7955" w:rsidRPr="00E851E4" w:rsidRDefault="00000000" w:rsidP="00E851E4">
      <w:pPr>
        <w:jc w:val="center"/>
        <w:rPr>
          <w:rFonts w:ascii="Times New Roman" w:hAnsi="Times New Roman" w:cs="Times New Roman"/>
          <w:iCs/>
          <w:color w:val="000000" w:themeColor="text1"/>
          <w:sz w:val="22"/>
        </w:rPr>
      </w:pPr>
      <w:r w:rsidRPr="00096639">
        <w:rPr>
          <w:rFonts w:ascii="Times New Roman" w:hAnsi="Times New Roman" w:cs="Times New Roman" w:hint="eastAsia"/>
          <w:b/>
          <w:bCs/>
          <w:iCs/>
          <w:color w:val="000000" w:themeColor="text1"/>
          <w:sz w:val="22"/>
        </w:rPr>
        <w:t xml:space="preserve">Appendix </w:t>
      </w:r>
      <w:r w:rsidR="00EF56FA">
        <w:rPr>
          <w:rFonts w:ascii="Times New Roman" w:hAnsi="Times New Roman" w:cs="Times New Roman" w:hint="eastAsia"/>
          <w:b/>
          <w:bCs/>
          <w:iCs/>
          <w:color w:val="000000" w:themeColor="text1"/>
          <w:sz w:val="22"/>
        </w:rPr>
        <w:t>5</w:t>
      </w:r>
      <w:r w:rsidRPr="00096639">
        <w:rPr>
          <w:rFonts w:ascii="Times New Roman" w:hAnsi="Times New Roman" w:cs="Times New Roman" w:hint="eastAsia"/>
          <w:b/>
          <w:bCs/>
          <w:iCs/>
          <w:color w:val="000000" w:themeColor="text1"/>
          <w:sz w:val="22"/>
        </w:rPr>
        <w:t xml:space="preserve">. </w:t>
      </w:r>
      <w:r w:rsidRPr="00096639">
        <w:rPr>
          <w:rFonts w:ascii="Times New Roman" w:hAnsi="Times New Roman" w:cs="Times New Roman"/>
          <w:iCs/>
          <w:color w:val="000000" w:themeColor="text1"/>
          <w:sz w:val="22"/>
        </w:rPr>
        <w:t>Comprehensive analysis of water purification and fertilization potential of maize straw under different pretreatments and influent concentrations</w:t>
      </w:r>
      <w:r w:rsidR="00E851E4">
        <w:rPr>
          <w:rFonts w:ascii="Times New Roman" w:hAnsi="Times New Roman" w:cs="Times New Roman" w:hint="eastAsia"/>
          <w:iCs/>
          <w:color w:val="000000" w:themeColor="text1"/>
          <w:sz w:val="22"/>
        </w:rPr>
        <w:t xml:space="preserve">. </w:t>
      </w:r>
      <w:r w:rsidRPr="00096639">
        <w:rPr>
          <w:rFonts w:ascii="Times New Roman" w:hAnsi="Times New Roman" w:cs="Times New Roman"/>
          <w:sz w:val="24"/>
          <w:szCs w:val="24"/>
        </w:rPr>
        <w:t>ABC represent Low-(L-S-C), DEF represent Medium-(L-S-C), and GHI represent High-(L-S-C) treatments. (a) denotes the integrated analysis of water quality, nutrients, and decomposition performance of maize straw; (b) denotes the integrated analysis of water purification and fertilization potential of maize straw.</w:t>
      </w:r>
    </w:p>
    <w:p w14:paraId="278A4125"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14:anchorId="4FF1AED9" wp14:editId="05CDAC94">
            <wp:extent cx="3119120" cy="2279650"/>
            <wp:effectExtent l="0" t="0" r="5080" b="6350"/>
            <wp:docPr id="1478225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25192" name="图片 1"/>
                    <pic:cNvPicPr>
                      <a:picLocks noChangeAspect="1"/>
                    </pic:cNvPicPr>
                  </pic:nvPicPr>
                  <pic:blipFill>
                    <a:blip r:embed="rId12"/>
                    <a:srcRect l="2529" t="4624" r="6290"/>
                    <a:stretch>
                      <a:fillRect/>
                    </a:stretch>
                  </pic:blipFill>
                  <pic:spPr>
                    <a:xfrm>
                      <a:off x="0" y="0"/>
                      <a:ext cx="3128473" cy="2286793"/>
                    </a:xfrm>
                    <a:prstGeom prst="rect">
                      <a:avLst/>
                    </a:prstGeom>
                    <a:ln>
                      <a:noFill/>
                    </a:ln>
                  </pic:spPr>
                </pic:pic>
              </a:graphicData>
            </a:graphic>
          </wp:inline>
        </w:drawing>
      </w:r>
    </w:p>
    <w:p w14:paraId="7DF1EC2C" w14:textId="7E5FD5CD" w:rsidR="00AD7955" w:rsidRPr="00096639" w:rsidRDefault="00000000" w:rsidP="00096639">
      <w:pPr>
        <w:jc w:val="center"/>
        <w:rPr>
          <w:rFonts w:ascii="Times New Roman" w:hAnsi="Times New Roman" w:cs="Times New Roman"/>
          <w:i/>
          <w:sz w:val="22"/>
        </w:rPr>
      </w:pPr>
      <w:r w:rsidRPr="00096639">
        <w:rPr>
          <w:rFonts w:ascii="Times New Roman" w:hAnsi="Times New Roman" w:cs="Times New Roman"/>
          <w:b/>
          <w:bCs/>
          <w:iCs/>
          <w:color w:val="000000" w:themeColor="text1"/>
          <w:sz w:val="22"/>
        </w:rPr>
        <w:t xml:space="preserve">Appendix </w:t>
      </w:r>
      <w:r w:rsidR="00EF56FA">
        <w:rPr>
          <w:rFonts w:ascii="Times New Roman" w:hAnsi="Times New Roman" w:cs="Times New Roman" w:hint="eastAsia"/>
          <w:b/>
          <w:bCs/>
          <w:iCs/>
          <w:color w:val="000000" w:themeColor="text1"/>
          <w:sz w:val="22"/>
        </w:rPr>
        <w:t>6</w:t>
      </w:r>
      <w:r w:rsidRPr="00096639">
        <w:rPr>
          <w:rFonts w:ascii="Times New Roman" w:hAnsi="Times New Roman" w:cs="Times New Roman"/>
          <w:b/>
          <w:bCs/>
          <w:iCs/>
          <w:color w:val="000000" w:themeColor="text1"/>
          <w:sz w:val="22"/>
        </w:rPr>
        <w:t>.</w:t>
      </w:r>
      <w:r w:rsidRPr="00096639">
        <w:rPr>
          <w:rFonts w:ascii="Times New Roman" w:hAnsi="Times New Roman" w:cs="Times New Roman"/>
          <w:iCs/>
          <w:sz w:val="22"/>
        </w:rPr>
        <w:t xml:space="preserve"> Pri</w:t>
      </w:r>
      <w:r w:rsidRPr="00096639">
        <w:rPr>
          <w:rFonts w:ascii="Times New Roman" w:hAnsi="Times New Roman" w:cs="Times New Roman"/>
          <w:sz w:val="22"/>
        </w:rPr>
        <w:t>ncipal Component Analysis of Maize Straw for Water Purification and Fertilization Potential.</w:t>
      </w:r>
      <w:bookmarkEnd w:id="1"/>
    </w:p>
    <w:p w14:paraId="44FE5BFB" w14:textId="77777777" w:rsidR="00AD7955" w:rsidRDefault="00AD7955">
      <w:pPr>
        <w:spacing w:line="480" w:lineRule="auto"/>
        <w:jc w:val="center"/>
        <w:rPr>
          <w:rFonts w:ascii="Times New Roman" w:eastAsia="宋体" w:hAnsi="Times New Roman" w:cs="Times New Roman"/>
          <w:b/>
          <w:bCs/>
          <w:color w:val="000000"/>
          <w:kern w:val="0"/>
          <w:sz w:val="24"/>
          <w:szCs w:val="24"/>
          <w:lang w:bidi="en-US"/>
        </w:rPr>
      </w:pPr>
    </w:p>
    <w:p w14:paraId="6D1B79BB" w14:textId="77777777" w:rsidR="00AD7955" w:rsidRDefault="00AD7955">
      <w:pPr>
        <w:spacing w:line="480" w:lineRule="auto"/>
        <w:jc w:val="center"/>
        <w:rPr>
          <w:rFonts w:ascii="Times New Roman" w:eastAsia="宋体" w:hAnsi="Times New Roman" w:cs="Times New Roman"/>
          <w:b/>
          <w:bCs/>
          <w:color w:val="000000"/>
          <w:kern w:val="0"/>
          <w:sz w:val="24"/>
          <w:szCs w:val="24"/>
          <w:lang w:bidi="en-US"/>
        </w:rPr>
      </w:pPr>
    </w:p>
    <w:p w14:paraId="5219FB0F" w14:textId="77777777" w:rsidR="00AD7955" w:rsidRDefault="00AD7955">
      <w:pPr>
        <w:spacing w:line="480" w:lineRule="auto"/>
        <w:jc w:val="center"/>
        <w:rPr>
          <w:rFonts w:ascii="Times New Roman" w:eastAsia="宋体" w:hAnsi="Times New Roman" w:cs="Times New Roman"/>
          <w:b/>
          <w:bCs/>
          <w:color w:val="000000"/>
          <w:kern w:val="0"/>
          <w:sz w:val="24"/>
          <w:szCs w:val="24"/>
          <w:lang w:bidi="en-US"/>
        </w:rPr>
      </w:pPr>
    </w:p>
    <w:p w14:paraId="49C15FAA" w14:textId="77777777" w:rsidR="00AD7955" w:rsidRDefault="00AD7955">
      <w:pPr>
        <w:spacing w:line="480" w:lineRule="auto"/>
        <w:jc w:val="center"/>
        <w:rPr>
          <w:rFonts w:ascii="Times New Roman" w:eastAsia="宋体" w:hAnsi="Times New Roman" w:cs="Times New Roman"/>
          <w:b/>
          <w:bCs/>
          <w:color w:val="000000"/>
          <w:kern w:val="0"/>
          <w:sz w:val="24"/>
          <w:szCs w:val="24"/>
          <w:lang w:bidi="en-US"/>
        </w:rPr>
      </w:pPr>
    </w:p>
    <w:p w14:paraId="1A7FE835" w14:textId="77777777" w:rsidR="00AD7955" w:rsidRDefault="00AD7955">
      <w:pPr>
        <w:spacing w:line="480" w:lineRule="auto"/>
        <w:jc w:val="center"/>
        <w:rPr>
          <w:rFonts w:ascii="Times New Roman" w:eastAsia="宋体" w:hAnsi="Times New Roman" w:cs="Times New Roman"/>
          <w:b/>
          <w:bCs/>
          <w:color w:val="000000"/>
          <w:kern w:val="0"/>
          <w:sz w:val="24"/>
          <w:szCs w:val="24"/>
          <w:lang w:bidi="en-US"/>
        </w:rPr>
      </w:pPr>
    </w:p>
    <w:p w14:paraId="2D0CA91B" w14:textId="77777777" w:rsidR="00AD7955" w:rsidRDefault="00AD7955" w:rsidP="00790349">
      <w:pPr>
        <w:spacing w:line="480" w:lineRule="auto"/>
        <w:rPr>
          <w:rFonts w:ascii="Times New Roman" w:eastAsia="宋体" w:hAnsi="Times New Roman" w:cs="Times New Roman" w:hint="eastAsia"/>
          <w:b/>
          <w:bCs/>
          <w:color w:val="000000"/>
          <w:kern w:val="0"/>
          <w:sz w:val="24"/>
          <w:szCs w:val="24"/>
          <w:lang w:bidi="en-US"/>
        </w:rPr>
      </w:pPr>
    </w:p>
    <w:p w14:paraId="59C03F1B" w14:textId="77777777" w:rsidR="00AD7955" w:rsidRDefault="00000000" w:rsidP="00790349">
      <w:pPr>
        <w:jc w:val="center"/>
        <w:rPr>
          <w:rFonts w:ascii="Times New Roman" w:hAnsi="Times New Roman"/>
          <w:sz w:val="24"/>
          <w:szCs w:val="24"/>
        </w:rPr>
      </w:pPr>
      <w:r>
        <w:rPr>
          <w:rFonts w:ascii="Times New Roman" w:eastAsia="宋体" w:hAnsi="Times New Roman" w:cs="Times New Roman" w:hint="eastAsia"/>
          <w:b/>
          <w:bCs/>
          <w:color w:val="000000"/>
          <w:kern w:val="0"/>
          <w:sz w:val="24"/>
          <w:szCs w:val="24"/>
          <w:lang w:bidi="en-US"/>
        </w:rPr>
        <w:lastRenderedPageBreak/>
        <w:t xml:space="preserve">Table S1. </w:t>
      </w:r>
      <w:r>
        <w:rPr>
          <w:rFonts w:ascii="Times New Roman" w:hAnsi="Times New Roman"/>
          <w:sz w:val="24"/>
          <w:szCs w:val="24"/>
        </w:rPr>
        <w:t>The maximum positions and characteristics of the three components identified by fluorescence-PARAFAC analysis in this study, as well as their comparison with previously identified components.</w:t>
      </w:r>
    </w:p>
    <w:tbl>
      <w:tblPr>
        <w:tblStyle w:val="ab"/>
        <w:tblW w:w="921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1350"/>
        <w:gridCol w:w="1377"/>
        <w:gridCol w:w="3099"/>
        <w:gridCol w:w="2051"/>
      </w:tblGrid>
      <w:tr w:rsidR="00AD7955" w14:paraId="7F587B64" w14:textId="77777777" w:rsidTr="00790349">
        <w:trPr>
          <w:jc w:val="center"/>
        </w:trPr>
        <w:tc>
          <w:tcPr>
            <w:tcW w:w="2687" w:type="dxa"/>
            <w:gridSpan w:val="2"/>
            <w:tcBorders>
              <w:top w:val="single" w:sz="12" w:space="0" w:color="auto"/>
              <w:bottom w:val="single" w:sz="4" w:space="0" w:color="auto"/>
            </w:tcBorders>
            <w:vAlign w:val="center"/>
          </w:tcPr>
          <w:p w14:paraId="3F41E7E5"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This study</w:t>
            </w:r>
          </w:p>
        </w:tc>
        <w:tc>
          <w:tcPr>
            <w:tcW w:w="4476" w:type="dxa"/>
            <w:gridSpan w:val="2"/>
            <w:tcBorders>
              <w:top w:val="single" w:sz="12" w:space="0" w:color="auto"/>
              <w:bottom w:val="single" w:sz="4" w:space="0" w:color="auto"/>
            </w:tcBorders>
            <w:vAlign w:val="center"/>
          </w:tcPr>
          <w:p w14:paraId="5E6A040C"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Previous studies</w:t>
            </w:r>
          </w:p>
        </w:tc>
        <w:tc>
          <w:tcPr>
            <w:tcW w:w="2051" w:type="dxa"/>
            <w:vMerge w:val="restart"/>
            <w:tcBorders>
              <w:top w:val="single" w:sz="12" w:space="0" w:color="auto"/>
              <w:bottom w:val="single" w:sz="8" w:space="0" w:color="auto"/>
            </w:tcBorders>
            <w:vAlign w:val="center"/>
          </w:tcPr>
          <w:p w14:paraId="242A219E"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Refs</w:t>
            </w:r>
          </w:p>
        </w:tc>
      </w:tr>
      <w:tr w:rsidR="00AD7955" w14:paraId="3A43DE21" w14:textId="77777777">
        <w:trPr>
          <w:jc w:val="center"/>
        </w:trPr>
        <w:tc>
          <w:tcPr>
            <w:tcW w:w="1337" w:type="dxa"/>
            <w:tcBorders>
              <w:top w:val="single" w:sz="4" w:space="0" w:color="auto"/>
              <w:bottom w:val="single" w:sz="8" w:space="0" w:color="auto"/>
            </w:tcBorders>
            <w:vAlign w:val="center"/>
          </w:tcPr>
          <w:p w14:paraId="0082B919"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Component</w:t>
            </w:r>
          </w:p>
        </w:tc>
        <w:tc>
          <w:tcPr>
            <w:tcW w:w="1350" w:type="dxa"/>
            <w:tcBorders>
              <w:top w:val="single" w:sz="4" w:space="0" w:color="auto"/>
              <w:bottom w:val="single" w:sz="8" w:space="0" w:color="auto"/>
            </w:tcBorders>
            <w:vAlign w:val="center"/>
          </w:tcPr>
          <w:p w14:paraId="32039AAC"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Ex/Em(nm)</w:t>
            </w:r>
          </w:p>
        </w:tc>
        <w:tc>
          <w:tcPr>
            <w:tcW w:w="1377" w:type="dxa"/>
            <w:tcBorders>
              <w:top w:val="single" w:sz="4" w:space="0" w:color="auto"/>
              <w:bottom w:val="single" w:sz="8" w:space="0" w:color="auto"/>
            </w:tcBorders>
            <w:vAlign w:val="center"/>
          </w:tcPr>
          <w:p w14:paraId="4F5180DE"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Compound</w:t>
            </w:r>
          </w:p>
        </w:tc>
        <w:tc>
          <w:tcPr>
            <w:tcW w:w="3099" w:type="dxa"/>
            <w:tcBorders>
              <w:top w:val="single" w:sz="4" w:space="0" w:color="auto"/>
              <w:bottom w:val="single" w:sz="8" w:space="0" w:color="auto"/>
            </w:tcBorders>
            <w:vAlign w:val="center"/>
          </w:tcPr>
          <w:p w14:paraId="04C99576"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Description and assignment</w:t>
            </w:r>
          </w:p>
        </w:tc>
        <w:tc>
          <w:tcPr>
            <w:tcW w:w="2051" w:type="dxa"/>
            <w:vMerge/>
            <w:tcBorders>
              <w:top w:val="nil"/>
              <w:bottom w:val="single" w:sz="8" w:space="0" w:color="auto"/>
            </w:tcBorders>
            <w:vAlign w:val="center"/>
          </w:tcPr>
          <w:p w14:paraId="447792B4" w14:textId="77777777" w:rsidR="00AD7955" w:rsidRDefault="00AD7955">
            <w:pPr>
              <w:jc w:val="center"/>
              <w:rPr>
                <w:rFonts w:ascii="Times New Roman" w:eastAsia="宋体" w:hAnsi="Times New Roman" w:cs="Times New Roman"/>
                <w:sz w:val="24"/>
                <w:szCs w:val="24"/>
              </w:rPr>
            </w:pPr>
          </w:p>
        </w:tc>
      </w:tr>
      <w:tr w:rsidR="00AD7955" w14:paraId="38D394DD" w14:textId="77777777">
        <w:trPr>
          <w:trHeight w:val="397"/>
          <w:jc w:val="center"/>
        </w:trPr>
        <w:tc>
          <w:tcPr>
            <w:tcW w:w="1337" w:type="dxa"/>
            <w:tcBorders>
              <w:top w:val="single" w:sz="8" w:space="0" w:color="auto"/>
            </w:tcBorders>
            <w:vAlign w:val="center"/>
          </w:tcPr>
          <w:p w14:paraId="58AD708D"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C1</w:t>
            </w:r>
          </w:p>
        </w:tc>
        <w:tc>
          <w:tcPr>
            <w:tcW w:w="1350" w:type="dxa"/>
            <w:tcBorders>
              <w:top w:val="single" w:sz="8" w:space="0" w:color="auto"/>
            </w:tcBorders>
            <w:vAlign w:val="center"/>
          </w:tcPr>
          <w:p w14:paraId="10C3C5E4"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330/430</w:t>
            </w:r>
          </w:p>
        </w:tc>
        <w:tc>
          <w:tcPr>
            <w:tcW w:w="1377" w:type="dxa"/>
            <w:tcBorders>
              <w:top w:val="single" w:sz="8" w:space="0" w:color="auto"/>
            </w:tcBorders>
            <w:vAlign w:val="center"/>
          </w:tcPr>
          <w:p w14:paraId="418B6830"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Humic acid-like</w:t>
            </w:r>
          </w:p>
        </w:tc>
        <w:tc>
          <w:tcPr>
            <w:tcW w:w="3099" w:type="dxa"/>
            <w:tcBorders>
              <w:top w:val="single" w:sz="8" w:space="0" w:color="auto"/>
            </w:tcBorders>
            <w:vAlign w:val="center"/>
          </w:tcPr>
          <w:p w14:paraId="1C28C14C"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UVC + UVA humic acid-like</w:t>
            </w:r>
          </w:p>
        </w:tc>
        <w:tc>
          <w:tcPr>
            <w:tcW w:w="2051" w:type="dxa"/>
            <w:tcBorders>
              <w:top w:val="single" w:sz="8" w:space="0" w:color="auto"/>
            </w:tcBorders>
            <w:vAlign w:val="center"/>
          </w:tcPr>
          <w:p w14:paraId="628C3B80"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fldChar w:fldCharType="begin">
                <w:fldData xml:space="preserve">PEVuZE5vdGU+PENpdGU+PEF1dGhvcj5NY0ludHlyZTwvQXV0aG9yPjxZZWFyPjIwMTM8L1llYXI+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==
</w:fldData>
              </w:fldChar>
            </w:r>
            <w:r>
              <w:rPr>
                <w:rFonts w:ascii="Times New Roman" w:eastAsia="宋体" w:hAnsi="Times New Roman" w:cs="Times New Roman"/>
                <w:sz w:val="24"/>
                <w:szCs w:val="24"/>
              </w:rPr>
              <w:instrText xml:space="preserve"> ADDIN EN.CITE </w:instrText>
            </w:r>
            <w:r>
              <w:rPr>
                <w:rFonts w:ascii="Times New Roman" w:eastAsia="宋体" w:hAnsi="Times New Roman" w:cs="Times New Roman"/>
                <w:sz w:val="24"/>
                <w:szCs w:val="24"/>
              </w:rPr>
              <w:fldChar w:fldCharType="begin">
                <w:fldData xml:space="preserve">PEVuZE5vdGU+PENpdGU+PEF1dGhvcj5NY0ludHlyZTwvQXV0aG9yPjxZZWFyPjIwMTM8L1llYXI+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==
</w:fldData>
              </w:fldChar>
            </w:r>
            <w:r>
              <w:rPr>
                <w:rFonts w:ascii="Times New Roman" w:eastAsia="宋体" w:hAnsi="Times New Roman" w:cs="Times New Roman"/>
                <w:sz w:val="24"/>
                <w:szCs w:val="24"/>
              </w:rPr>
              <w:instrText xml:space="preserve"> ADDIN EN.CITE.DATA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(Fellman et al., 2010; Ishii and Boyer, 2012; McIntyre and Guéguen, 2013)</w:t>
            </w:r>
            <w:r>
              <w:rPr>
                <w:rFonts w:ascii="Times New Roman" w:eastAsia="宋体" w:hAnsi="Times New Roman" w:cs="Times New Roman"/>
                <w:sz w:val="24"/>
                <w:szCs w:val="24"/>
              </w:rPr>
              <w:fldChar w:fldCharType="end"/>
            </w:r>
          </w:p>
        </w:tc>
      </w:tr>
      <w:tr w:rsidR="00AD7955" w14:paraId="4B931C99" w14:textId="77777777">
        <w:trPr>
          <w:jc w:val="center"/>
        </w:trPr>
        <w:tc>
          <w:tcPr>
            <w:tcW w:w="1337" w:type="dxa"/>
            <w:vAlign w:val="center"/>
          </w:tcPr>
          <w:p w14:paraId="2802A353"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C2</w:t>
            </w:r>
          </w:p>
        </w:tc>
        <w:tc>
          <w:tcPr>
            <w:tcW w:w="1350" w:type="dxa"/>
            <w:vAlign w:val="center"/>
          </w:tcPr>
          <w:p w14:paraId="0840741C"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275/313</w:t>
            </w:r>
          </w:p>
        </w:tc>
        <w:tc>
          <w:tcPr>
            <w:tcW w:w="1377" w:type="dxa"/>
            <w:vAlign w:val="center"/>
          </w:tcPr>
          <w:p w14:paraId="2BB2F831"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Protein like</w:t>
            </w:r>
          </w:p>
        </w:tc>
        <w:tc>
          <w:tcPr>
            <w:tcW w:w="3099" w:type="dxa"/>
            <w:vAlign w:val="center"/>
          </w:tcPr>
          <w:p w14:paraId="0BE8351D"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Aromatic protein containing tryptophan and tyrosine</w:t>
            </w:r>
          </w:p>
        </w:tc>
        <w:tc>
          <w:tcPr>
            <w:tcW w:w="2051" w:type="dxa"/>
            <w:vAlign w:val="center"/>
          </w:tcPr>
          <w:p w14:paraId="664A4DAF"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ADDIN EN.CITE &lt;EndNote&gt;&lt;Cite&gt;&lt;Author&gt;Stedmon&lt;/Author&gt;&lt;Year&gt;2008&lt;/Year&gt;&lt;RecNum&gt;390&lt;/RecNum&gt;&lt;DisplayText&gt;(Chen et al., 2003; Stedmon and Bro, 2008)&lt;/DisplayText&gt;&lt;record&gt;&lt;rec-number&gt;390&lt;/rec-number&gt;&lt;foreign-keys&gt;&lt;key app="EN" db-id="wadfs2vx0dx221ex2z1px2eqrdvxfwxpvs5r" timestamp="1754486495"&gt;390&lt;/key&gt;&lt;/foreign-keys&gt;&lt;ref-type name="Journal Article"&gt;17&lt;/ref-type&gt;&lt;contributors&gt;&lt;authors&gt;&lt;author&gt;Stedmon, Colin A&lt;/author&gt;&lt;author&gt;Bro, Rasmus&lt;/author&gt;&lt;/authors&gt;&lt;/contributors&gt;&lt;titles&gt;&lt;title&gt;Characterizing dissolved organic matter fluorescence with parallel factor analysis: a tutorial&lt;/title&gt;&lt;secondary-title&gt;Limnology and Oceanography: Methods&lt;/secondary-title&gt;&lt;/titles&gt;&lt;periodical&gt;&lt;full-title&gt;Limnology and Oceanography: Methods&lt;/full-title&gt;&lt;/periodical&gt;&lt;pages&gt;572-579&lt;/pages&gt;&lt;volume&gt;6&lt;/volume&gt;&lt;number&gt;11&lt;/number&gt;&lt;dates&gt;&lt;year&gt;2008&lt;/year&gt;&lt;/dates&gt;&lt;isbn&gt;1541-5856&lt;/isbn&gt;&lt;urls&gt;&lt;/urls&gt;&lt;/record&gt;&lt;/Cite&gt;&lt;Cite&gt;&lt;Author&gt;Chen&lt;/Author&gt;&lt;Year&gt;2003&lt;/Year&gt;&lt;RecNum&gt;391&lt;/RecNum&gt;&lt;record&gt;&lt;rec-number&gt;391&lt;/rec-number&gt;&lt;foreign-keys&gt;&lt;key app="EN" db-id="wadfs2vx0dx221ex2z1px2eqrdvxfwxpvs5r" timestamp="1754486543"&gt;391&lt;/key&gt;&lt;/foreign-keys&gt;&lt;ref-type name="Journal Article"&gt;17&lt;/ref-type&gt;&lt;contributors&gt;&lt;authors&gt;&lt;author&gt;Chen, Wen&lt;/author&gt;&lt;author&gt;Westerhoff, Paul&lt;/author&gt;&lt;author&gt;Leenheer, Jerry A&lt;/author&gt;&lt;author&gt;Booksh, Karl&lt;/author&gt;&lt;/authors&gt;&lt;/contributors&gt;&lt;titles&gt;&lt;title&gt;Fluorescence excitation− emission matrix regional integration to quantify spectra for dissolved organic matter&lt;/title&gt;&lt;secondary-title&gt;Environmental science &amp;amp; technology&lt;/secondary-title&gt;&lt;/titles&gt;&lt;periodical&gt;&lt;full-title&gt;Environmental Science &amp;amp; Technology&lt;/full-title&gt;&lt;/periodical&gt;&lt;pages&gt;5701-5710&lt;/pages&gt;&lt;volume&gt;37&lt;/volume&gt;&lt;number&gt;24&lt;/number&gt;&lt;dates&gt;&lt;year&gt;2003&lt;/year&gt;&lt;/dates&gt;&lt;isbn&gt;0013-936X&lt;/isbn&gt;&lt;urls&gt;&lt;/urls&gt;&lt;/record&gt;&lt;/Cite&gt;&lt;/EndNote&gt;</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(Chen et al., 2003; Stedmon and Bro, 2008)</w:t>
            </w:r>
            <w:r>
              <w:rPr>
                <w:rFonts w:ascii="Times New Roman" w:eastAsia="宋体" w:hAnsi="Times New Roman" w:cs="Times New Roman"/>
                <w:sz w:val="24"/>
                <w:szCs w:val="24"/>
              </w:rPr>
              <w:fldChar w:fldCharType="end"/>
            </w:r>
          </w:p>
        </w:tc>
      </w:tr>
      <w:tr w:rsidR="00AD7955" w14:paraId="4BD97FF6" w14:textId="77777777" w:rsidTr="00790349">
        <w:trPr>
          <w:jc w:val="center"/>
        </w:trPr>
        <w:tc>
          <w:tcPr>
            <w:tcW w:w="1337" w:type="dxa"/>
            <w:tcBorders>
              <w:bottom w:val="single" w:sz="12" w:space="0" w:color="auto"/>
            </w:tcBorders>
            <w:vAlign w:val="center"/>
          </w:tcPr>
          <w:p w14:paraId="65BCF43E"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C3</w:t>
            </w:r>
          </w:p>
        </w:tc>
        <w:tc>
          <w:tcPr>
            <w:tcW w:w="1350" w:type="dxa"/>
            <w:tcBorders>
              <w:bottom w:val="single" w:sz="12" w:space="0" w:color="auto"/>
            </w:tcBorders>
            <w:vAlign w:val="center"/>
          </w:tcPr>
          <w:p w14:paraId="1CF2E67C"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410/490</w:t>
            </w:r>
          </w:p>
        </w:tc>
        <w:tc>
          <w:tcPr>
            <w:tcW w:w="1377" w:type="dxa"/>
            <w:tcBorders>
              <w:bottom w:val="single" w:sz="12" w:space="0" w:color="auto"/>
            </w:tcBorders>
            <w:vAlign w:val="center"/>
          </w:tcPr>
          <w:p w14:paraId="2D80F578"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Humic acid-like</w:t>
            </w:r>
          </w:p>
        </w:tc>
        <w:tc>
          <w:tcPr>
            <w:tcW w:w="3099" w:type="dxa"/>
            <w:tcBorders>
              <w:bottom w:val="single" w:sz="12" w:space="0" w:color="auto"/>
            </w:tcBorders>
            <w:vAlign w:val="center"/>
          </w:tcPr>
          <w:p w14:paraId="4755CEF1"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UVA humic acid-like, low molecular weight humic acid</w:t>
            </w:r>
          </w:p>
        </w:tc>
        <w:tc>
          <w:tcPr>
            <w:tcW w:w="2051" w:type="dxa"/>
            <w:tcBorders>
              <w:bottom w:val="single" w:sz="12" w:space="0" w:color="auto"/>
            </w:tcBorders>
            <w:vAlign w:val="center"/>
          </w:tcPr>
          <w:p w14:paraId="41F0BEEE"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ADDIN EN.CITE &lt;EndNote&gt;&lt;Cite&gt;&lt;Author&gt;Fellman&lt;/Author&gt;&lt;Year&gt;2010&lt;/Year&gt;&lt;RecNum&gt;392&lt;/RecNum&gt;&lt;DisplayText&gt;(Chen et al., 2003; Fellman et al., 2010)&lt;/DisplayText&gt;&lt;record&gt;&lt;rec-number&gt;392&lt;/rec-number&gt;&lt;foreign-keys&gt;&lt;key app="EN" db-id="wadfs2vx0dx221ex2z1px2eqrdvxfwxpvs5r" timestamp="1754486592"&gt;392&lt;/key&gt;&lt;/foreign-keys&gt;&lt;ref-type name="Journal Article"&gt;17&lt;/ref-type&gt;&lt;contributors&gt;&lt;authors&gt;&lt;author&gt;Fellman, Jason B&lt;/author&gt;&lt;author&gt;Hood, Eran&lt;/author&gt;&lt;author&gt;Spencer, Robert GM&lt;/author&gt;&lt;/authors&gt;&lt;/contributors&gt;&lt;titles&gt;&lt;title&gt;Fluorescence spectroscopy opens new windows into dissolved organic matter dynamics in freshwater ecosystems: A review&lt;/title&gt;&lt;secondary-title&gt;Limnology and oceanography&lt;/secondary-title&gt;&lt;/titles&gt;&lt;periodical&gt;&lt;full-title&gt;Limnology and oceanography&lt;/full-title&gt;&lt;/periodical&gt;&lt;pages&gt;2452-2462&lt;/pages&gt;&lt;volume&gt;55&lt;/volume&gt;&lt;number&gt;6&lt;/number&gt;&lt;dates&gt;&lt;year&gt;2010&lt;/year&gt;&lt;/dates&gt;&lt;isbn&gt;0024-3590&lt;/isbn&gt;&lt;urls&gt;&lt;/urls&gt;&lt;/record&gt;&lt;/Cite&gt;&lt;Cite&gt;&lt;Author&gt;Chen&lt;/Author&gt;&lt;Year&gt;2003&lt;/Year&gt;&lt;RecNum&gt;393&lt;/RecNum&gt;&lt;record&gt;&lt;rec-number&gt;393&lt;/rec-number&gt;&lt;foreign-keys&gt;&lt;key app="EN" db-id="wadfs2vx0dx221ex2z1px2eqrdvxfwxpvs5r" timestamp="1754486633"&gt;393&lt;/key&gt;&lt;/foreign-keys&gt;&lt;ref-type name="Journal Article"&gt;17&lt;/ref-type&gt;&lt;contributors&gt;&lt;authors&gt;&lt;author&gt;Chen, Wen&lt;/author&gt;&lt;author&gt;Westerhoff, Paul&lt;/author&gt;&lt;author&gt;Leenheer, Jerry A&lt;/author&gt;&lt;author&gt;Booksh, Karl&lt;/author&gt;&lt;/authors&gt;&lt;/contributors&gt;&lt;titles&gt;&lt;title&gt;Fluorescence excitation− emission matrix regional integration to quantify spectra for dissolved organic matter&lt;/title&gt;&lt;secondary-title&gt;Environmental science &amp;amp; technology&lt;/secondary-title&gt;&lt;/titles&gt;&lt;periodical&gt;&lt;full-title&gt;Environmental Science &amp;amp; Technology&lt;/full-title&gt;&lt;/periodical&gt;&lt;pages&gt;5701-5710&lt;/pages&gt;&lt;volume&gt;37&lt;/volume&gt;&lt;number&gt;24&lt;/number&gt;&lt;dates&gt;&lt;year&gt;2003&lt;/year&gt;&lt;/dates&gt;&lt;isbn&gt;0013-936X&lt;/isbn&gt;&lt;urls&gt;&lt;/urls&gt;&lt;/record&gt;&lt;/Cite&gt;&lt;/EndNote&gt;</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(Chen et al., 2003; Fellman et al., 2010)</w:t>
            </w:r>
            <w:r>
              <w:rPr>
                <w:rFonts w:ascii="Times New Roman" w:eastAsia="宋体" w:hAnsi="Times New Roman" w:cs="Times New Roman"/>
                <w:sz w:val="24"/>
                <w:szCs w:val="24"/>
              </w:rPr>
              <w:fldChar w:fldCharType="end"/>
            </w:r>
          </w:p>
        </w:tc>
      </w:tr>
    </w:tbl>
    <w:p w14:paraId="42D0CC78" w14:textId="77777777" w:rsidR="00E851E4" w:rsidRDefault="00E851E4" w:rsidP="00DA0FE6">
      <w:pPr>
        <w:rPr>
          <w:rFonts w:ascii="Times New Roman" w:eastAsia="宋体" w:hAnsi="Times New Roman" w:cs="Times New Roman" w:hint="eastAsia"/>
          <w:b/>
          <w:bCs/>
          <w:color w:val="000000"/>
          <w:kern w:val="0"/>
          <w:sz w:val="24"/>
          <w:szCs w:val="24"/>
          <w:lang w:bidi="en-US"/>
        </w:rPr>
      </w:pPr>
    </w:p>
    <w:p w14:paraId="3D3AE76B" w14:textId="2D8E2FE9" w:rsidR="00AD7955" w:rsidRDefault="00000000" w:rsidP="00790349">
      <w:pPr>
        <w:jc w:val="center"/>
        <w:rPr>
          <w:rFonts w:ascii="Times New Roman" w:hAnsi="Times New Roman" w:cs="Times New Roman"/>
          <w:sz w:val="24"/>
          <w:szCs w:val="24"/>
        </w:rPr>
      </w:pPr>
      <w:r>
        <w:rPr>
          <w:rFonts w:ascii="Times New Roman" w:eastAsia="宋体" w:hAnsi="Times New Roman" w:cs="Times New Roman" w:hint="eastAsia"/>
          <w:b/>
          <w:bCs/>
          <w:color w:val="000000"/>
          <w:kern w:val="0"/>
          <w:sz w:val="24"/>
          <w:szCs w:val="24"/>
          <w:lang w:bidi="en-US"/>
        </w:rPr>
        <w:t xml:space="preserve">Table S2. </w:t>
      </w:r>
      <w:r>
        <w:rPr>
          <w:rFonts w:ascii="Times New Roman" w:hAnsi="Times New Roman" w:cs="Times New Roman"/>
          <w:sz w:val="24"/>
          <w:szCs w:val="24"/>
        </w:rPr>
        <w:t>Weighted analysis of water purification performance, nutrient content, and decomposition characteristics of maize straw under different pretreatments and influent concentrations.</w:t>
      </w:r>
    </w:p>
    <w:tbl>
      <w:tblPr>
        <w:tblStyle w:val="ab"/>
        <w:tblW w:w="6663"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1"/>
        <w:gridCol w:w="1299"/>
        <w:gridCol w:w="923"/>
        <w:gridCol w:w="1110"/>
        <w:gridCol w:w="1110"/>
        <w:gridCol w:w="1110"/>
      </w:tblGrid>
      <w:tr w:rsidR="00AD7955" w14:paraId="581C1AD2" w14:textId="77777777" w:rsidTr="00790349">
        <w:trPr>
          <w:jc w:val="center"/>
        </w:trPr>
        <w:tc>
          <w:tcPr>
            <w:tcW w:w="1111" w:type="dxa"/>
            <w:tcBorders>
              <w:top w:val="single" w:sz="12" w:space="0" w:color="auto"/>
              <w:bottom w:val="single" w:sz="8" w:space="0" w:color="auto"/>
            </w:tcBorders>
            <w:vAlign w:val="center"/>
          </w:tcPr>
          <w:p w14:paraId="17CCDB33" w14:textId="77777777" w:rsidR="00AD7955" w:rsidRDefault="00000000">
            <w:pPr>
              <w:snapToGrid w:val="0"/>
              <w:jc w:val="center"/>
              <w:rPr>
                <w:rFonts w:ascii="Times New Roman" w:eastAsia="宋体" w:hAnsi="Times New Roman" w:cs="Times New Roman"/>
                <w:sz w:val="24"/>
                <w:szCs w:val="24"/>
              </w:rPr>
            </w:pPr>
            <w:bookmarkStart w:id="3" w:name="_Hlk208928513"/>
            <w:r>
              <w:rPr>
                <w:rFonts w:ascii="Times New Roman" w:eastAsia="宋体" w:hAnsi="Times New Roman" w:cs="Times New Roman"/>
                <w:sz w:val="24"/>
                <w:szCs w:val="24"/>
              </w:rPr>
              <w:t>Influent concentration</w:t>
            </w:r>
          </w:p>
        </w:tc>
        <w:tc>
          <w:tcPr>
            <w:tcW w:w="1299" w:type="dxa"/>
            <w:tcBorders>
              <w:top w:val="single" w:sz="12" w:space="0" w:color="auto"/>
              <w:bottom w:val="single" w:sz="8" w:space="0" w:color="auto"/>
            </w:tcBorders>
            <w:vAlign w:val="center"/>
          </w:tcPr>
          <w:p w14:paraId="2901F983"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Treatment type</w:t>
            </w:r>
          </w:p>
        </w:tc>
        <w:tc>
          <w:tcPr>
            <w:tcW w:w="923" w:type="dxa"/>
            <w:tcBorders>
              <w:top w:val="single" w:sz="12" w:space="0" w:color="auto"/>
              <w:bottom w:val="single" w:sz="8" w:space="0" w:color="auto"/>
            </w:tcBorders>
            <w:vAlign w:val="center"/>
          </w:tcPr>
          <w:p w14:paraId="4BCDE317"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Water purification</w:t>
            </w:r>
          </w:p>
        </w:tc>
        <w:tc>
          <w:tcPr>
            <w:tcW w:w="1110" w:type="dxa"/>
            <w:tcBorders>
              <w:top w:val="single" w:sz="12" w:space="0" w:color="auto"/>
              <w:bottom w:val="single" w:sz="8" w:space="0" w:color="auto"/>
            </w:tcBorders>
            <w:vAlign w:val="center"/>
          </w:tcPr>
          <w:p w14:paraId="348DD4A7"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Nutrient retention</w:t>
            </w:r>
          </w:p>
        </w:tc>
        <w:tc>
          <w:tcPr>
            <w:tcW w:w="1110" w:type="dxa"/>
            <w:tcBorders>
              <w:top w:val="single" w:sz="12" w:space="0" w:color="auto"/>
              <w:bottom w:val="single" w:sz="8" w:space="0" w:color="auto"/>
            </w:tcBorders>
            <w:vAlign w:val="center"/>
          </w:tcPr>
          <w:p w14:paraId="4023E8B4"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Decomposition</w:t>
            </w:r>
          </w:p>
        </w:tc>
        <w:tc>
          <w:tcPr>
            <w:tcW w:w="1110" w:type="dxa"/>
            <w:tcBorders>
              <w:top w:val="single" w:sz="12" w:space="0" w:color="auto"/>
              <w:bottom w:val="single" w:sz="8" w:space="0" w:color="auto"/>
            </w:tcBorders>
            <w:vAlign w:val="center"/>
          </w:tcPr>
          <w:p w14:paraId="3CA319A8"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Composite score</w:t>
            </w:r>
          </w:p>
        </w:tc>
      </w:tr>
      <w:tr w:rsidR="00AD7955" w14:paraId="4C7CD2C6" w14:textId="77777777">
        <w:trPr>
          <w:trHeight w:val="170"/>
          <w:jc w:val="center"/>
        </w:trPr>
        <w:tc>
          <w:tcPr>
            <w:tcW w:w="1111" w:type="dxa"/>
            <w:tcBorders>
              <w:top w:val="single" w:sz="8" w:space="0" w:color="auto"/>
            </w:tcBorders>
            <w:vAlign w:val="center"/>
          </w:tcPr>
          <w:p w14:paraId="493DCD7E"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Low</w:t>
            </w:r>
          </w:p>
        </w:tc>
        <w:tc>
          <w:tcPr>
            <w:tcW w:w="1299" w:type="dxa"/>
            <w:tcBorders>
              <w:top w:val="single" w:sz="8" w:space="0" w:color="auto"/>
            </w:tcBorders>
            <w:vAlign w:val="center"/>
          </w:tcPr>
          <w:p w14:paraId="6301477E"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 xml:space="preserve">3 cm  </w:t>
            </w:r>
          </w:p>
        </w:tc>
        <w:tc>
          <w:tcPr>
            <w:tcW w:w="923" w:type="dxa"/>
            <w:tcBorders>
              <w:top w:val="single" w:sz="8" w:space="0" w:color="auto"/>
            </w:tcBorders>
            <w:vAlign w:val="center"/>
          </w:tcPr>
          <w:p w14:paraId="43209C1E"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0.53</w:t>
            </w:r>
          </w:p>
        </w:tc>
        <w:tc>
          <w:tcPr>
            <w:tcW w:w="1110" w:type="dxa"/>
            <w:tcBorders>
              <w:top w:val="single" w:sz="8" w:space="0" w:color="auto"/>
            </w:tcBorders>
            <w:vAlign w:val="center"/>
          </w:tcPr>
          <w:p w14:paraId="55120197"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0.33</w:t>
            </w:r>
          </w:p>
        </w:tc>
        <w:tc>
          <w:tcPr>
            <w:tcW w:w="1110" w:type="dxa"/>
            <w:tcBorders>
              <w:top w:val="single" w:sz="8" w:space="0" w:color="auto"/>
            </w:tcBorders>
            <w:vAlign w:val="center"/>
          </w:tcPr>
          <w:p w14:paraId="2ED3DDC4"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w:t>
            </w:r>
          </w:p>
        </w:tc>
        <w:tc>
          <w:tcPr>
            <w:tcW w:w="1110" w:type="dxa"/>
            <w:tcBorders>
              <w:top w:val="single" w:sz="8" w:space="0" w:color="auto"/>
            </w:tcBorders>
            <w:vAlign w:val="center"/>
          </w:tcPr>
          <w:p w14:paraId="10EF6EDD"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sz w:val="24"/>
                <w:szCs w:val="24"/>
              </w:rPr>
              <w:t>2.15</w:t>
            </w:r>
          </w:p>
        </w:tc>
      </w:tr>
      <w:tr w:rsidR="00AD7955" w14:paraId="34DEDCE1" w14:textId="77777777">
        <w:trPr>
          <w:jc w:val="center"/>
        </w:trPr>
        <w:tc>
          <w:tcPr>
            <w:tcW w:w="1111" w:type="dxa"/>
            <w:vAlign w:val="center"/>
          </w:tcPr>
          <w:p w14:paraId="6BAEE280"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Low</w:t>
            </w:r>
          </w:p>
        </w:tc>
        <w:tc>
          <w:tcPr>
            <w:tcW w:w="1299" w:type="dxa"/>
            <w:vAlign w:val="center"/>
          </w:tcPr>
          <w:p w14:paraId="2F3429E8"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6 cm</w:t>
            </w:r>
          </w:p>
        </w:tc>
        <w:tc>
          <w:tcPr>
            <w:tcW w:w="923" w:type="dxa"/>
            <w:vAlign w:val="center"/>
          </w:tcPr>
          <w:p w14:paraId="7F388836"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0.69</w:t>
            </w:r>
          </w:p>
        </w:tc>
        <w:tc>
          <w:tcPr>
            <w:tcW w:w="1110" w:type="dxa"/>
            <w:vAlign w:val="center"/>
          </w:tcPr>
          <w:p w14:paraId="36CE8524"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0.40</w:t>
            </w:r>
          </w:p>
        </w:tc>
        <w:tc>
          <w:tcPr>
            <w:tcW w:w="1110" w:type="dxa"/>
            <w:vAlign w:val="center"/>
          </w:tcPr>
          <w:p w14:paraId="2BD683EE"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0.30</w:t>
            </w:r>
          </w:p>
        </w:tc>
        <w:tc>
          <w:tcPr>
            <w:tcW w:w="1110" w:type="dxa"/>
            <w:vAlign w:val="center"/>
          </w:tcPr>
          <w:p w14:paraId="5F9010BC"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1.39</w:t>
            </w:r>
          </w:p>
        </w:tc>
      </w:tr>
      <w:tr w:rsidR="00AD7955" w14:paraId="044F565C" w14:textId="77777777">
        <w:trPr>
          <w:jc w:val="center"/>
        </w:trPr>
        <w:tc>
          <w:tcPr>
            <w:tcW w:w="1111" w:type="dxa"/>
            <w:vAlign w:val="center"/>
          </w:tcPr>
          <w:p w14:paraId="64CC82BF"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Low</w:t>
            </w:r>
          </w:p>
        </w:tc>
        <w:tc>
          <w:tcPr>
            <w:tcW w:w="1299" w:type="dxa"/>
            <w:vAlign w:val="center"/>
          </w:tcPr>
          <w:p w14:paraId="14C0BF84"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 xml:space="preserve">Crushed     </w:t>
            </w:r>
          </w:p>
        </w:tc>
        <w:tc>
          <w:tcPr>
            <w:tcW w:w="923" w:type="dxa"/>
            <w:vAlign w:val="center"/>
          </w:tcPr>
          <w:p w14:paraId="417FF488"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0.92</w:t>
            </w:r>
          </w:p>
        </w:tc>
        <w:tc>
          <w:tcPr>
            <w:tcW w:w="1110" w:type="dxa"/>
            <w:vAlign w:val="center"/>
          </w:tcPr>
          <w:p w14:paraId="64D4ED7B"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0.42</w:t>
            </w:r>
          </w:p>
        </w:tc>
        <w:tc>
          <w:tcPr>
            <w:tcW w:w="1110" w:type="dxa"/>
            <w:vAlign w:val="center"/>
          </w:tcPr>
          <w:p w14:paraId="57A76CFC"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0.81</w:t>
            </w:r>
          </w:p>
        </w:tc>
        <w:tc>
          <w:tcPr>
            <w:tcW w:w="1110" w:type="dxa"/>
            <w:vAlign w:val="center"/>
          </w:tcPr>
          <w:p w14:paraId="4D0CEF90"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2.15</w:t>
            </w:r>
          </w:p>
        </w:tc>
      </w:tr>
      <w:tr w:rsidR="00AD7955" w14:paraId="2DEBC3AF" w14:textId="77777777">
        <w:trPr>
          <w:jc w:val="center"/>
        </w:trPr>
        <w:tc>
          <w:tcPr>
            <w:tcW w:w="1111" w:type="dxa"/>
            <w:vAlign w:val="center"/>
          </w:tcPr>
          <w:p w14:paraId="72B0C23D"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Medium</w:t>
            </w:r>
          </w:p>
        </w:tc>
        <w:tc>
          <w:tcPr>
            <w:tcW w:w="1299" w:type="dxa"/>
            <w:vAlign w:val="center"/>
          </w:tcPr>
          <w:p w14:paraId="02188E8F"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 xml:space="preserve">3 cm  </w:t>
            </w:r>
          </w:p>
        </w:tc>
        <w:tc>
          <w:tcPr>
            <w:tcW w:w="923" w:type="dxa"/>
            <w:vAlign w:val="center"/>
          </w:tcPr>
          <w:p w14:paraId="0321A2C0"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0.66</w:t>
            </w:r>
          </w:p>
        </w:tc>
        <w:tc>
          <w:tcPr>
            <w:tcW w:w="1110" w:type="dxa"/>
            <w:vAlign w:val="center"/>
          </w:tcPr>
          <w:p w14:paraId="3C6D45F7"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0.30</w:t>
            </w:r>
          </w:p>
        </w:tc>
        <w:tc>
          <w:tcPr>
            <w:tcW w:w="1110" w:type="dxa"/>
            <w:vAlign w:val="center"/>
          </w:tcPr>
          <w:p w14:paraId="4721F7A2"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0.37</w:t>
            </w:r>
          </w:p>
        </w:tc>
        <w:tc>
          <w:tcPr>
            <w:tcW w:w="1110" w:type="dxa"/>
            <w:vAlign w:val="center"/>
          </w:tcPr>
          <w:p w14:paraId="7D25CB0E"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1.32</w:t>
            </w:r>
          </w:p>
        </w:tc>
      </w:tr>
      <w:tr w:rsidR="00AD7955" w14:paraId="43310B20" w14:textId="77777777">
        <w:trPr>
          <w:jc w:val="center"/>
        </w:trPr>
        <w:tc>
          <w:tcPr>
            <w:tcW w:w="1111" w:type="dxa"/>
            <w:vAlign w:val="center"/>
          </w:tcPr>
          <w:p w14:paraId="48BEE41E"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Medium</w:t>
            </w:r>
          </w:p>
        </w:tc>
        <w:tc>
          <w:tcPr>
            <w:tcW w:w="1299" w:type="dxa"/>
            <w:vAlign w:val="center"/>
          </w:tcPr>
          <w:p w14:paraId="5E42410B"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 xml:space="preserve">6 cm   </w:t>
            </w:r>
          </w:p>
        </w:tc>
        <w:tc>
          <w:tcPr>
            <w:tcW w:w="923" w:type="dxa"/>
            <w:vAlign w:val="center"/>
          </w:tcPr>
          <w:p w14:paraId="2EC61D49"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0.75</w:t>
            </w:r>
          </w:p>
        </w:tc>
        <w:tc>
          <w:tcPr>
            <w:tcW w:w="1110" w:type="dxa"/>
            <w:vAlign w:val="center"/>
          </w:tcPr>
          <w:p w14:paraId="015E4EA4"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0.46</w:t>
            </w:r>
          </w:p>
        </w:tc>
        <w:tc>
          <w:tcPr>
            <w:tcW w:w="1110" w:type="dxa"/>
            <w:vAlign w:val="center"/>
          </w:tcPr>
          <w:p w14:paraId="19FBAA3E"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0.36</w:t>
            </w:r>
          </w:p>
        </w:tc>
        <w:tc>
          <w:tcPr>
            <w:tcW w:w="1110" w:type="dxa"/>
            <w:vAlign w:val="center"/>
          </w:tcPr>
          <w:p w14:paraId="66BEDCFF"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1.56</w:t>
            </w:r>
          </w:p>
        </w:tc>
      </w:tr>
      <w:tr w:rsidR="00AD7955" w14:paraId="11E17809" w14:textId="77777777">
        <w:trPr>
          <w:jc w:val="center"/>
        </w:trPr>
        <w:tc>
          <w:tcPr>
            <w:tcW w:w="1111" w:type="dxa"/>
            <w:vAlign w:val="center"/>
          </w:tcPr>
          <w:p w14:paraId="4B849CBF"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Medium</w:t>
            </w:r>
          </w:p>
        </w:tc>
        <w:tc>
          <w:tcPr>
            <w:tcW w:w="1299" w:type="dxa"/>
            <w:vAlign w:val="center"/>
          </w:tcPr>
          <w:p w14:paraId="397E2839"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 xml:space="preserve">Crushed     </w:t>
            </w:r>
          </w:p>
        </w:tc>
        <w:tc>
          <w:tcPr>
            <w:tcW w:w="923" w:type="dxa"/>
            <w:vAlign w:val="center"/>
          </w:tcPr>
          <w:p w14:paraId="37D9EE92"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0.93</w:t>
            </w:r>
          </w:p>
        </w:tc>
        <w:tc>
          <w:tcPr>
            <w:tcW w:w="1110" w:type="dxa"/>
            <w:vAlign w:val="center"/>
          </w:tcPr>
          <w:p w14:paraId="3EA2250A"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0.64</w:t>
            </w:r>
          </w:p>
        </w:tc>
        <w:tc>
          <w:tcPr>
            <w:tcW w:w="1110" w:type="dxa"/>
            <w:vAlign w:val="center"/>
          </w:tcPr>
          <w:p w14:paraId="6D73CDD7"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0.93</w:t>
            </w:r>
          </w:p>
        </w:tc>
        <w:tc>
          <w:tcPr>
            <w:tcW w:w="1110" w:type="dxa"/>
            <w:vAlign w:val="center"/>
          </w:tcPr>
          <w:p w14:paraId="0EACAFD0"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2.50</w:t>
            </w:r>
          </w:p>
        </w:tc>
      </w:tr>
      <w:tr w:rsidR="00AD7955" w14:paraId="7785A812" w14:textId="77777777">
        <w:trPr>
          <w:jc w:val="center"/>
        </w:trPr>
        <w:tc>
          <w:tcPr>
            <w:tcW w:w="1111" w:type="dxa"/>
            <w:vAlign w:val="center"/>
          </w:tcPr>
          <w:p w14:paraId="11C6B0F6"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High</w:t>
            </w:r>
          </w:p>
        </w:tc>
        <w:tc>
          <w:tcPr>
            <w:tcW w:w="1299" w:type="dxa"/>
            <w:vAlign w:val="center"/>
          </w:tcPr>
          <w:p w14:paraId="0E7F8FFB"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 xml:space="preserve">3 cm  </w:t>
            </w:r>
          </w:p>
        </w:tc>
        <w:tc>
          <w:tcPr>
            <w:tcW w:w="923" w:type="dxa"/>
            <w:vAlign w:val="center"/>
          </w:tcPr>
          <w:p w14:paraId="4EC35604"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0.26</w:t>
            </w:r>
          </w:p>
        </w:tc>
        <w:tc>
          <w:tcPr>
            <w:tcW w:w="1110" w:type="dxa"/>
            <w:vAlign w:val="center"/>
          </w:tcPr>
          <w:p w14:paraId="36C7BC62"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0.18</w:t>
            </w:r>
          </w:p>
        </w:tc>
        <w:tc>
          <w:tcPr>
            <w:tcW w:w="1110" w:type="dxa"/>
            <w:vAlign w:val="center"/>
          </w:tcPr>
          <w:p w14:paraId="2792C8C8"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0.34</w:t>
            </w:r>
          </w:p>
        </w:tc>
        <w:tc>
          <w:tcPr>
            <w:tcW w:w="1110" w:type="dxa"/>
            <w:vAlign w:val="center"/>
          </w:tcPr>
          <w:p w14:paraId="452D5794"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0.79</w:t>
            </w:r>
          </w:p>
        </w:tc>
      </w:tr>
      <w:tr w:rsidR="00AD7955" w14:paraId="3572EB6A" w14:textId="77777777">
        <w:trPr>
          <w:jc w:val="center"/>
        </w:trPr>
        <w:tc>
          <w:tcPr>
            <w:tcW w:w="1111" w:type="dxa"/>
            <w:vAlign w:val="center"/>
          </w:tcPr>
          <w:p w14:paraId="5D8DBC8A"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High</w:t>
            </w:r>
          </w:p>
        </w:tc>
        <w:tc>
          <w:tcPr>
            <w:tcW w:w="1299" w:type="dxa"/>
            <w:vAlign w:val="center"/>
          </w:tcPr>
          <w:p w14:paraId="2186D9AB"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 xml:space="preserve">6 cm   </w:t>
            </w:r>
          </w:p>
        </w:tc>
        <w:tc>
          <w:tcPr>
            <w:tcW w:w="923" w:type="dxa"/>
            <w:vAlign w:val="center"/>
          </w:tcPr>
          <w:p w14:paraId="4D593F4D"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0.09</w:t>
            </w:r>
          </w:p>
        </w:tc>
        <w:tc>
          <w:tcPr>
            <w:tcW w:w="1110" w:type="dxa"/>
            <w:vAlign w:val="center"/>
          </w:tcPr>
          <w:p w14:paraId="73DE4011"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0.33</w:t>
            </w:r>
          </w:p>
        </w:tc>
        <w:tc>
          <w:tcPr>
            <w:tcW w:w="1110" w:type="dxa"/>
            <w:vAlign w:val="center"/>
          </w:tcPr>
          <w:p w14:paraId="304CB6E0"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0.49</w:t>
            </w:r>
          </w:p>
        </w:tc>
        <w:tc>
          <w:tcPr>
            <w:tcW w:w="1110" w:type="dxa"/>
            <w:vAlign w:val="center"/>
          </w:tcPr>
          <w:p w14:paraId="0A107C08"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0.91</w:t>
            </w:r>
          </w:p>
        </w:tc>
      </w:tr>
      <w:tr w:rsidR="00AD7955" w14:paraId="53787B98" w14:textId="77777777" w:rsidTr="00790349">
        <w:trPr>
          <w:jc w:val="center"/>
        </w:trPr>
        <w:tc>
          <w:tcPr>
            <w:tcW w:w="1111" w:type="dxa"/>
            <w:tcBorders>
              <w:bottom w:val="single" w:sz="12" w:space="0" w:color="auto"/>
            </w:tcBorders>
            <w:vAlign w:val="center"/>
          </w:tcPr>
          <w:p w14:paraId="14BE174E"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High</w:t>
            </w:r>
          </w:p>
        </w:tc>
        <w:tc>
          <w:tcPr>
            <w:tcW w:w="1299" w:type="dxa"/>
            <w:tcBorders>
              <w:bottom w:val="single" w:sz="12" w:space="0" w:color="auto"/>
            </w:tcBorders>
            <w:vAlign w:val="center"/>
          </w:tcPr>
          <w:p w14:paraId="5B90BDFC"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 xml:space="preserve">Crushed     </w:t>
            </w:r>
          </w:p>
        </w:tc>
        <w:tc>
          <w:tcPr>
            <w:tcW w:w="923" w:type="dxa"/>
            <w:tcBorders>
              <w:bottom w:val="single" w:sz="12" w:space="0" w:color="auto"/>
            </w:tcBorders>
            <w:vAlign w:val="center"/>
          </w:tcPr>
          <w:p w14:paraId="5AD564A8"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0.27</w:t>
            </w:r>
          </w:p>
        </w:tc>
        <w:tc>
          <w:tcPr>
            <w:tcW w:w="1110" w:type="dxa"/>
            <w:tcBorders>
              <w:bottom w:val="single" w:sz="12" w:space="0" w:color="auto"/>
            </w:tcBorders>
            <w:vAlign w:val="center"/>
          </w:tcPr>
          <w:p w14:paraId="47836164"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0.60</w:t>
            </w:r>
          </w:p>
        </w:tc>
        <w:tc>
          <w:tcPr>
            <w:tcW w:w="1110" w:type="dxa"/>
            <w:tcBorders>
              <w:bottom w:val="single" w:sz="12" w:space="0" w:color="auto"/>
            </w:tcBorders>
            <w:vAlign w:val="center"/>
          </w:tcPr>
          <w:p w14:paraId="163C036F"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1</w:t>
            </w:r>
          </w:p>
        </w:tc>
        <w:tc>
          <w:tcPr>
            <w:tcW w:w="1110" w:type="dxa"/>
            <w:tcBorders>
              <w:bottom w:val="single" w:sz="12" w:space="0" w:color="auto"/>
            </w:tcBorders>
            <w:vAlign w:val="center"/>
          </w:tcPr>
          <w:p w14:paraId="175C8574"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1.90</w:t>
            </w:r>
          </w:p>
        </w:tc>
      </w:tr>
      <w:bookmarkEnd w:id="3"/>
    </w:tbl>
    <w:p w14:paraId="59F97B4E" w14:textId="77777777" w:rsidR="00E851E4" w:rsidRDefault="00E851E4" w:rsidP="00790349">
      <w:pPr>
        <w:jc w:val="center"/>
        <w:rPr>
          <w:rFonts w:ascii="Times New Roman" w:eastAsia="宋体" w:hAnsi="Times New Roman" w:cs="Times New Roman"/>
          <w:b/>
          <w:bCs/>
          <w:color w:val="000000"/>
          <w:kern w:val="0"/>
          <w:sz w:val="24"/>
          <w:szCs w:val="24"/>
          <w:lang w:bidi="en-US"/>
        </w:rPr>
      </w:pPr>
    </w:p>
    <w:p w14:paraId="502A68DC" w14:textId="5F40F4BA" w:rsidR="00AD7955" w:rsidRDefault="00000000" w:rsidP="00790349">
      <w:pPr>
        <w:jc w:val="center"/>
        <w:rPr>
          <w:rFonts w:ascii="Times New Roman" w:hAnsi="Times New Roman" w:cs="Times New Roman"/>
          <w:sz w:val="24"/>
          <w:szCs w:val="24"/>
        </w:rPr>
      </w:pPr>
      <w:r>
        <w:rPr>
          <w:rFonts w:ascii="Times New Roman" w:eastAsia="宋体" w:hAnsi="Times New Roman" w:cs="Times New Roman" w:hint="eastAsia"/>
          <w:b/>
          <w:bCs/>
          <w:color w:val="000000"/>
          <w:kern w:val="0"/>
          <w:sz w:val="24"/>
          <w:szCs w:val="24"/>
          <w:lang w:bidi="en-US"/>
        </w:rPr>
        <w:t xml:space="preserve">Table S3. </w:t>
      </w:r>
      <w:r>
        <w:rPr>
          <w:rFonts w:ascii="Times New Roman" w:hAnsi="Times New Roman" w:cs="Times New Roman"/>
          <w:sz w:val="24"/>
          <w:szCs w:val="24"/>
        </w:rPr>
        <w:t>ANOVA results of NH</w:t>
      </w:r>
      <w:r>
        <w:rPr>
          <w:rFonts w:ascii="Times New Roman" w:hAnsi="Times New Roman" w:cs="Times New Roman" w:hint="eastAsia"/>
          <w:sz w:val="24"/>
          <w:szCs w:val="24"/>
          <w:vertAlign w:val="subscript"/>
        </w:rPr>
        <w:t>4</w:t>
      </w:r>
      <w:r>
        <w:rPr>
          <w:rFonts w:ascii="Times New Roman" w:hAnsi="Times New Roman" w:cs="Times New Roman" w:hint="eastAsia"/>
          <w:sz w:val="24"/>
          <w:szCs w:val="24"/>
          <w:vertAlign w:val="superscript"/>
        </w:rPr>
        <w:t>+</w:t>
      </w:r>
      <w:r>
        <w:rPr>
          <w:rFonts w:ascii="Times New Roman" w:hAnsi="Times New Roman" w:cs="Times New Roman" w:hint="eastAsia"/>
          <w:sz w:val="24"/>
          <w:szCs w:val="24"/>
        </w:rPr>
        <w:t>-</w:t>
      </w:r>
      <w:r>
        <w:rPr>
          <w:rFonts w:ascii="Times New Roman" w:hAnsi="Times New Roman" w:cs="Times New Roman"/>
          <w:sz w:val="24"/>
          <w:szCs w:val="24"/>
        </w:rPr>
        <w:t>N removal efficiency for influent concentration and treatment method</w:t>
      </w:r>
    </w:p>
    <w:tbl>
      <w:tblPr>
        <w:tblW w:w="4095" w:type="dxa"/>
        <w:jc w:val="center"/>
        <w:tblBorders>
          <w:top w:val="single" w:sz="4" w:space="0" w:color="auto"/>
          <w:bottom w:val="single" w:sz="4" w:space="0" w:color="auto"/>
        </w:tblBorders>
        <w:tblLayout w:type="fixed"/>
        <w:tblLook w:val="04A0" w:firstRow="1" w:lastRow="0" w:firstColumn="1" w:lastColumn="0" w:noHBand="0" w:noVBand="1"/>
      </w:tblPr>
      <w:tblGrid>
        <w:gridCol w:w="1701"/>
        <w:gridCol w:w="1134"/>
        <w:gridCol w:w="1260"/>
      </w:tblGrid>
      <w:tr w:rsidR="00AD7955" w14:paraId="1C6C2B15" w14:textId="77777777" w:rsidTr="00790349">
        <w:trPr>
          <w:trHeight w:val="241"/>
          <w:jc w:val="center"/>
        </w:trPr>
        <w:tc>
          <w:tcPr>
            <w:tcW w:w="1701" w:type="dxa"/>
            <w:tcBorders>
              <w:top w:val="single" w:sz="12" w:space="0" w:color="auto"/>
              <w:left w:val="nil"/>
              <w:bottom w:val="single" w:sz="8" w:space="0" w:color="auto"/>
              <w:right w:val="nil"/>
            </w:tcBorders>
            <w:vAlign w:val="center"/>
          </w:tcPr>
          <w:p w14:paraId="06059651"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sz w:val="24"/>
                <w:szCs w:val="24"/>
              </w:rPr>
              <w:t>Fixed factor</w:t>
            </w:r>
          </w:p>
        </w:tc>
        <w:tc>
          <w:tcPr>
            <w:tcW w:w="1134" w:type="dxa"/>
            <w:tcBorders>
              <w:top w:val="single" w:sz="12" w:space="0" w:color="auto"/>
              <w:left w:val="nil"/>
              <w:bottom w:val="single" w:sz="8" w:space="0" w:color="auto"/>
              <w:right w:val="nil"/>
            </w:tcBorders>
            <w:noWrap/>
            <w:vAlign w:val="center"/>
          </w:tcPr>
          <w:p w14:paraId="1F646577"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sz w:val="24"/>
                <w:szCs w:val="24"/>
              </w:rPr>
              <w:t>F</w:t>
            </w:r>
            <w:r>
              <w:rPr>
                <w:rFonts w:ascii="Times New Roman" w:eastAsia="宋体" w:hAnsi="Times New Roman" w:cs="Times New Roman"/>
                <w:sz w:val="24"/>
                <w:szCs w:val="24"/>
              </w:rPr>
              <w:t>值</w:t>
            </w:r>
          </w:p>
        </w:tc>
        <w:tc>
          <w:tcPr>
            <w:tcW w:w="1260" w:type="dxa"/>
            <w:tcBorders>
              <w:top w:val="single" w:sz="12" w:space="0" w:color="auto"/>
              <w:left w:val="nil"/>
              <w:bottom w:val="single" w:sz="8" w:space="0" w:color="auto"/>
              <w:right w:val="nil"/>
            </w:tcBorders>
            <w:noWrap/>
            <w:vAlign w:val="center"/>
          </w:tcPr>
          <w:p w14:paraId="69953702"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sz w:val="24"/>
                <w:szCs w:val="24"/>
              </w:rPr>
              <w:t>P</w:t>
            </w:r>
            <w:r>
              <w:rPr>
                <w:rFonts w:ascii="Times New Roman" w:eastAsia="宋体" w:hAnsi="Times New Roman" w:cs="Times New Roman"/>
                <w:sz w:val="24"/>
                <w:szCs w:val="24"/>
              </w:rPr>
              <w:t>值</w:t>
            </w:r>
          </w:p>
        </w:tc>
      </w:tr>
      <w:tr w:rsidR="00AD7955" w14:paraId="3287E4F1" w14:textId="77777777">
        <w:trPr>
          <w:trHeight w:val="241"/>
          <w:jc w:val="center"/>
        </w:trPr>
        <w:tc>
          <w:tcPr>
            <w:tcW w:w="1701" w:type="dxa"/>
            <w:tcBorders>
              <w:top w:val="single" w:sz="8" w:space="0" w:color="auto"/>
              <w:left w:val="nil"/>
              <w:bottom w:val="nil"/>
              <w:right w:val="nil"/>
            </w:tcBorders>
            <w:noWrap/>
            <w:vAlign w:val="center"/>
          </w:tcPr>
          <w:p w14:paraId="7CBD98EB"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A</w:t>
            </w:r>
          </w:p>
        </w:tc>
        <w:tc>
          <w:tcPr>
            <w:tcW w:w="1134" w:type="dxa"/>
            <w:tcBorders>
              <w:top w:val="single" w:sz="8" w:space="0" w:color="auto"/>
              <w:left w:val="nil"/>
              <w:bottom w:val="nil"/>
              <w:right w:val="nil"/>
            </w:tcBorders>
            <w:noWrap/>
            <w:vAlign w:val="center"/>
          </w:tcPr>
          <w:p w14:paraId="10A07CD7"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5.633</w:t>
            </w:r>
          </w:p>
        </w:tc>
        <w:tc>
          <w:tcPr>
            <w:tcW w:w="1260" w:type="dxa"/>
            <w:tcBorders>
              <w:top w:val="single" w:sz="8" w:space="0" w:color="auto"/>
              <w:left w:val="nil"/>
              <w:bottom w:val="nil"/>
              <w:right w:val="nil"/>
            </w:tcBorders>
            <w:noWrap/>
            <w:vAlign w:val="center"/>
          </w:tcPr>
          <w:p w14:paraId="77E1F52E"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0.013</w:t>
            </w:r>
          </w:p>
        </w:tc>
      </w:tr>
      <w:tr w:rsidR="00AD7955" w14:paraId="6175D958" w14:textId="77777777">
        <w:trPr>
          <w:trHeight w:val="241"/>
          <w:jc w:val="center"/>
        </w:trPr>
        <w:tc>
          <w:tcPr>
            <w:tcW w:w="1701" w:type="dxa"/>
            <w:tcBorders>
              <w:top w:val="nil"/>
              <w:left w:val="nil"/>
              <w:bottom w:val="nil"/>
              <w:right w:val="nil"/>
            </w:tcBorders>
            <w:noWrap/>
            <w:vAlign w:val="center"/>
          </w:tcPr>
          <w:p w14:paraId="2266B583"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B</w:t>
            </w:r>
          </w:p>
        </w:tc>
        <w:tc>
          <w:tcPr>
            <w:tcW w:w="1134" w:type="dxa"/>
            <w:tcBorders>
              <w:top w:val="nil"/>
              <w:left w:val="nil"/>
              <w:bottom w:val="nil"/>
              <w:right w:val="nil"/>
            </w:tcBorders>
            <w:noWrap/>
            <w:vAlign w:val="center"/>
          </w:tcPr>
          <w:p w14:paraId="594E32C3"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5.608</w:t>
            </w:r>
          </w:p>
        </w:tc>
        <w:tc>
          <w:tcPr>
            <w:tcW w:w="1260" w:type="dxa"/>
            <w:tcBorders>
              <w:top w:val="nil"/>
              <w:left w:val="nil"/>
              <w:bottom w:val="nil"/>
              <w:right w:val="nil"/>
            </w:tcBorders>
            <w:noWrap/>
            <w:vAlign w:val="center"/>
          </w:tcPr>
          <w:p w14:paraId="27FE4A51"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0.013</w:t>
            </w:r>
          </w:p>
        </w:tc>
      </w:tr>
      <w:tr w:rsidR="00AD7955" w14:paraId="7D418686" w14:textId="77777777" w:rsidTr="00790349">
        <w:trPr>
          <w:trHeight w:val="241"/>
          <w:jc w:val="center"/>
        </w:trPr>
        <w:tc>
          <w:tcPr>
            <w:tcW w:w="1701" w:type="dxa"/>
            <w:tcBorders>
              <w:top w:val="nil"/>
              <w:left w:val="nil"/>
              <w:bottom w:val="single" w:sz="12" w:space="0" w:color="auto"/>
              <w:right w:val="nil"/>
            </w:tcBorders>
            <w:vAlign w:val="center"/>
          </w:tcPr>
          <w:p w14:paraId="011FEF99"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A</w:t>
            </w:r>
            <w:r>
              <w:rPr>
                <w:rFonts w:ascii="Times New Roman" w:eastAsia="宋体" w:hAnsi="Times New Roman" w:cs="Times New Roman"/>
                <w:sz w:val="24"/>
                <w:szCs w:val="24"/>
              </w:rPr>
              <w:t>×</w:t>
            </w:r>
            <w:r>
              <w:rPr>
                <w:rFonts w:ascii="Times New Roman" w:eastAsia="宋体" w:hAnsi="Times New Roman" w:cs="Times New Roman" w:hint="eastAsia"/>
                <w:sz w:val="24"/>
                <w:szCs w:val="24"/>
              </w:rPr>
              <w:t>B</w:t>
            </w:r>
          </w:p>
        </w:tc>
        <w:tc>
          <w:tcPr>
            <w:tcW w:w="1134" w:type="dxa"/>
            <w:tcBorders>
              <w:top w:val="nil"/>
              <w:left w:val="nil"/>
              <w:bottom w:val="single" w:sz="12" w:space="0" w:color="auto"/>
              <w:right w:val="nil"/>
            </w:tcBorders>
            <w:noWrap/>
            <w:vAlign w:val="center"/>
          </w:tcPr>
          <w:p w14:paraId="41375FE7"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0.363</w:t>
            </w:r>
          </w:p>
        </w:tc>
        <w:tc>
          <w:tcPr>
            <w:tcW w:w="1260" w:type="dxa"/>
            <w:tcBorders>
              <w:top w:val="nil"/>
              <w:left w:val="nil"/>
              <w:bottom w:val="single" w:sz="12" w:space="0" w:color="auto"/>
              <w:right w:val="nil"/>
            </w:tcBorders>
            <w:noWrap/>
            <w:vAlign w:val="center"/>
          </w:tcPr>
          <w:p w14:paraId="0466F7EA"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0.832</w:t>
            </w:r>
          </w:p>
        </w:tc>
      </w:tr>
    </w:tbl>
    <w:p w14:paraId="55D2BD90" w14:textId="77777777" w:rsidR="00AD7955" w:rsidRDefault="00000000" w:rsidP="00790349">
      <w:pPr>
        <w:ind w:firstLineChars="200" w:firstLine="480"/>
        <w:rPr>
          <w:rFonts w:ascii="Times New Roman" w:hAnsi="Times New Roman" w:cs="Times New Roman"/>
          <w:sz w:val="24"/>
          <w:szCs w:val="24"/>
        </w:rPr>
      </w:pPr>
      <w:r>
        <w:rPr>
          <w:rFonts w:ascii="Times New Roman" w:hAnsi="Times New Roman" w:cs="Times New Roman"/>
          <w:b/>
          <w:bCs/>
          <w:sz w:val="24"/>
          <w:szCs w:val="24"/>
        </w:rPr>
        <w:t>Note</w:t>
      </w:r>
      <w:r>
        <w:rPr>
          <w:rFonts w:ascii="Times New Roman" w:hAnsi="Times New Roman" w:cs="Times New Roman" w:hint="eastAsia"/>
          <w:b/>
          <w:bCs/>
          <w:sz w:val="24"/>
          <w:szCs w:val="24"/>
        </w:rPr>
        <w:t xml:space="preserve">: </w:t>
      </w:r>
      <w:r>
        <w:rPr>
          <w:rFonts w:ascii="Times New Roman" w:hAnsi="Times New Roman" w:cs="Times New Roman"/>
          <w:sz w:val="24"/>
          <w:szCs w:val="24"/>
        </w:rPr>
        <w:t>A represents influent concentration; B represents treatment method; A × B represents the interaction between the two factors. P-value indicates the significance level, and F-value indicates the F statistic of the effect.</w:t>
      </w:r>
    </w:p>
    <w:p w14:paraId="32AB73B1" w14:textId="77777777" w:rsidR="00E851E4" w:rsidRDefault="00E851E4" w:rsidP="00790349">
      <w:pPr>
        <w:jc w:val="center"/>
        <w:rPr>
          <w:rFonts w:ascii="Times New Roman" w:eastAsia="宋体" w:hAnsi="Times New Roman" w:cs="Times New Roman"/>
          <w:b/>
          <w:bCs/>
          <w:color w:val="000000"/>
          <w:kern w:val="0"/>
          <w:sz w:val="24"/>
          <w:szCs w:val="24"/>
          <w:lang w:bidi="en-US"/>
        </w:rPr>
      </w:pPr>
    </w:p>
    <w:p w14:paraId="10BF12F5" w14:textId="52FC4337" w:rsidR="00AD7955" w:rsidRDefault="00000000" w:rsidP="00790349">
      <w:pPr>
        <w:jc w:val="center"/>
        <w:rPr>
          <w:rFonts w:ascii="Times New Roman" w:hAnsi="Times New Roman" w:cs="Times New Roman"/>
          <w:sz w:val="24"/>
          <w:szCs w:val="24"/>
        </w:rPr>
      </w:pPr>
      <w:r>
        <w:rPr>
          <w:rFonts w:ascii="Times New Roman" w:eastAsia="宋体" w:hAnsi="Times New Roman" w:cs="Times New Roman" w:hint="eastAsia"/>
          <w:b/>
          <w:bCs/>
          <w:color w:val="000000"/>
          <w:kern w:val="0"/>
          <w:sz w:val="24"/>
          <w:szCs w:val="24"/>
          <w:lang w:bidi="en-US"/>
        </w:rPr>
        <w:t xml:space="preserve">Table S4. </w:t>
      </w:r>
      <w:r>
        <w:rPr>
          <w:rFonts w:ascii="Times New Roman" w:hAnsi="Times New Roman" w:cs="Times New Roman"/>
          <w:sz w:val="24"/>
          <w:szCs w:val="24"/>
        </w:rPr>
        <w:t xml:space="preserve">Effects of influent concentration and straw treatment on </w:t>
      </w:r>
      <w:r>
        <w:rPr>
          <w:rFonts w:ascii="Times New Roman" w:eastAsia="宋体" w:hAnsi="Times New Roman" w:cs="Times New Roman" w:hint="eastAsia"/>
          <w:sz w:val="24"/>
          <w:szCs w:val="24"/>
        </w:rPr>
        <w:t>NH</w:t>
      </w:r>
      <w:r>
        <w:rPr>
          <w:rFonts w:ascii="Times New Roman" w:eastAsia="宋体" w:hAnsi="Times New Roman" w:cs="Times New Roman" w:hint="eastAsia"/>
          <w:sz w:val="24"/>
          <w:szCs w:val="24"/>
          <w:vertAlign w:val="subscript"/>
        </w:rPr>
        <w:t>4</w:t>
      </w:r>
      <w:r>
        <w:rPr>
          <w:rFonts w:ascii="Times New Roman" w:eastAsia="宋体" w:hAnsi="Times New Roman" w:cs="Times New Roman" w:hint="eastAsia"/>
          <w:sz w:val="24"/>
          <w:szCs w:val="24"/>
          <w:vertAlign w:val="superscript"/>
        </w:rPr>
        <w:t>+</w:t>
      </w:r>
      <w:r>
        <w:rPr>
          <w:rFonts w:ascii="Times New Roman" w:eastAsia="宋体" w:hAnsi="Times New Roman" w:cs="Times New Roman" w:hint="eastAsia"/>
          <w:sz w:val="24"/>
          <w:szCs w:val="24"/>
        </w:rPr>
        <w:t>-N</w:t>
      </w:r>
      <w:r>
        <w:rPr>
          <w:rFonts w:ascii="Times New Roman" w:hAnsi="Times New Roman" w:cs="Times New Roman"/>
          <w:sz w:val="24"/>
          <w:szCs w:val="24"/>
        </w:rPr>
        <w:t xml:space="preserve"> removal efficiency.</w:t>
      </w:r>
    </w:p>
    <w:tbl>
      <w:tblPr>
        <w:tblStyle w:val="ab"/>
        <w:tblW w:w="609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1701"/>
        <w:gridCol w:w="2551"/>
      </w:tblGrid>
      <w:tr w:rsidR="00AD7955" w14:paraId="0068655B" w14:textId="77777777" w:rsidTr="00790349">
        <w:trPr>
          <w:jc w:val="center"/>
        </w:trPr>
        <w:tc>
          <w:tcPr>
            <w:tcW w:w="1844" w:type="dxa"/>
            <w:tcBorders>
              <w:top w:val="single" w:sz="12" w:space="0" w:color="auto"/>
              <w:bottom w:val="single" w:sz="8" w:space="0" w:color="auto"/>
            </w:tcBorders>
            <w:vAlign w:val="center"/>
          </w:tcPr>
          <w:p w14:paraId="0D470C16" w14:textId="77777777" w:rsidR="00AD7955" w:rsidRDefault="00000000">
            <w:pPr>
              <w:snapToGrid w:val="0"/>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lastRenderedPageBreak/>
              <w:t>Influent concentration</w:t>
            </w:r>
          </w:p>
        </w:tc>
        <w:tc>
          <w:tcPr>
            <w:tcW w:w="1701" w:type="dxa"/>
            <w:tcBorders>
              <w:top w:val="single" w:sz="12" w:space="0" w:color="auto"/>
              <w:bottom w:val="single" w:sz="8" w:space="0" w:color="auto"/>
            </w:tcBorders>
            <w:vAlign w:val="center"/>
          </w:tcPr>
          <w:p w14:paraId="79A75B9D" w14:textId="77777777" w:rsidR="00AD7955" w:rsidRDefault="00000000">
            <w:pPr>
              <w:snapToGrid w:val="0"/>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Treatment type</w:t>
            </w:r>
          </w:p>
        </w:tc>
        <w:tc>
          <w:tcPr>
            <w:tcW w:w="2551" w:type="dxa"/>
            <w:tcBorders>
              <w:top w:val="single" w:sz="12" w:space="0" w:color="auto"/>
              <w:bottom w:val="single" w:sz="8" w:space="0" w:color="auto"/>
            </w:tcBorders>
            <w:vAlign w:val="center"/>
          </w:tcPr>
          <w:p w14:paraId="24729C02" w14:textId="77777777" w:rsidR="00AD7955" w:rsidRDefault="00000000">
            <w:pPr>
              <w:snapToGrid w:val="0"/>
              <w:jc w:val="center"/>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NH</w:t>
            </w:r>
            <w:r>
              <w:rPr>
                <w:rFonts w:ascii="Times New Roman" w:eastAsia="宋体" w:hAnsi="Times New Roman" w:cs="Times New Roman" w:hint="eastAsia"/>
                <w:b/>
                <w:bCs/>
                <w:sz w:val="24"/>
                <w:szCs w:val="24"/>
                <w:vertAlign w:val="subscript"/>
              </w:rPr>
              <w:t>4</w:t>
            </w:r>
            <w:r>
              <w:rPr>
                <w:rFonts w:ascii="Times New Roman" w:eastAsia="宋体" w:hAnsi="Times New Roman" w:cs="Times New Roman" w:hint="eastAsia"/>
                <w:b/>
                <w:bCs/>
                <w:sz w:val="24"/>
                <w:szCs w:val="24"/>
                <w:vertAlign w:val="superscript"/>
              </w:rPr>
              <w:t>+</w:t>
            </w:r>
            <w:r>
              <w:rPr>
                <w:rFonts w:ascii="Times New Roman" w:eastAsia="宋体" w:hAnsi="Times New Roman" w:cs="Times New Roman" w:hint="eastAsia"/>
                <w:b/>
                <w:bCs/>
                <w:sz w:val="24"/>
                <w:szCs w:val="24"/>
              </w:rPr>
              <w:t xml:space="preserve">-N removal </w:t>
            </w:r>
            <w:r>
              <w:rPr>
                <w:rFonts w:ascii="Times New Roman" w:eastAsia="宋体" w:hAnsi="Times New Roman" w:cs="Times New Roman"/>
                <w:b/>
                <w:bCs/>
                <w:sz w:val="24"/>
                <w:szCs w:val="24"/>
              </w:rPr>
              <w:t>efficiency</w:t>
            </w:r>
            <w:r>
              <w:rPr>
                <w:rFonts w:ascii="Times New Roman" w:eastAsia="宋体" w:hAnsi="Times New Roman" w:cs="Times New Roman" w:hint="eastAsia"/>
                <w:b/>
                <w:bCs/>
                <w:sz w:val="24"/>
                <w:szCs w:val="24"/>
              </w:rPr>
              <w:t xml:space="preserve"> (%)</w:t>
            </w:r>
          </w:p>
          <w:p w14:paraId="5BD7C9DF" w14:textId="77777777" w:rsidR="00AD7955" w:rsidRDefault="00000000">
            <w:pPr>
              <w:snapToGrid w:val="0"/>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(Mean ± SD)</w:t>
            </w:r>
          </w:p>
        </w:tc>
      </w:tr>
      <w:tr w:rsidR="00AD7955" w14:paraId="062BF745" w14:textId="77777777">
        <w:trPr>
          <w:trHeight w:val="170"/>
          <w:jc w:val="center"/>
        </w:trPr>
        <w:tc>
          <w:tcPr>
            <w:tcW w:w="1844" w:type="dxa"/>
            <w:tcBorders>
              <w:top w:val="single" w:sz="8" w:space="0" w:color="auto"/>
            </w:tcBorders>
            <w:vAlign w:val="center"/>
          </w:tcPr>
          <w:p w14:paraId="4004F268"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Low</w:t>
            </w:r>
          </w:p>
        </w:tc>
        <w:tc>
          <w:tcPr>
            <w:tcW w:w="1701" w:type="dxa"/>
            <w:tcBorders>
              <w:top w:val="single" w:sz="8" w:space="0" w:color="auto"/>
            </w:tcBorders>
            <w:vAlign w:val="center"/>
          </w:tcPr>
          <w:p w14:paraId="18D448EA"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Cut-6 cm</w:t>
            </w:r>
          </w:p>
        </w:tc>
        <w:tc>
          <w:tcPr>
            <w:tcW w:w="2551" w:type="dxa"/>
            <w:tcBorders>
              <w:top w:val="single" w:sz="8" w:space="0" w:color="auto"/>
            </w:tcBorders>
            <w:vAlign w:val="center"/>
          </w:tcPr>
          <w:p w14:paraId="22FE05A9"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0.67</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0.067</w:t>
            </w:r>
            <w:r>
              <w:rPr>
                <w:rFonts w:ascii="Times New Roman" w:eastAsia="宋体" w:hAnsi="Times New Roman" w:cs="Times New Roman" w:hint="eastAsia"/>
                <w:sz w:val="24"/>
                <w:szCs w:val="24"/>
                <w:vertAlign w:val="superscript"/>
              </w:rPr>
              <w:t>c</w:t>
            </w:r>
          </w:p>
        </w:tc>
      </w:tr>
      <w:tr w:rsidR="00AD7955" w14:paraId="7A9AC470" w14:textId="77777777">
        <w:trPr>
          <w:jc w:val="center"/>
        </w:trPr>
        <w:tc>
          <w:tcPr>
            <w:tcW w:w="1844" w:type="dxa"/>
            <w:vAlign w:val="center"/>
          </w:tcPr>
          <w:p w14:paraId="5FB9C17F"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Low</w:t>
            </w:r>
          </w:p>
        </w:tc>
        <w:tc>
          <w:tcPr>
            <w:tcW w:w="1701" w:type="dxa"/>
            <w:vAlign w:val="center"/>
          </w:tcPr>
          <w:p w14:paraId="7440FE26"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Cut-3 cm</w:t>
            </w:r>
          </w:p>
        </w:tc>
        <w:tc>
          <w:tcPr>
            <w:tcW w:w="2551" w:type="dxa"/>
            <w:vAlign w:val="center"/>
          </w:tcPr>
          <w:p w14:paraId="7C62EFE9"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0.68</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0.12</w:t>
            </w:r>
            <w:r>
              <w:rPr>
                <w:rFonts w:ascii="Times New Roman" w:eastAsia="宋体" w:hAnsi="Times New Roman" w:cs="Times New Roman" w:hint="eastAsia"/>
                <w:sz w:val="24"/>
                <w:szCs w:val="24"/>
                <w:vertAlign w:val="superscript"/>
              </w:rPr>
              <w:t>bc</w:t>
            </w:r>
          </w:p>
        </w:tc>
      </w:tr>
      <w:tr w:rsidR="00AD7955" w14:paraId="33885E6D" w14:textId="77777777">
        <w:trPr>
          <w:jc w:val="center"/>
        </w:trPr>
        <w:tc>
          <w:tcPr>
            <w:tcW w:w="1844" w:type="dxa"/>
            <w:vAlign w:val="center"/>
          </w:tcPr>
          <w:p w14:paraId="1E6EF433"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Low</w:t>
            </w:r>
          </w:p>
        </w:tc>
        <w:tc>
          <w:tcPr>
            <w:tcW w:w="1701" w:type="dxa"/>
            <w:vAlign w:val="center"/>
          </w:tcPr>
          <w:p w14:paraId="219B1794"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Crushed</w:t>
            </w:r>
          </w:p>
        </w:tc>
        <w:tc>
          <w:tcPr>
            <w:tcW w:w="2551" w:type="dxa"/>
            <w:vAlign w:val="center"/>
          </w:tcPr>
          <w:p w14:paraId="55E45471"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0.76</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0.034</w:t>
            </w:r>
            <w:r>
              <w:rPr>
                <w:rFonts w:ascii="Times New Roman" w:eastAsia="宋体" w:hAnsi="Times New Roman" w:cs="Times New Roman" w:hint="eastAsia"/>
                <w:sz w:val="24"/>
                <w:szCs w:val="24"/>
                <w:vertAlign w:val="superscript"/>
              </w:rPr>
              <w:t>abc</w:t>
            </w:r>
          </w:p>
        </w:tc>
      </w:tr>
      <w:tr w:rsidR="00AD7955" w14:paraId="070FAD30" w14:textId="77777777">
        <w:trPr>
          <w:jc w:val="center"/>
        </w:trPr>
        <w:tc>
          <w:tcPr>
            <w:tcW w:w="1844" w:type="dxa"/>
            <w:vAlign w:val="center"/>
          </w:tcPr>
          <w:p w14:paraId="119B3A3E"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Medium</w:t>
            </w:r>
          </w:p>
        </w:tc>
        <w:tc>
          <w:tcPr>
            <w:tcW w:w="1701" w:type="dxa"/>
            <w:vAlign w:val="center"/>
          </w:tcPr>
          <w:p w14:paraId="0B160A4F"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Cut-6 cm</w:t>
            </w:r>
          </w:p>
        </w:tc>
        <w:tc>
          <w:tcPr>
            <w:tcW w:w="2551" w:type="dxa"/>
            <w:vAlign w:val="center"/>
          </w:tcPr>
          <w:p w14:paraId="67962B80"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0.73</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0.015</w:t>
            </w:r>
            <w:r>
              <w:rPr>
                <w:rFonts w:ascii="Times New Roman" w:eastAsia="宋体" w:hAnsi="Times New Roman" w:cs="Times New Roman" w:hint="eastAsia"/>
                <w:sz w:val="24"/>
                <w:szCs w:val="24"/>
                <w:vertAlign w:val="superscript"/>
              </w:rPr>
              <w:t>bc</w:t>
            </w:r>
          </w:p>
        </w:tc>
      </w:tr>
      <w:tr w:rsidR="00AD7955" w14:paraId="73D46C60" w14:textId="77777777">
        <w:trPr>
          <w:jc w:val="center"/>
        </w:trPr>
        <w:tc>
          <w:tcPr>
            <w:tcW w:w="1844" w:type="dxa"/>
            <w:vAlign w:val="center"/>
          </w:tcPr>
          <w:p w14:paraId="7F73BC30"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Medium</w:t>
            </w:r>
          </w:p>
        </w:tc>
        <w:tc>
          <w:tcPr>
            <w:tcW w:w="1701" w:type="dxa"/>
            <w:vAlign w:val="center"/>
          </w:tcPr>
          <w:p w14:paraId="16076EA8"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Cut-3 cm</w:t>
            </w:r>
          </w:p>
        </w:tc>
        <w:tc>
          <w:tcPr>
            <w:tcW w:w="2551" w:type="dxa"/>
            <w:vAlign w:val="center"/>
          </w:tcPr>
          <w:p w14:paraId="362CE831"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0.80</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0.015</w:t>
            </w:r>
            <w:r>
              <w:rPr>
                <w:rFonts w:ascii="Times New Roman" w:eastAsia="宋体" w:hAnsi="Times New Roman" w:cs="Times New Roman" w:hint="eastAsia"/>
                <w:sz w:val="24"/>
                <w:szCs w:val="24"/>
                <w:vertAlign w:val="superscript"/>
              </w:rPr>
              <w:t>ab</w:t>
            </w:r>
          </w:p>
        </w:tc>
      </w:tr>
      <w:tr w:rsidR="00AD7955" w14:paraId="6D4E1B2A" w14:textId="77777777">
        <w:trPr>
          <w:jc w:val="center"/>
        </w:trPr>
        <w:tc>
          <w:tcPr>
            <w:tcW w:w="1844" w:type="dxa"/>
            <w:vAlign w:val="center"/>
          </w:tcPr>
          <w:p w14:paraId="374E9124"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Medium</w:t>
            </w:r>
          </w:p>
        </w:tc>
        <w:tc>
          <w:tcPr>
            <w:tcW w:w="1701" w:type="dxa"/>
            <w:vAlign w:val="center"/>
          </w:tcPr>
          <w:p w14:paraId="5C22EC11"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Crushed</w:t>
            </w:r>
          </w:p>
        </w:tc>
        <w:tc>
          <w:tcPr>
            <w:tcW w:w="2551" w:type="dxa"/>
            <w:vAlign w:val="center"/>
          </w:tcPr>
          <w:p w14:paraId="42C727C9"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0.85</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0.025</w:t>
            </w:r>
            <w:r>
              <w:rPr>
                <w:rFonts w:ascii="Times New Roman" w:eastAsia="宋体" w:hAnsi="Times New Roman" w:cs="Times New Roman" w:hint="eastAsia"/>
                <w:sz w:val="24"/>
                <w:szCs w:val="24"/>
                <w:vertAlign w:val="superscript"/>
              </w:rPr>
              <w:t>a</w:t>
            </w:r>
          </w:p>
        </w:tc>
      </w:tr>
      <w:tr w:rsidR="00AD7955" w14:paraId="32B85670" w14:textId="77777777">
        <w:trPr>
          <w:jc w:val="center"/>
        </w:trPr>
        <w:tc>
          <w:tcPr>
            <w:tcW w:w="1844" w:type="dxa"/>
            <w:vAlign w:val="center"/>
          </w:tcPr>
          <w:p w14:paraId="68750F98"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High</w:t>
            </w:r>
          </w:p>
        </w:tc>
        <w:tc>
          <w:tcPr>
            <w:tcW w:w="1701" w:type="dxa"/>
            <w:vAlign w:val="center"/>
          </w:tcPr>
          <w:p w14:paraId="6DE42570"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Cut-6 cm</w:t>
            </w:r>
          </w:p>
        </w:tc>
        <w:tc>
          <w:tcPr>
            <w:tcW w:w="2551" w:type="dxa"/>
            <w:vAlign w:val="center"/>
          </w:tcPr>
          <w:p w14:paraId="647D371E"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0.69</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0.048</w:t>
            </w:r>
            <w:r>
              <w:rPr>
                <w:rFonts w:ascii="Times New Roman" w:eastAsia="宋体" w:hAnsi="Times New Roman" w:cs="Times New Roman" w:hint="eastAsia"/>
                <w:sz w:val="24"/>
                <w:szCs w:val="24"/>
                <w:vertAlign w:val="superscript"/>
              </w:rPr>
              <w:t>bc</w:t>
            </w:r>
          </w:p>
        </w:tc>
      </w:tr>
      <w:tr w:rsidR="00AD7955" w14:paraId="2F400049" w14:textId="77777777">
        <w:trPr>
          <w:jc w:val="center"/>
        </w:trPr>
        <w:tc>
          <w:tcPr>
            <w:tcW w:w="1844" w:type="dxa"/>
            <w:vAlign w:val="center"/>
          </w:tcPr>
          <w:p w14:paraId="64D8C6AD"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High</w:t>
            </w:r>
          </w:p>
        </w:tc>
        <w:tc>
          <w:tcPr>
            <w:tcW w:w="1701" w:type="dxa"/>
            <w:vAlign w:val="center"/>
          </w:tcPr>
          <w:p w14:paraId="6B4AB954"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Cut-3 cm</w:t>
            </w:r>
          </w:p>
        </w:tc>
        <w:tc>
          <w:tcPr>
            <w:tcW w:w="2551" w:type="dxa"/>
            <w:vAlign w:val="center"/>
          </w:tcPr>
          <w:p w14:paraId="2CB4CD98"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0.71</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0.03</w:t>
            </w:r>
            <w:r>
              <w:rPr>
                <w:rFonts w:ascii="Times New Roman" w:eastAsia="宋体" w:hAnsi="Times New Roman" w:cs="Times New Roman" w:hint="eastAsia"/>
                <w:sz w:val="24"/>
                <w:szCs w:val="24"/>
                <w:vertAlign w:val="superscript"/>
              </w:rPr>
              <w:t>bc</w:t>
            </w:r>
          </w:p>
        </w:tc>
      </w:tr>
      <w:tr w:rsidR="00AD7955" w14:paraId="47643702" w14:textId="77777777" w:rsidTr="00790349">
        <w:trPr>
          <w:jc w:val="center"/>
        </w:trPr>
        <w:tc>
          <w:tcPr>
            <w:tcW w:w="1844" w:type="dxa"/>
            <w:tcBorders>
              <w:bottom w:val="single" w:sz="12" w:space="0" w:color="auto"/>
            </w:tcBorders>
            <w:vAlign w:val="center"/>
          </w:tcPr>
          <w:p w14:paraId="4557AF9C"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High</w:t>
            </w:r>
          </w:p>
        </w:tc>
        <w:tc>
          <w:tcPr>
            <w:tcW w:w="1701" w:type="dxa"/>
            <w:tcBorders>
              <w:bottom w:val="single" w:sz="12" w:space="0" w:color="auto"/>
            </w:tcBorders>
            <w:vAlign w:val="center"/>
          </w:tcPr>
          <w:p w14:paraId="4FF8CB43"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Crushed</w:t>
            </w:r>
          </w:p>
        </w:tc>
        <w:tc>
          <w:tcPr>
            <w:tcW w:w="2551" w:type="dxa"/>
            <w:tcBorders>
              <w:bottom w:val="single" w:sz="12" w:space="0" w:color="auto"/>
            </w:tcBorders>
            <w:vAlign w:val="center"/>
          </w:tcPr>
          <w:p w14:paraId="169AB025"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0.75</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0.07</w:t>
            </w:r>
            <w:r>
              <w:rPr>
                <w:rFonts w:ascii="Times New Roman" w:eastAsia="宋体" w:hAnsi="Times New Roman" w:cs="Times New Roman" w:hint="eastAsia"/>
                <w:sz w:val="24"/>
                <w:szCs w:val="24"/>
                <w:vertAlign w:val="superscript"/>
              </w:rPr>
              <w:t>abc</w:t>
            </w:r>
          </w:p>
        </w:tc>
      </w:tr>
    </w:tbl>
    <w:p w14:paraId="21D65450" w14:textId="77777777" w:rsidR="00E851E4" w:rsidRDefault="00E851E4" w:rsidP="00E851E4">
      <w:pPr>
        <w:jc w:val="center"/>
        <w:rPr>
          <w:rFonts w:ascii="Times New Roman" w:eastAsia="宋体" w:hAnsi="Times New Roman" w:cs="Times New Roman"/>
          <w:b/>
          <w:bCs/>
          <w:color w:val="000000"/>
          <w:kern w:val="0"/>
          <w:sz w:val="24"/>
          <w:szCs w:val="24"/>
          <w:lang w:bidi="en-US"/>
        </w:rPr>
      </w:pPr>
    </w:p>
    <w:p w14:paraId="6A9F3113" w14:textId="1E9DABD9" w:rsidR="00AD7955" w:rsidRDefault="00000000" w:rsidP="00E851E4">
      <w:pPr>
        <w:jc w:val="center"/>
        <w:rPr>
          <w:rFonts w:ascii="Times New Roman" w:hAnsi="Times New Roman" w:cs="Times New Roman"/>
          <w:sz w:val="24"/>
          <w:szCs w:val="24"/>
        </w:rPr>
      </w:pPr>
      <w:r>
        <w:rPr>
          <w:rFonts w:ascii="Times New Roman" w:eastAsia="宋体" w:hAnsi="Times New Roman" w:cs="Times New Roman" w:hint="eastAsia"/>
          <w:b/>
          <w:bCs/>
          <w:color w:val="000000"/>
          <w:kern w:val="0"/>
          <w:sz w:val="24"/>
          <w:szCs w:val="24"/>
          <w:lang w:bidi="en-US"/>
        </w:rPr>
        <w:t xml:space="preserve">Table S5. </w:t>
      </w:r>
      <w:r>
        <w:rPr>
          <w:rFonts w:ascii="Times New Roman" w:hAnsi="Times New Roman" w:cs="Times New Roman"/>
          <w:sz w:val="24"/>
          <w:szCs w:val="24"/>
        </w:rPr>
        <w:t xml:space="preserve">ANOVA results of </w:t>
      </w:r>
      <w:r>
        <w:rPr>
          <w:rFonts w:ascii="Times New Roman" w:hAnsi="Times New Roman" w:cs="Times New Roman" w:hint="eastAsia"/>
          <w:sz w:val="24"/>
          <w:szCs w:val="24"/>
        </w:rPr>
        <w:t>TN</w:t>
      </w:r>
      <w:r>
        <w:rPr>
          <w:rFonts w:ascii="Times New Roman" w:hAnsi="Times New Roman" w:cs="Times New Roman"/>
          <w:sz w:val="24"/>
          <w:szCs w:val="24"/>
        </w:rPr>
        <w:t xml:space="preserve"> removal efficiency for influent concentration and treatment method</w:t>
      </w:r>
    </w:p>
    <w:tbl>
      <w:tblPr>
        <w:tblW w:w="4095" w:type="dxa"/>
        <w:jc w:val="center"/>
        <w:tblBorders>
          <w:top w:val="single" w:sz="4" w:space="0" w:color="auto"/>
          <w:bottom w:val="single" w:sz="4" w:space="0" w:color="auto"/>
        </w:tblBorders>
        <w:tblLayout w:type="fixed"/>
        <w:tblLook w:val="04A0" w:firstRow="1" w:lastRow="0" w:firstColumn="1" w:lastColumn="0" w:noHBand="0" w:noVBand="1"/>
      </w:tblPr>
      <w:tblGrid>
        <w:gridCol w:w="1701"/>
        <w:gridCol w:w="1134"/>
        <w:gridCol w:w="1260"/>
      </w:tblGrid>
      <w:tr w:rsidR="00AD7955" w14:paraId="216E3276" w14:textId="77777777" w:rsidTr="00790349">
        <w:trPr>
          <w:trHeight w:val="241"/>
          <w:jc w:val="center"/>
        </w:trPr>
        <w:tc>
          <w:tcPr>
            <w:tcW w:w="1701" w:type="dxa"/>
            <w:tcBorders>
              <w:top w:val="single" w:sz="12" w:space="0" w:color="auto"/>
              <w:left w:val="nil"/>
              <w:bottom w:val="single" w:sz="8" w:space="0" w:color="auto"/>
              <w:right w:val="nil"/>
            </w:tcBorders>
            <w:vAlign w:val="center"/>
          </w:tcPr>
          <w:p w14:paraId="782A8E93"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sz w:val="24"/>
                <w:szCs w:val="24"/>
              </w:rPr>
              <w:t>Fixed factor</w:t>
            </w:r>
          </w:p>
        </w:tc>
        <w:tc>
          <w:tcPr>
            <w:tcW w:w="1134" w:type="dxa"/>
            <w:tcBorders>
              <w:top w:val="single" w:sz="12" w:space="0" w:color="auto"/>
              <w:left w:val="nil"/>
              <w:bottom w:val="single" w:sz="8" w:space="0" w:color="auto"/>
              <w:right w:val="nil"/>
            </w:tcBorders>
            <w:noWrap/>
            <w:vAlign w:val="center"/>
          </w:tcPr>
          <w:p w14:paraId="13AC9417"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sz w:val="24"/>
                <w:szCs w:val="24"/>
              </w:rPr>
              <w:t>F</w:t>
            </w:r>
            <w:r>
              <w:rPr>
                <w:rFonts w:ascii="Times New Roman" w:eastAsia="宋体" w:hAnsi="Times New Roman" w:cs="Times New Roman"/>
                <w:sz w:val="24"/>
                <w:szCs w:val="24"/>
              </w:rPr>
              <w:t>值</w:t>
            </w:r>
          </w:p>
        </w:tc>
        <w:tc>
          <w:tcPr>
            <w:tcW w:w="1260" w:type="dxa"/>
            <w:tcBorders>
              <w:top w:val="single" w:sz="12" w:space="0" w:color="auto"/>
              <w:left w:val="nil"/>
              <w:bottom w:val="single" w:sz="8" w:space="0" w:color="auto"/>
              <w:right w:val="nil"/>
            </w:tcBorders>
            <w:noWrap/>
            <w:vAlign w:val="center"/>
          </w:tcPr>
          <w:p w14:paraId="5EBA0567"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sz w:val="24"/>
                <w:szCs w:val="24"/>
              </w:rPr>
              <w:t>P</w:t>
            </w:r>
            <w:r>
              <w:rPr>
                <w:rFonts w:ascii="Times New Roman" w:eastAsia="宋体" w:hAnsi="Times New Roman" w:cs="Times New Roman"/>
                <w:sz w:val="24"/>
                <w:szCs w:val="24"/>
              </w:rPr>
              <w:t>值</w:t>
            </w:r>
          </w:p>
        </w:tc>
      </w:tr>
      <w:tr w:rsidR="00AD7955" w14:paraId="2DF808C5" w14:textId="77777777">
        <w:trPr>
          <w:trHeight w:val="241"/>
          <w:jc w:val="center"/>
        </w:trPr>
        <w:tc>
          <w:tcPr>
            <w:tcW w:w="1701" w:type="dxa"/>
            <w:tcBorders>
              <w:top w:val="single" w:sz="8" w:space="0" w:color="auto"/>
              <w:left w:val="nil"/>
              <w:bottom w:val="nil"/>
              <w:right w:val="nil"/>
            </w:tcBorders>
            <w:noWrap/>
            <w:vAlign w:val="center"/>
          </w:tcPr>
          <w:p w14:paraId="1B929DE1"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A</w:t>
            </w:r>
          </w:p>
        </w:tc>
        <w:tc>
          <w:tcPr>
            <w:tcW w:w="1134" w:type="dxa"/>
            <w:tcBorders>
              <w:top w:val="single" w:sz="8" w:space="0" w:color="auto"/>
              <w:left w:val="nil"/>
              <w:bottom w:val="nil"/>
              <w:right w:val="nil"/>
            </w:tcBorders>
            <w:noWrap/>
            <w:vAlign w:val="center"/>
          </w:tcPr>
          <w:p w14:paraId="62BF7F60"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34.941</w:t>
            </w:r>
          </w:p>
        </w:tc>
        <w:tc>
          <w:tcPr>
            <w:tcW w:w="1260" w:type="dxa"/>
            <w:tcBorders>
              <w:top w:val="single" w:sz="8" w:space="0" w:color="auto"/>
              <w:left w:val="nil"/>
              <w:bottom w:val="nil"/>
              <w:right w:val="nil"/>
            </w:tcBorders>
            <w:noWrap/>
            <w:vAlign w:val="center"/>
          </w:tcPr>
          <w:p w14:paraId="67868061"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0.000</w:t>
            </w:r>
          </w:p>
        </w:tc>
      </w:tr>
      <w:tr w:rsidR="00AD7955" w14:paraId="3698E8B5" w14:textId="77777777">
        <w:trPr>
          <w:trHeight w:val="241"/>
          <w:jc w:val="center"/>
        </w:trPr>
        <w:tc>
          <w:tcPr>
            <w:tcW w:w="1701" w:type="dxa"/>
            <w:tcBorders>
              <w:top w:val="nil"/>
              <w:left w:val="nil"/>
              <w:bottom w:val="nil"/>
              <w:right w:val="nil"/>
            </w:tcBorders>
            <w:noWrap/>
            <w:vAlign w:val="center"/>
          </w:tcPr>
          <w:p w14:paraId="1F7526E4"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B</w:t>
            </w:r>
          </w:p>
        </w:tc>
        <w:tc>
          <w:tcPr>
            <w:tcW w:w="1134" w:type="dxa"/>
            <w:tcBorders>
              <w:top w:val="nil"/>
              <w:left w:val="nil"/>
              <w:bottom w:val="nil"/>
              <w:right w:val="nil"/>
            </w:tcBorders>
            <w:noWrap/>
            <w:vAlign w:val="center"/>
          </w:tcPr>
          <w:p w14:paraId="6C61AA94"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17.954</w:t>
            </w:r>
          </w:p>
        </w:tc>
        <w:tc>
          <w:tcPr>
            <w:tcW w:w="1260" w:type="dxa"/>
            <w:tcBorders>
              <w:top w:val="nil"/>
              <w:left w:val="nil"/>
              <w:bottom w:val="nil"/>
              <w:right w:val="nil"/>
            </w:tcBorders>
            <w:noWrap/>
            <w:vAlign w:val="center"/>
          </w:tcPr>
          <w:p w14:paraId="79D9E0FB"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0.000</w:t>
            </w:r>
          </w:p>
        </w:tc>
      </w:tr>
      <w:tr w:rsidR="00AD7955" w14:paraId="44F21FE2" w14:textId="77777777" w:rsidTr="00790349">
        <w:trPr>
          <w:trHeight w:val="241"/>
          <w:jc w:val="center"/>
        </w:trPr>
        <w:tc>
          <w:tcPr>
            <w:tcW w:w="1701" w:type="dxa"/>
            <w:tcBorders>
              <w:top w:val="nil"/>
              <w:left w:val="nil"/>
              <w:bottom w:val="single" w:sz="12" w:space="0" w:color="auto"/>
              <w:right w:val="nil"/>
            </w:tcBorders>
            <w:vAlign w:val="center"/>
          </w:tcPr>
          <w:p w14:paraId="23243468"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A</w:t>
            </w:r>
            <w:r>
              <w:rPr>
                <w:rFonts w:ascii="Times New Roman" w:eastAsia="宋体" w:hAnsi="Times New Roman" w:cs="Times New Roman"/>
                <w:sz w:val="24"/>
                <w:szCs w:val="24"/>
              </w:rPr>
              <w:t>×</w:t>
            </w:r>
            <w:r>
              <w:rPr>
                <w:rFonts w:ascii="Times New Roman" w:eastAsia="宋体" w:hAnsi="Times New Roman" w:cs="Times New Roman" w:hint="eastAsia"/>
                <w:sz w:val="24"/>
                <w:szCs w:val="24"/>
              </w:rPr>
              <w:t>B</w:t>
            </w:r>
          </w:p>
        </w:tc>
        <w:tc>
          <w:tcPr>
            <w:tcW w:w="1134" w:type="dxa"/>
            <w:tcBorders>
              <w:top w:val="nil"/>
              <w:left w:val="nil"/>
              <w:bottom w:val="single" w:sz="12" w:space="0" w:color="auto"/>
              <w:right w:val="nil"/>
            </w:tcBorders>
            <w:noWrap/>
            <w:vAlign w:val="center"/>
          </w:tcPr>
          <w:p w14:paraId="3EFB4CA7"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6.991</w:t>
            </w:r>
          </w:p>
        </w:tc>
        <w:tc>
          <w:tcPr>
            <w:tcW w:w="1260" w:type="dxa"/>
            <w:tcBorders>
              <w:top w:val="nil"/>
              <w:left w:val="nil"/>
              <w:bottom w:val="single" w:sz="12" w:space="0" w:color="auto"/>
              <w:right w:val="nil"/>
            </w:tcBorders>
            <w:noWrap/>
            <w:vAlign w:val="center"/>
          </w:tcPr>
          <w:p w14:paraId="49B87876"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0.001</w:t>
            </w:r>
          </w:p>
        </w:tc>
      </w:tr>
    </w:tbl>
    <w:p w14:paraId="17BDF2DA" w14:textId="77777777" w:rsidR="00AD7955" w:rsidRDefault="00000000" w:rsidP="00790349">
      <w:pPr>
        <w:ind w:firstLineChars="200" w:firstLine="480"/>
        <w:rPr>
          <w:rFonts w:ascii="Times New Roman" w:hAnsi="Times New Roman" w:cs="Times New Roman"/>
          <w:sz w:val="24"/>
          <w:szCs w:val="24"/>
        </w:rPr>
      </w:pPr>
      <w:r>
        <w:rPr>
          <w:rFonts w:ascii="Times New Roman" w:hAnsi="Times New Roman" w:cs="Times New Roman"/>
          <w:b/>
          <w:bCs/>
          <w:sz w:val="24"/>
          <w:szCs w:val="24"/>
        </w:rPr>
        <w:t>Note</w:t>
      </w:r>
      <w:r>
        <w:rPr>
          <w:rFonts w:ascii="Times New Roman" w:hAnsi="Times New Roman" w:cs="Times New Roman" w:hint="eastAsia"/>
          <w:b/>
          <w:bCs/>
          <w:sz w:val="24"/>
          <w:szCs w:val="24"/>
        </w:rPr>
        <w:t xml:space="preserve">: </w:t>
      </w:r>
      <w:r>
        <w:rPr>
          <w:rFonts w:ascii="Times New Roman" w:hAnsi="Times New Roman" w:cs="Times New Roman"/>
          <w:sz w:val="24"/>
          <w:szCs w:val="24"/>
        </w:rPr>
        <w:t>A represents influent concentration; B represents treatment method; A × B represents the interaction between the two factors. P-value indicates the significance level, and F-value indicates the F statistic of the effect.</w:t>
      </w:r>
    </w:p>
    <w:p w14:paraId="1984E147" w14:textId="77777777" w:rsidR="00E851E4" w:rsidRDefault="00E851E4" w:rsidP="003026AA">
      <w:pPr>
        <w:jc w:val="center"/>
        <w:rPr>
          <w:rFonts w:ascii="Times New Roman" w:eastAsia="宋体" w:hAnsi="Times New Roman" w:cs="Times New Roman"/>
          <w:b/>
          <w:bCs/>
          <w:color w:val="000000"/>
          <w:kern w:val="0"/>
          <w:sz w:val="24"/>
          <w:szCs w:val="24"/>
          <w:lang w:bidi="en-US"/>
        </w:rPr>
      </w:pPr>
    </w:p>
    <w:p w14:paraId="6D1A4F30" w14:textId="366D488C" w:rsidR="00AD7955" w:rsidRDefault="00000000" w:rsidP="003026AA">
      <w:pPr>
        <w:jc w:val="center"/>
        <w:rPr>
          <w:rFonts w:ascii="Times New Roman" w:hAnsi="Times New Roman" w:cs="Times New Roman"/>
          <w:sz w:val="24"/>
          <w:szCs w:val="24"/>
        </w:rPr>
      </w:pPr>
      <w:r>
        <w:rPr>
          <w:rFonts w:ascii="Times New Roman" w:eastAsia="宋体" w:hAnsi="Times New Roman" w:cs="Times New Roman" w:hint="eastAsia"/>
          <w:b/>
          <w:bCs/>
          <w:color w:val="000000"/>
          <w:kern w:val="0"/>
          <w:sz w:val="24"/>
          <w:szCs w:val="24"/>
          <w:lang w:bidi="en-US"/>
        </w:rPr>
        <w:t xml:space="preserve">Table S6. </w:t>
      </w:r>
      <w:r>
        <w:rPr>
          <w:rFonts w:ascii="Times New Roman" w:hAnsi="Times New Roman" w:cs="Times New Roman"/>
          <w:sz w:val="24"/>
          <w:szCs w:val="24"/>
        </w:rPr>
        <w:t xml:space="preserve">Effects of influent concentration and straw treatment on </w:t>
      </w:r>
      <w:r>
        <w:rPr>
          <w:rFonts w:ascii="Times New Roman" w:hAnsi="Times New Roman" w:cs="Times New Roman" w:hint="eastAsia"/>
          <w:sz w:val="24"/>
          <w:szCs w:val="24"/>
        </w:rPr>
        <w:t>TN</w:t>
      </w:r>
      <w:r>
        <w:rPr>
          <w:rFonts w:ascii="Times New Roman" w:hAnsi="Times New Roman" w:cs="Times New Roman"/>
          <w:sz w:val="24"/>
          <w:szCs w:val="24"/>
        </w:rPr>
        <w:t xml:space="preserve"> removal efficiency.</w:t>
      </w:r>
    </w:p>
    <w:tbl>
      <w:tblPr>
        <w:tblStyle w:val="ab"/>
        <w:tblW w:w="609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1701"/>
        <w:gridCol w:w="2551"/>
      </w:tblGrid>
      <w:tr w:rsidR="00AD7955" w14:paraId="5B04994D" w14:textId="77777777" w:rsidTr="003026AA">
        <w:trPr>
          <w:jc w:val="center"/>
        </w:trPr>
        <w:tc>
          <w:tcPr>
            <w:tcW w:w="1844" w:type="dxa"/>
            <w:tcBorders>
              <w:top w:val="single" w:sz="12" w:space="0" w:color="auto"/>
              <w:bottom w:val="single" w:sz="8" w:space="0" w:color="auto"/>
            </w:tcBorders>
            <w:vAlign w:val="center"/>
          </w:tcPr>
          <w:p w14:paraId="255CD4E8"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Influent concentration</w:t>
            </w:r>
          </w:p>
        </w:tc>
        <w:tc>
          <w:tcPr>
            <w:tcW w:w="1701" w:type="dxa"/>
            <w:tcBorders>
              <w:top w:val="single" w:sz="12" w:space="0" w:color="auto"/>
              <w:bottom w:val="single" w:sz="8" w:space="0" w:color="auto"/>
            </w:tcBorders>
            <w:vAlign w:val="center"/>
          </w:tcPr>
          <w:p w14:paraId="7560947B"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Treatment type</w:t>
            </w:r>
          </w:p>
        </w:tc>
        <w:tc>
          <w:tcPr>
            <w:tcW w:w="2551" w:type="dxa"/>
            <w:tcBorders>
              <w:top w:val="single" w:sz="12" w:space="0" w:color="auto"/>
              <w:bottom w:val="single" w:sz="8" w:space="0" w:color="auto"/>
            </w:tcBorders>
            <w:vAlign w:val="center"/>
          </w:tcPr>
          <w:p w14:paraId="152D2879"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TN removal </w:t>
            </w:r>
            <w:r>
              <w:rPr>
                <w:rFonts w:ascii="Times New Roman" w:eastAsia="宋体" w:hAnsi="Times New Roman" w:cs="Times New Roman"/>
                <w:sz w:val="24"/>
                <w:szCs w:val="24"/>
              </w:rPr>
              <w:t>efficiency</w:t>
            </w:r>
            <w:r>
              <w:rPr>
                <w:rFonts w:ascii="Times New Roman" w:eastAsia="宋体" w:hAnsi="Times New Roman" w:cs="Times New Roman" w:hint="eastAsia"/>
                <w:sz w:val="24"/>
                <w:szCs w:val="24"/>
              </w:rPr>
              <w:t xml:space="preserve"> (%)</w:t>
            </w:r>
          </w:p>
          <w:p w14:paraId="0076721E"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(Mean ± SD)</w:t>
            </w:r>
          </w:p>
        </w:tc>
      </w:tr>
      <w:tr w:rsidR="00AD7955" w14:paraId="5E556437" w14:textId="77777777">
        <w:trPr>
          <w:trHeight w:val="170"/>
          <w:jc w:val="center"/>
        </w:trPr>
        <w:tc>
          <w:tcPr>
            <w:tcW w:w="1844" w:type="dxa"/>
            <w:tcBorders>
              <w:top w:val="single" w:sz="8" w:space="0" w:color="auto"/>
              <w:bottom w:val="nil"/>
            </w:tcBorders>
            <w:vAlign w:val="center"/>
          </w:tcPr>
          <w:p w14:paraId="5A7A05D9"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Low</w:t>
            </w:r>
          </w:p>
        </w:tc>
        <w:tc>
          <w:tcPr>
            <w:tcW w:w="1701" w:type="dxa"/>
            <w:tcBorders>
              <w:top w:val="single" w:sz="8" w:space="0" w:color="auto"/>
              <w:bottom w:val="nil"/>
            </w:tcBorders>
            <w:vAlign w:val="center"/>
          </w:tcPr>
          <w:p w14:paraId="163F4A33"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Cut-6 cm</w:t>
            </w:r>
          </w:p>
        </w:tc>
        <w:tc>
          <w:tcPr>
            <w:tcW w:w="2551" w:type="dxa"/>
            <w:tcBorders>
              <w:top w:val="single" w:sz="8" w:space="0" w:color="auto"/>
              <w:bottom w:val="nil"/>
            </w:tcBorders>
            <w:vAlign w:val="center"/>
          </w:tcPr>
          <w:p w14:paraId="150E3D61"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0.47</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0.048</w:t>
            </w:r>
            <w:r>
              <w:rPr>
                <w:rFonts w:ascii="Times New Roman" w:eastAsia="宋体" w:hAnsi="Times New Roman" w:cs="Times New Roman" w:hint="eastAsia"/>
                <w:sz w:val="24"/>
                <w:szCs w:val="24"/>
                <w:vertAlign w:val="superscript"/>
              </w:rPr>
              <w:t>e</w:t>
            </w:r>
          </w:p>
        </w:tc>
      </w:tr>
      <w:tr w:rsidR="00AD7955" w14:paraId="35C826B9" w14:textId="77777777">
        <w:trPr>
          <w:jc w:val="center"/>
        </w:trPr>
        <w:tc>
          <w:tcPr>
            <w:tcW w:w="1844" w:type="dxa"/>
            <w:tcBorders>
              <w:top w:val="nil"/>
              <w:bottom w:val="nil"/>
            </w:tcBorders>
            <w:vAlign w:val="center"/>
          </w:tcPr>
          <w:p w14:paraId="0CF271BE"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Low</w:t>
            </w:r>
          </w:p>
        </w:tc>
        <w:tc>
          <w:tcPr>
            <w:tcW w:w="1701" w:type="dxa"/>
            <w:tcBorders>
              <w:top w:val="nil"/>
              <w:bottom w:val="nil"/>
            </w:tcBorders>
            <w:vAlign w:val="center"/>
          </w:tcPr>
          <w:p w14:paraId="4C023EBE"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Cut-3 cm</w:t>
            </w:r>
          </w:p>
        </w:tc>
        <w:tc>
          <w:tcPr>
            <w:tcW w:w="2551" w:type="dxa"/>
            <w:tcBorders>
              <w:top w:val="nil"/>
              <w:bottom w:val="nil"/>
            </w:tcBorders>
            <w:vAlign w:val="center"/>
          </w:tcPr>
          <w:p w14:paraId="0D2DEC1F"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0.57</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0.043</w:t>
            </w:r>
            <w:r>
              <w:rPr>
                <w:rFonts w:ascii="Times New Roman" w:eastAsia="宋体" w:hAnsi="Times New Roman" w:cs="Times New Roman" w:hint="eastAsia"/>
                <w:sz w:val="24"/>
                <w:szCs w:val="24"/>
                <w:vertAlign w:val="superscript"/>
              </w:rPr>
              <w:t>cd</w:t>
            </w:r>
          </w:p>
        </w:tc>
      </w:tr>
      <w:tr w:rsidR="00AD7955" w14:paraId="6DEF308E" w14:textId="77777777">
        <w:trPr>
          <w:jc w:val="center"/>
        </w:trPr>
        <w:tc>
          <w:tcPr>
            <w:tcW w:w="1844" w:type="dxa"/>
            <w:tcBorders>
              <w:top w:val="nil"/>
              <w:bottom w:val="nil"/>
            </w:tcBorders>
            <w:vAlign w:val="center"/>
          </w:tcPr>
          <w:p w14:paraId="5A82494B"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Low</w:t>
            </w:r>
          </w:p>
        </w:tc>
        <w:tc>
          <w:tcPr>
            <w:tcW w:w="1701" w:type="dxa"/>
            <w:tcBorders>
              <w:top w:val="nil"/>
              <w:bottom w:val="nil"/>
            </w:tcBorders>
            <w:vAlign w:val="center"/>
          </w:tcPr>
          <w:p w14:paraId="5342A407"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Crushed</w:t>
            </w:r>
          </w:p>
        </w:tc>
        <w:tc>
          <w:tcPr>
            <w:tcW w:w="2551" w:type="dxa"/>
            <w:tcBorders>
              <w:top w:val="nil"/>
              <w:bottom w:val="nil"/>
            </w:tcBorders>
            <w:vAlign w:val="center"/>
          </w:tcPr>
          <w:p w14:paraId="3E9B7BF5"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0.68</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0.02</w:t>
            </w:r>
            <w:r>
              <w:rPr>
                <w:rFonts w:ascii="Times New Roman" w:eastAsia="宋体" w:hAnsi="Times New Roman" w:cs="Times New Roman" w:hint="eastAsia"/>
                <w:sz w:val="24"/>
                <w:szCs w:val="24"/>
                <w:vertAlign w:val="superscript"/>
              </w:rPr>
              <w:t>b</w:t>
            </w:r>
          </w:p>
        </w:tc>
      </w:tr>
      <w:tr w:rsidR="00AD7955" w14:paraId="5EB88A8C" w14:textId="77777777">
        <w:trPr>
          <w:jc w:val="center"/>
        </w:trPr>
        <w:tc>
          <w:tcPr>
            <w:tcW w:w="1844" w:type="dxa"/>
            <w:tcBorders>
              <w:top w:val="nil"/>
              <w:bottom w:val="nil"/>
            </w:tcBorders>
            <w:vAlign w:val="center"/>
          </w:tcPr>
          <w:p w14:paraId="0C26AD87"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Medium</w:t>
            </w:r>
          </w:p>
        </w:tc>
        <w:tc>
          <w:tcPr>
            <w:tcW w:w="1701" w:type="dxa"/>
            <w:tcBorders>
              <w:top w:val="nil"/>
              <w:bottom w:val="nil"/>
            </w:tcBorders>
            <w:vAlign w:val="center"/>
          </w:tcPr>
          <w:p w14:paraId="42DBC3EC"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Cut-6 cm</w:t>
            </w:r>
          </w:p>
        </w:tc>
        <w:tc>
          <w:tcPr>
            <w:tcW w:w="2551" w:type="dxa"/>
            <w:tcBorders>
              <w:top w:val="nil"/>
              <w:bottom w:val="nil"/>
            </w:tcBorders>
            <w:vAlign w:val="center"/>
          </w:tcPr>
          <w:p w14:paraId="03F81133"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0.69</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0.021</w:t>
            </w:r>
            <w:r>
              <w:rPr>
                <w:rFonts w:ascii="Times New Roman" w:eastAsia="宋体" w:hAnsi="Times New Roman" w:cs="Times New Roman" w:hint="eastAsia"/>
                <w:sz w:val="24"/>
                <w:szCs w:val="24"/>
                <w:vertAlign w:val="superscript"/>
              </w:rPr>
              <w:t>b</w:t>
            </w:r>
          </w:p>
        </w:tc>
      </w:tr>
      <w:tr w:rsidR="00AD7955" w14:paraId="559A8CD2" w14:textId="77777777">
        <w:trPr>
          <w:jc w:val="center"/>
        </w:trPr>
        <w:tc>
          <w:tcPr>
            <w:tcW w:w="1844" w:type="dxa"/>
            <w:tcBorders>
              <w:top w:val="nil"/>
              <w:bottom w:val="nil"/>
            </w:tcBorders>
            <w:vAlign w:val="center"/>
          </w:tcPr>
          <w:p w14:paraId="68A7FF76"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Medium</w:t>
            </w:r>
          </w:p>
        </w:tc>
        <w:tc>
          <w:tcPr>
            <w:tcW w:w="1701" w:type="dxa"/>
            <w:tcBorders>
              <w:top w:val="nil"/>
              <w:bottom w:val="nil"/>
            </w:tcBorders>
            <w:vAlign w:val="center"/>
          </w:tcPr>
          <w:p w14:paraId="10005392"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Cut-3 cm</w:t>
            </w:r>
          </w:p>
        </w:tc>
        <w:tc>
          <w:tcPr>
            <w:tcW w:w="2551" w:type="dxa"/>
            <w:tcBorders>
              <w:top w:val="nil"/>
              <w:bottom w:val="nil"/>
            </w:tcBorders>
            <w:vAlign w:val="center"/>
          </w:tcPr>
          <w:p w14:paraId="7792CB9F"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0.77</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0.037</w:t>
            </w:r>
            <w:r>
              <w:rPr>
                <w:rFonts w:ascii="Times New Roman" w:eastAsia="宋体" w:hAnsi="Times New Roman" w:cs="Times New Roman" w:hint="eastAsia"/>
                <w:sz w:val="24"/>
                <w:szCs w:val="24"/>
                <w:vertAlign w:val="superscript"/>
              </w:rPr>
              <w:t>a</w:t>
            </w:r>
          </w:p>
        </w:tc>
      </w:tr>
      <w:tr w:rsidR="00AD7955" w14:paraId="1ACEFF4C" w14:textId="77777777">
        <w:trPr>
          <w:jc w:val="center"/>
        </w:trPr>
        <w:tc>
          <w:tcPr>
            <w:tcW w:w="1844" w:type="dxa"/>
            <w:tcBorders>
              <w:top w:val="nil"/>
              <w:bottom w:val="nil"/>
            </w:tcBorders>
            <w:vAlign w:val="center"/>
          </w:tcPr>
          <w:p w14:paraId="25192A15"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Medium</w:t>
            </w:r>
          </w:p>
        </w:tc>
        <w:tc>
          <w:tcPr>
            <w:tcW w:w="1701" w:type="dxa"/>
            <w:tcBorders>
              <w:top w:val="nil"/>
              <w:bottom w:val="nil"/>
            </w:tcBorders>
            <w:vAlign w:val="center"/>
          </w:tcPr>
          <w:p w14:paraId="517040A5"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Crushed</w:t>
            </w:r>
          </w:p>
        </w:tc>
        <w:tc>
          <w:tcPr>
            <w:tcW w:w="2551" w:type="dxa"/>
            <w:tcBorders>
              <w:top w:val="nil"/>
              <w:bottom w:val="nil"/>
            </w:tcBorders>
            <w:vAlign w:val="center"/>
          </w:tcPr>
          <w:p w14:paraId="5A6CCBB0"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0.69</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0.050</w:t>
            </w:r>
            <w:r>
              <w:rPr>
                <w:rFonts w:ascii="Times New Roman" w:eastAsia="宋体" w:hAnsi="Times New Roman" w:cs="Times New Roman" w:hint="eastAsia"/>
                <w:sz w:val="24"/>
                <w:szCs w:val="24"/>
                <w:vertAlign w:val="superscript"/>
              </w:rPr>
              <w:t>b</w:t>
            </w:r>
          </w:p>
        </w:tc>
      </w:tr>
      <w:tr w:rsidR="00AD7955" w14:paraId="2E6EAB44" w14:textId="77777777">
        <w:trPr>
          <w:jc w:val="center"/>
        </w:trPr>
        <w:tc>
          <w:tcPr>
            <w:tcW w:w="1844" w:type="dxa"/>
            <w:tcBorders>
              <w:top w:val="nil"/>
              <w:bottom w:val="nil"/>
            </w:tcBorders>
            <w:vAlign w:val="center"/>
          </w:tcPr>
          <w:p w14:paraId="1224D0B7"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High</w:t>
            </w:r>
          </w:p>
        </w:tc>
        <w:tc>
          <w:tcPr>
            <w:tcW w:w="1701" w:type="dxa"/>
            <w:tcBorders>
              <w:top w:val="nil"/>
              <w:bottom w:val="nil"/>
            </w:tcBorders>
            <w:vAlign w:val="center"/>
          </w:tcPr>
          <w:p w14:paraId="2967C89C"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Cut-6 cm</w:t>
            </w:r>
          </w:p>
        </w:tc>
        <w:tc>
          <w:tcPr>
            <w:tcW w:w="2551" w:type="dxa"/>
            <w:tcBorders>
              <w:top w:val="nil"/>
              <w:bottom w:val="nil"/>
            </w:tcBorders>
            <w:vAlign w:val="center"/>
          </w:tcPr>
          <w:p w14:paraId="0D87D122"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0.56</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0.056</w:t>
            </w:r>
            <w:r>
              <w:rPr>
                <w:rFonts w:ascii="Times New Roman" w:eastAsia="宋体" w:hAnsi="Times New Roman" w:cs="Times New Roman" w:hint="eastAsia"/>
                <w:sz w:val="24"/>
                <w:szCs w:val="24"/>
                <w:vertAlign w:val="superscript"/>
              </w:rPr>
              <w:t>d</w:t>
            </w:r>
          </w:p>
        </w:tc>
      </w:tr>
      <w:tr w:rsidR="00AD7955" w14:paraId="49DE39FD" w14:textId="77777777">
        <w:trPr>
          <w:jc w:val="center"/>
        </w:trPr>
        <w:tc>
          <w:tcPr>
            <w:tcW w:w="1844" w:type="dxa"/>
            <w:tcBorders>
              <w:top w:val="nil"/>
              <w:bottom w:val="nil"/>
            </w:tcBorders>
            <w:vAlign w:val="center"/>
          </w:tcPr>
          <w:p w14:paraId="66AD2618"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High</w:t>
            </w:r>
          </w:p>
        </w:tc>
        <w:tc>
          <w:tcPr>
            <w:tcW w:w="1701" w:type="dxa"/>
            <w:tcBorders>
              <w:top w:val="nil"/>
              <w:bottom w:val="nil"/>
            </w:tcBorders>
            <w:vAlign w:val="center"/>
          </w:tcPr>
          <w:p w14:paraId="1B9B511F"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Cut-3 cm</w:t>
            </w:r>
          </w:p>
        </w:tc>
        <w:tc>
          <w:tcPr>
            <w:tcW w:w="2551" w:type="dxa"/>
            <w:tcBorders>
              <w:top w:val="nil"/>
              <w:bottom w:val="nil"/>
            </w:tcBorders>
            <w:vAlign w:val="center"/>
          </w:tcPr>
          <w:p w14:paraId="3083C30B"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0.66</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0.015</w:t>
            </w:r>
            <w:r>
              <w:rPr>
                <w:rFonts w:ascii="Times New Roman" w:eastAsia="宋体" w:hAnsi="Times New Roman" w:cs="Times New Roman" w:hint="eastAsia"/>
                <w:sz w:val="24"/>
                <w:szCs w:val="24"/>
                <w:vertAlign w:val="superscript"/>
              </w:rPr>
              <w:t>b</w:t>
            </w:r>
          </w:p>
        </w:tc>
      </w:tr>
      <w:tr w:rsidR="00AD7955" w14:paraId="41A56858" w14:textId="77777777" w:rsidTr="003026AA">
        <w:trPr>
          <w:jc w:val="center"/>
        </w:trPr>
        <w:tc>
          <w:tcPr>
            <w:tcW w:w="1844" w:type="dxa"/>
            <w:tcBorders>
              <w:top w:val="nil"/>
              <w:bottom w:val="single" w:sz="12" w:space="0" w:color="auto"/>
            </w:tcBorders>
            <w:vAlign w:val="center"/>
          </w:tcPr>
          <w:p w14:paraId="6D637334"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High</w:t>
            </w:r>
          </w:p>
        </w:tc>
        <w:tc>
          <w:tcPr>
            <w:tcW w:w="1701" w:type="dxa"/>
            <w:tcBorders>
              <w:top w:val="nil"/>
              <w:bottom w:val="single" w:sz="12" w:space="0" w:color="auto"/>
            </w:tcBorders>
            <w:vAlign w:val="center"/>
          </w:tcPr>
          <w:p w14:paraId="1B4778FF"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Crushed</w:t>
            </w:r>
          </w:p>
        </w:tc>
        <w:tc>
          <w:tcPr>
            <w:tcW w:w="2551" w:type="dxa"/>
            <w:tcBorders>
              <w:top w:val="nil"/>
              <w:bottom w:val="single" w:sz="12" w:space="0" w:color="auto"/>
            </w:tcBorders>
            <w:vAlign w:val="center"/>
          </w:tcPr>
          <w:p w14:paraId="1FF97FB8"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0.64</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0.025</w:t>
            </w:r>
            <w:r>
              <w:rPr>
                <w:rFonts w:ascii="Times New Roman" w:eastAsia="宋体" w:hAnsi="Times New Roman" w:cs="Times New Roman" w:hint="eastAsia"/>
                <w:sz w:val="24"/>
                <w:szCs w:val="24"/>
                <w:vertAlign w:val="superscript"/>
              </w:rPr>
              <w:t>bc</w:t>
            </w:r>
          </w:p>
        </w:tc>
      </w:tr>
    </w:tbl>
    <w:p w14:paraId="6DB0B86E" w14:textId="77777777" w:rsidR="00E851E4" w:rsidRDefault="00E851E4" w:rsidP="003026AA">
      <w:pPr>
        <w:jc w:val="center"/>
        <w:rPr>
          <w:rFonts w:ascii="Times New Roman" w:eastAsia="宋体" w:hAnsi="Times New Roman" w:cs="Times New Roman"/>
          <w:b/>
          <w:bCs/>
          <w:color w:val="000000"/>
          <w:kern w:val="0"/>
          <w:sz w:val="24"/>
          <w:szCs w:val="24"/>
          <w:lang w:bidi="en-US"/>
        </w:rPr>
      </w:pPr>
    </w:p>
    <w:p w14:paraId="01A0E225" w14:textId="19C32009" w:rsidR="00AD7955" w:rsidRDefault="00000000" w:rsidP="003026AA">
      <w:pPr>
        <w:jc w:val="center"/>
        <w:rPr>
          <w:rFonts w:ascii="Times New Roman" w:hAnsi="Times New Roman" w:cs="Times New Roman"/>
          <w:sz w:val="24"/>
          <w:szCs w:val="24"/>
        </w:rPr>
      </w:pPr>
      <w:r>
        <w:rPr>
          <w:rFonts w:ascii="Times New Roman" w:eastAsia="宋体" w:hAnsi="Times New Roman" w:cs="Times New Roman" w:hint="eastAsia"/>
          <w:b/>
          <w:bCs/>
          <w:color w:val="000000"/>
          <w:kern w:val="0"/>
          <w:sz w:val="24"/>
          <w:szCs w:val="24"/>
          <w:lang w:bidi="en-US"/>
        </w:rPr>
        <w:t xml:space="preserve">Table S7. </w:t>
      </w:r>
      <w:r>
        <w:rPr>
          <w:rFonts w:ascii="Times New Roman" w:hAnsi="Times New Roman" w:cs="Times New Roman"/>
          <w:sz w:val="24"/>
          <w:szCs w:val="24"/>
        </w:rPr>
        <w:t xml:space="preserve">ANOVA results of </w:t>
      </w:r>
      <w:r>
        <w:rPr>
          <w:rFonts w:ascii="Times New Roman" w:hAnsi="Times New Roman" w:cs="Times New Roman" w:hint="eastAsia"/>
          <w:sz w:val="24"/>
          <w:szCs w:val="24"/>
        </w:rPr>
        <w:t>TP</w:t>
      </w:r>
      <w:r>
        <w:rPr>
          <w:rFonts w:ascii="Times New Roman" w:hAnsi="Times New Roman" w:cs="Times New Roman"/>
          <w:sz w:val="24"/>
          <w:szCs w:val="24"/>
        </w:rPr>
        <w:t xml:space="preserve"> removal efficiency for influent concentration and treatment method</w:t>
      </w:r>
    </w:p>
    <w:tbl>
      <w:tblPr>
        <w:tblW w:w="4095" w:type="dxa"/>
        <w:jc w:val="center"/>
        <w:tblBorders>
          <w:top w:val="single" w:sz="4" w:space="0" w:color="auto"/>
          <w:bottom w:val="single" w:sz="4" w:space="0" w:color="auto"/>
        </w:tblBorders>
        <w:tblLayout w:type="fixed"/>
        <w:tblLook w:val="04A0" w:firstRow="1" w:lastRow="0" w:firstColumn="1" w:lastColumn="0" w:noHBand="0" w:noVBand="1"/>
      </w:tblPr>
      <w:tblGrid>
        <w:gridCol w:w="1701"/>
        <w:gridCol w:w="1134"/>
        <w:gridCol w:w="1260"/>
      </w:tblGrid>
      <w:tr w:rsidR="00AD7955" w14:paraId="591A843F" w14:textId="77777777" w:rsidTr="00285BAA">
        <w:trPr>
          <w:trHeight w:val="241"/>
          <w:jc w:val="center"/>
        </w:trPr>
        <w:tc>
          <w:tcPr>
            <w:tcW w:w="1701" w:type="dxa"/>
            <w:tcBorders>
              <w:top w:val="single" w:sz="12" w:space="0" w:color="auto"/>
              <w:left w:val="nil"/>
              <w:bottom w:val="single" w:sz="8" w:space="0" w:color="auto"/>
              <w:right w:val="nil"/>
            </w:tcBorders>
            <w:vAlign w:val="center"/>
          </w:tcPr>
          <w:p w14:paraId="141067AE"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sz w:val="24"/>
                <w:szCs w:val="24"/>
              </w:rPr>
              <w:t>Fixed factor</w:t>
            </w:r>
          </w:p>
        </w:tc>
        <w:tc>
          <w:tcPr>
            <w:tcW w:w="1134" w:type="dxa"/>
            <w:tcBorders>
              <w:top w:val="single" w:sz="12" w:space="0" w:color="auto"/>
              <w:left w:val="nil"/>
              <w:bottom w:val="single" w:sz="8" w:space="0" w:color="auto"/>
              <w:right w:val="nil"/>
            </w:tcBorders>
            <w:noWrap/>
            <w:vAlign w:val="center"/>
          </w:tcPr>
          <w:p w14:paraId="54664791"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sz w:val="24"/>
                <w:szCs w:val="24"/>
              </w:rPr>
              <w:t>F</w:t>
            </w:r>
            <w:r>
              <w:rPr>
                <w:rFonts w:ascii="Times New Roman" w:eastAsia="宋体" w:hAnsi="Times New Roman" w:cs="Times New Roman"/>
                <w:sz w:val="24"/>
                <w:szCs w:val="24"/>
              </w:rPr>
              <w:t>值</w:t>
            </w:r>
          </w:p>
        </w:tc>
        <w:tc>
          <w:tcPr>
            <w:tcW w:w="1260" w:type="dxa"/>
            <w:tcBorders>
              <w:top w:val="single" w:sz="12" w:space="0" w:color="auto"/>
              <w:left w:val="nil"/>
              <w:bottom w:val="single" w:sz="8" w:space="0" w:color="auto"/>
              <w:right w:val="nil"/>
            </w:tcBorders>
            <w:noWrap/>
            <w:vAlign w:val="center"/>
          </w:tcPr>
          <w:p w14:paraId="72D46458"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sz w:val="24"/>
                <w:szCs w:val="24"/>
              </w:rPr>
              <w:t>P</w:t>
            </w:r>
            <w:r>
              <w:rPr>
                <w:rFonts w:ascii="Times New Roman" w:eastAsia="宋体" w:hAnsi="Times New Roman" w:cs="Times New Roman"/>
                <w:sz w:val="24"/>
                <w:szCs w:val="24"/>
              </w:rPr>
              <w:t>值</w:t>
            </w:r>
          </w:p>
        </w:tc>
      </w:tr>
      <w:tr w:rsidR="00AD7955" w14:paraId="4C48C1FD" w14:textId="77777777">
        <w:trPr>
          <w:trHeight w:val="241"/>
          <w:jc w:val="center"/>
        </w:trPr>
        <w:tc>
          <w:tcPr>
            <w:tcW w:w="1701" w:type="dxa"/>
            <w:tcBorders>
              <w:top w:val="single" w:sz="8" w:space="0" w:color="auto"/>
              <w:left w:val="nil"/>
              <w:bottom w:val="nil"/>
              <w:right w:val="nil"/>
            </w:tcBorders>
            <w:noWrap/>
            <w:vAlign w:val="center"/>
          </w:tcPr>
          <w:p w14:paraId="69503D86"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A</w:t>
            </w:r>
          </w:p>
        </w:tc>
        <w:tc>
          <w:tcPr>
            <w:tcW w:w="1134" w:type="dxa"/>
            <w:tcBorders>
              <w:top w:val="single" w:sz="8" w:space="0" w:color="auto"/>
              <w:left w:val="nil"/>
              <w:bottom w:val="nil"/>
              <w:right w:val="nil"/>
            </w:tcBorders>
            <w:noWrap/>
            <w:vAlign w:val="center"/>
          </w:tcPr>
          <w:p w14:paraId="46553950"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25.482</w:t>
            </w:r>
          </w:p>
        </w:tc>
        <w:tc>
          <w:tcPr>
            <w:tcW w:w="1260" w:type="dxa"/>
            <w:tcBorders>
              <w:top w:val="single" w:sz="8" w:space="0" w:color="auto"/>
              <w:left w:val="nil"/>
              <w:bottom w:val="nil"/>
              <w:right w:val="nil"/>
            </w:tcBorders>
            <w:noWrap/>
            <w:vAlign w:val="center"/>
          </w:tcPr>
          <w:p w14:paraId="4E8480A9"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0.000</w:t>
            </w:r>
          </w:p>
        </w:tc>
      </w:tr>
      <w:tr w:rsidR="00AD7955" w14:paraId="36E5E9E5" w14:textId="77777777">
        <w:trPr>
          <w:trHeight w:val="241"/>
          <w:jc w:val="center"/>
        </w:trPr>
        <w:tc>
          <w:tcPr>
            <w:tcW w:w="1701" w:type="dxa"/>
            <w:tcBorders>
              <w:top w:val="nil"/>
              <w:left w:val="nil"/>
              <w:bottom w:val="nil"/>
              <w:right w:val="nil"/>
            </w:tcBorders>
            <w:noWrap/>
            <w:vAlign w:val="center"/>
          </w:tcPr>
          <w:p w14:paraId="1E46E4A6"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B</w:t>
            </w:r>
          </w:p>
        </w:tc>
        <w:tc>
          <w:tcPr>
            <w:tcW w:w="1134" w:type="dxa"/>
            <w:tcBorders>
              <w:top w:val="nil"/>
              <w:left w:val="nil"/>
              <w:bottom w:val="nil"/>
              <w:right w:val="nil"/>
            </w:tcBorders>
            <w:noWrap/>
            <w:vAlign w:val="center"/>
          </w:tcPr>
          <w:p w14:paraId="20BE70B3"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4.272</w:t>
            </w:r>
          </w:p>
        </w:tc>
        <w:tc>
          <w:tcPr>
            <w:tcW w:w="1260" w:type="dxa"/>
            <w:tcBorders>
              <w:top w:val="nil"/>
              <w:left w:val="nil"/>
              <w:bottom w:val="nil"/>
              <w:right w:val="nil"/>
            </w:tcBorders>
            <w:noWrap/>
            <w:vAlign w:val="center"/>
          </w:tcPr>
          <w:p w14:paraId="44F645F0"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0.030</w:t>
            </w:r>
          </w:p>
        </w:tc>
      </w:tr>
      <w:tr w:rsidR="00AD7955" w14:paraId="144AFD29" w14:textId="77777777" w:rsidTr="00285BAA">
        <w:trPr>
          <w:trHeight w:val="241"/>
          <w:jc w:val="center"/>
        </w:trPr>
        <w:tc>
          <w:tcPr>
            <w:tcW w:w="1701" w:type="dxa"/>
            <w:tcBorders>
              <w:top w:val="nil"/>
              <w:left w:val="nil"/>
              <w:bottom w:val="single" w:sz="12" w:space="0" w:color="auto"/>
              <w:right w:val="nil"/>
            </w:tcBorders>
            <w:vAlign w:val="center"/>
          </w:tcPr>
          <w:p w14:paraId="2D4ACAA3"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A</w:t>
            </w:r>
            <w:r>
              <w:rPr>
                <w:rFonts w:ascii="Times New Roman" w:eastAsia="宋体" w:hAnsi="Times New Roman" w:cs="Times New Roman"/>
                <w:sz w:val="24"/>
                <w:szCs w:val="24"/>
              </w:rPr>
              <w:t>×</w:t>
            </w:r>
            <w:r>
              <w:rPr>
                <w:rFonts w:ascii="Times New Roman" w:eastAsia="宋体" w:hAnsi="Times New Roman" w:cs="Times New Roman" w:hint="eastAsia"/>
                <w:sz w:val="24"/>
                <w:szCs w:val="24"/>
              </w:rPr>
              <w:t>B</w:t>
            </w:r>
          </w:p>
        </w:tc>
        <w:tc>
          <w:tcPr>
            <w:tcW w:w="1134" w:type="dxa"/>
            <w:tcBorders>
              <w:top w:val="nil"/>
              <w:left w:val="nil"/>
              <w:bottom w:val="single" w:sz="12" w:space="0" w:color="auto"/>
              <w:right w:val="nil"/>
            </w:tcBorders>
            <w:noWrap/>
            <w:vAlign w:val="center"/>
          </w:tcPr>
          <w:p w14:paraId="294C9DE4"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3.077</w:t>
            </w:r>
          </w:p>
        </w:tc>
        <w:tc>
          <w:tcPr>
            <w:tcW w:w="1260" w:type="dxa"/>
            <w:tcBorders>
              <w:top w:val="nil"/>
              <w:left w:val="nil"/>
              <w:bottom w:val="single" w:sz="12" w:space="0" w:color="auto"/>
              <w:right w:val="nil"/>
            </w:tcBorders>
            <w:noWrap/>
            <w:vAlign w:val="center"/>
          </w:tcPr>
          <w:p w14:paraId="7B520306" w14:textId="77777777" w:rsidR="00AD7955" w:rsidRDefault="00000000">
            <w:pPr>
              <w:widowControl/>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0.043</w:t>
            </w:r>
          </w:p>
        </w:tc>
      </w:tr>
    </w:tbl>
    <w:p w14:paraId="1BDECAAA" w14:textId="77777777" w:rsidR="00AD7955" w:rsidRPr="00285BAA" w:rsidRDefault="00000000" w:rsidP="00790349">
      <w:pPr>
        <w:ind w:firstLineChars="200" w:firstLine="440"/>
        <w:rPr>
          <w:rFonts w:ascii="Times New Roman" w:hAnsi="Times New Roman" w:cs="Times New Roman"/>
          <w:sz w:val="22"/>
        </w:rPr>
      </w:pPr>
      <w:r w:rsidRPr="00285BAA">
        <w:rPr>
          <w:rFonts w:ascii="Times New Roman" w:hAnsi="Times New Roman" w:cs="Times New Roman"/>
          <w:b/>
          <w:bCs/>
          <w:sz w:val="22"/>
        </w:rPr>
        <w:lastRenderedPageBreak/>
        <w:t>Note</w:t>
      </w:r>
      <w:r w:rsidRPr="00285BAA">
        <w:rPr>
          <w:rFonts w:ascii="Times New Roman" w:hAnsi="Times New Roman" w:cs="Times New Roman" w:hint="eastAsia"/>
          <w:b/>
          <w:bCs/>
          <w:sz w:val="22"/>
        </w:rPr>
        <w:t xml:space="preserve">: </w:t>
      </w:r>
      <w:r w:rsidRPr="00285BAA">
        <w:rPr>
          <w:rFonts w:ascii="Times New Roman" w:hAnsi="Times New Roman" w:cs="Times New Roman"/>
          <w:sz w:val="22"/>
        </w:rPr>
        <w:t>A represents influent concentration; B represents treatment method; A × B represents the interaction between the two factors. P-value indicates the significance level, and F-value indicates the F statistic of the effect.</w:t>
      </w:r>
    </w:p>
    <w:p w14:paraId="357EB8EF" w14:textId="77777777" w:rsidR="00E851E4" w:rsidRDefault="00E851E4" w:rsidP="003026AA">
      <w:pPr>
        <w:jc w:val="center"/>
        <w:rPr>
          <w:rFonts w:ascii="Times New Roman" w:eastAsia="宋体" w:hAnsi="Times New Roman" w:cs="Times New Roman"/>
          <w:b/>
          <w:bCs/>
          <w:color w:val="000000"/>
          <w:kern w:val="0"/>
          <w:sz w:val="24"/>
          <w:szCs w:val="24"/>
          <w:lang w:bidi="en-US"/>
        </w:rPr>
      </w:pPr>
    </w:p>
    <w:p w14:paraId="4D119B26" w14:textId="2FA058E3" w:rsidR="00AD7955" w:rsidRDefault="00000000" w:rsidP="003026AA">
      <w:pPr>
        <w:jc w:val="center"/>
        <w:rPr>
          <w:rFonts w:ascii="Times New Roman" w:hAnsi="Times New Roman" w:cs="Times New Roman"/>
          <w:sz w:val="24"/>
          <w:szCs w:val="24"/>
        </w:rPr>
      </w:pPr>
      <w:r>
        <w:rPr>
          <w:rFonts w:ascii="Times New Roman" w:eastAsia="宋体" w:hAnsi="Times New Roman" w:cs="Times New Roman" w:hint="eastAsia"/>
          <w:b/>
          <w:bCs/>
          <w:color w:val="000000"/>
          <w:kern w:val="0"/>
          <w:sz w:val="24"/>
          <w:szCs w:val="24"/>
          <w:lang w:bidi="en-US"/>
        </w:rPr>
        <w:t xml:space="preserve">Table S8. </w:t>
      </w:r>
      <w:r>
        <w:rPr>
          <w:rFonts w:ascii="Times New Roman" w:hAnsi="Times New Roman" w:cs="Times New Roman"/>
          <w:sz w:val="24"/>
          <w:szCs w:val="24"/>
        </w:rPr>
        <w:t xml:space="preserve">Effects of influent concentration and straw treatment on </w:t>
      </w:r>
      <w:r>
        <w:rPr>
          <w:rFonts w:ascii="Times New Roman" w:hAnsi="Times New Roman" w:cs="Times New Roman" w:hint="eastAsia"/>
          <w:sz w:val="24"/>
          <w:szCs w:val="24"/>
        </w:rPr>
        <w:t>TP</w:t>
      </w:r>
      <w:r>
        <w:rPr>
          <w:rFonts w:ascii="Times New Roman" w:hAnsi="Times New Roman" w:cs="Times New Roman"/>
          <w:sz w:val="24"/>
          <w:szCs w:val="24"/>
        </w:rPr>
        <w:t xml:space="preserve"> removal efficiency.</w:t>
      </w:r>
    </w:p>
    <w:tbl>
      <w:tblPr>
        <w:tblStyle w:val="ab"/>
        <w:tblW w:w="609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1701"/>
        <w:gridCol w:w="2551"/>
      </w:tblGrid>
      <w:tr w:rsidR="00AD7955" w14:paraId="2A192DD4" w14:textId="77777777" w:rsidTr="00285BAA">
        <w:trPr>
          <w:jc w:val="center"/>
        </w:trPr>
        <w:tc>
          <w:tcPr>
            <w:tcW w:w="1844" w:type="dxa"/>
            <w:tcBorders>
              <w:top w:val="single" w:sz="12" w:space="0" w:color="auto"/>
              <w:bottom w:val="single" w:sz="8" w:space="0" w:color="auto"/>
            </w:tcBorders>
            <w:vAlign w:val="center"/>
          </w:tcPr>
          <w:p w14:paraId="3779CDE8"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Influent concentration</w:t>
            </w:r>
          </w:p>
        </w:tc>
        <w:tc>
          <w:tcPr>
            <w:tcW w:w="1701" w:type="dxa"/>
            <w:tcBorders>
              <w:top w:val="single" w:sz="12" w:space="0" w:color="auto"/>
              <w:bottom w:val="single" w:sz="8" w:space="0" w:color="auto"/>
            </w:tcBorders>
            <w:vAlign w:val="center"/>
          </w:tcPr>
          <w:p w14:paraId="56DD1399"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Treatment type</w:t>
            </w:r>
          </w:p>
        </w:tc>
        <w:tc>
          <w:tcPr>
            <w:tcW w:w="2551" w:type="dxa"/>
            <w:tcBorders>
              <w:top w:val="single" w:sz="12" w:space="0" w:color="auto"/>
              <w:bottom w:val="single" w:sz="8" w:space="0" w:color="auto"/>
            </w:tcBorders>
            <w:vAlign w:val="center"/>
          </w:tcPr>
          <w:p w14:paraId="7A45B802"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TP removal </w:t>
            </w:r>
            <w:r>
              <w:rPr>
                <w:rFonts w:ascii="Times New Roman" w:eastAsia="宋体" w:hAnsi="Times New Roman" w:cs="Times New Roman"/>
                <w:sz w:val="24"/>
                <w:szCs w:val="24"/>
              </w:rPr>
              <w:t>efficiency</w:t>
            </w:r>
            <w:r>
              <w:rPr>
                <w:rFonts w:ascii="Times New Roman" w:eastAsia="宋体" w:hAnsi="Times New Roman" w:cs="Times New Roman" w:hint="eastAsia"/>
                <w:sz w:val="24"/>
                <w:szCs w:val="24"/>
              </w:rPr>
              <w:t xml:space="preserve"> (%)</w:t>
            </w:r>
          </w:p>
          <w:p w14:paraId="5FB1265A" w14:textId="77777777" w:rsidR="00AD7955"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(Mean ± SD)</w:t>
            </w:r>
          </w:p>
        </w:tc>
      </w:tr>
      <w:tr w:rsidR="00AD7955" w14:paraId="0016934E" w14:textId="77777777">
        <w:trPr>
          <w:trHeight w:val="170"/>
          <w:jc w:val="center"/>
        </w:trPr>
        <w:tc>
          <w:tcPr>
            <w:tcW w:w="1844" w:type="dxa"/>
            <w:tcBorders>
              <w:top w:val="single" w:sz="8" w:space="0" w:color="auto"/>
            </w:tcBorders>
            <w:vAlign w:val="center"/>
          </w:tcPr>
          <w:p w14:paraId="22FFDD68"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Low</w:t>
            </w:r>
          </w:p>
        </w:tc>
        <w:tc>
          <w:tcPr>
            <w:tcW w:w="1701" w:type="dxa"/>
            <w:tcBorders>
              <w:top w:val="single" w:sz="8" w:space="0" w:color="auto"/>
            </w:tcBorders>
            <w:vAlign w:val="center"/>
          </w:tcPr>
          <w:p w14:paraId="4CDDABE2"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Cut-6 cm</w:t>
            </w:r>
          </w:p>
        </w:tc>
        <w:tc>
          <w:tcPr>
            <w:tcW w:w="2551" w:type="dxa"/>
            <w:tcBorders>
              <w:top w:val="single" w:sz="8" w:space="0" w:color="auto"/>
            </w:tcBorders>
            <w:vAlign w:val="center"/>
          </w:tcPr>
          <w:p w14:paraId="6F17D36B"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0.75</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0.036</w:t>
            </w:r>
            <w:r>
              <w:rPr>
                <w:rFonts w:ascii="Times New Roman" w:eastAsia="宋体" w:hAnsi="Times New Roman" w:cs="Times New Roman" w:hint="eastAsia"/>
                <w:sz w:val="24"/>
                <w:szCs w:val="24"/>
                <w:vertAlign w:val="superscript"/>
              </w:rPr>
              <w:t>bc</w:t>
            </w:r>
          </w:p>
        </w:tc>
      </w:tr>
      <w:tr w:rsidR="00AD7955" w14:paraId="3BABDDFF" w14:textId="77777777">
        <w:trPr>
          <w:jc w:val="center"/>
        </w:trPr>
        <w:tc>
          <w:tcPr>
            <w:tcW w:w="1844" w:type="dxa"/>
            <w:vAlign w:val="center"/>
          </w:tcPr>
          <w:p w14:paraId="7D1DCC4F"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Low</w:t>
            </w:r>
          </w:p>
        </w:tc>
        <w:tc>
          <w:tcPr>
            <w:tcW w:w="1701" w:type="dxa"/>
            <w:vAlign w:val="center"/>
          </w:tcPr>
          <w:p w14:paraId="7B33DCA5"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Cut-3 cm</w:t>
            </w:r>
          </w:p>
        </w:tc>
        <w:tc>
          <w:tcPr>
            <w:tcW w:w="2551" w:type="dxa"/>
            <w:vAlign w:val="center"/>
          </w:tcPr>
          <w:p w14:paraId="0FA4ADCA"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0.64</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0.048</w:t>
            </w:r>
            <w:r>
              <w:rPr>
                <w:rFonts w:ascii="Times New Roman" w:eastAsia="宋体" w:hAnsi="Times New Roman" w:cs="Times New Roman" w:hint="eastAsia"/>
                <w:sz w:val="24"/>
                <w:szCs w:val="24"/>
                <w:vertAlign w:val="superscript"/>
              </w:rPr>
              <w:t>d</w:t>
            </w:r>
          </w:p>
        </w:tc>
      </w:tr>
      <w:tr w:rsidR="00AD7955" w14:paraId="74527115" w14:textId="77777777">
        <w:trPr>
          <w:jc w:val="center"/>
        </w:trPr>
        <w:tc>
          <w:tcPr>
            <w:tcW w:w="1844" w:type="dxa"/>
            <w:vAlign w:val="center"/>
          </w:tcPr>
          <w:p w14:paraId="4B7061A4"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Low</w:t>
            </w:r>
          </w:p>
        </w:tc>
        <w:tc>
          <w:tcPr>
            <w:tcW w:w="1701" w:type="dxa"/>
            <w:vAlign w:val="center"/>
          </w:tcPr>
          <w:p w14:paraId="315EC0E6"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Crushed</w:t>
            </w:r>
          </w:p>
        </w:tc>
        <w:tc>
          <w:tcPr>
            <w:tcW w:w="2551" w:type="dxa"/>
            <w:vAlign w:val="center"/>
          </w:tcPr>
          <w:p w14:paraId="1B1AF5BF"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0.66</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0.048</w:t>
            </w:r>
            <w:r>
              <w:rPr>
                <w:rFonts w:ascii="Times New Roman" w:eastAsia="宋体" w:hAnsi="Times New Roman" w:cs="Times New Roman" w:hint="eastAsia"/>
                <w:sz w:val="24"/>
                <w:szCs w:val="24"/>
                <w:vertAlign w:val="superscript"/>
              </w:rPr>
              <w:t>d</w:t>
            </w:r>
          </w:p>
        </w:tc>
      </w:tr>
      <w:tr w:rsidR="00AD7955" w14:paraId="7270CB07" w14:textId="77777777">
        <w:trPr>
          <w:jc w:val="center"/>
        </w:trPr>
        <w:tc>
          <w:tcPr>
            <w:tcW w:w="1844" w:type="dxa"/>
            <w:vAlign w:val="center"/>
          </w:tcPr>
          <w:p w14:paraId="19C92486"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Medium</w:t>
            </w:r>
          </w:p>
        </w:tc>
        <w:tc>
          <w:tcPr>
            <w:tcW w:w="1701" w:type="dxa"/>
            <w:vAlign w:val="center"/>
          </w:tcPr>
          <w:p w14:paraId="548ADFC0"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Cut-6 cm</w:t>
            </w:r>
          </w:p>
        </w:tc>
        <w:tc>
          <w:tcPr>
            <w:tcW w:w="2551" w:type="dxa"/>
            <w:vAlign w:val="center"/>
          </w:tcPr>
          <w:p w14:paraId="6EB6B5FE"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0.79</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0.056</w:t>
            </w:r>
            <w:r>
              <w:rPr>
                <w:rFonts w:ascii="Times New Roman" w:eastAsia="宋体" w:hAnsi="Times New Roman" w:cs="Times New Roman" w:hint="eastAsia"/>
                <w:sz w:val="24"/>
                <w:szCs w:val="24"/>
                <w:vertAlign w:val="superscript"/>
              </w:rPr>
              <w:t>ab</w:t>
            </w:r>
          </w:p>
        </w:tc>
      </w:tr>
      <w:tr w:rsidR="00AD7955" w14:paraId="0684A989" w14:textId="77777777">
        <w:trPr>
          <w:jc w:val="center"/>
        </w:trPr>
        <w:tc>
          <w:tcPr>
            <w:tcW w:w="1844" w:type="dxa"/>
            <w:vAlign w:val="center"/>
          </w:tcPr>
          <w:p w14:paraId="6C29D230"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Medium</w:t>
            </w:r>
          </w:p>
        </w:tc>
        <w:tc>
          <w:tcPr>
            <w:tcW w:w="1701" w:type="dxa"/>
            <w:vAlign w:val="center"/>
          </w:tcPr>
          <w:p w14:paraId="1B716504"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Cut-3 cm</w:t>
            </w:r>
          </w:p>
        </w:tc>
        <w:tc>
          <w:tcPr>
            <w:tcW w:w="2551" w:type="dxa"/>
            <w:vAlign w:val="center"/>
          </w:tcPr>
          <w:p w14:paraId="683CFB61"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0.75</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0.055</w:t>
            </w:r>
            <w:r>
              <w:rPr>
                <w:rFonts w:ascii="Times New Roman" w:eastAsia="宋体" w:hAnsi="Times New Roman" w:cs="Times New Roman" w:hint="eastAsia"/>
                <w:sz w:val="24"/>
                <w:szCs w:val="24"/>
                <w:vertAlign w:val="superscript"/>
              </w:rPr>
              <w:t>bc</w:t>
            </w:r>
          </w:p>
        </w:tc>
      </w:tr>
      <w:tr w:rsidR="00AD7955" w14:paraId="107CEF86" w14:textId="77777777">
        <w:trPr>
          <w:jc w:val="center"/>
        </w:trPr>
        <w:tc>
          <w:tcPr>
            <w:tcW w:w="1844" w:type="dxa"/>
            <w:vAlign w:val="center"/>
          </w:tcPr>
          <w:p w14:paraId="2A689276"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Medium</w:t>
            </w:r>
          </w:p>
        </w:tc>
        <w:tc>
          <w:tcPr>
            <w:tcW w:w="1701" w:type="dxa"/>
            <w:vAlign w:val="center"/>
          </w:tcPr>
          <w:p w14:paraId="08C77A5C"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Crushed</w:t>
            </w:r>
          </w:p>
        </w:tc>
        <w:tc>
          <w:tcPr>
            <w:tcW w:w="2551" w:type="dxa"/>
            <w:vAlign w:val="center"/>
          </w:tcPr>
          <w:p w14:paraId="67ADC574"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0.84</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0.028</w:t>
            </w:r>
            <w:r>
              <w:rPr>
                <w:rFonts w:ascii="Times New Roman" w:eastAsia="宋体" w:hAnsi="Times New Roman" w:cs="Times New Roman" w:hint="eastAsia"/>
                <w:sz w:val="24"/>
                <w:szCs w:val="24"/>
                <w:vertAlign w:val="superscript"/>
              </w:rPr>
              <w:t>a</w:t>
            </w:r>
          </w:p>
        </w:tc>
      </w:tr>
      <w:tr w:rsidR="00AD7955" w14:paraId="613479B9" w14:textId="77777777">
        <w:trPr>
          <w:jc w:val="center"/>
        </w:trPr>
        <w:tc>
          <w:tcPr>
            <w:tcW w:w="1844" w:type="dxa"/>
            <w:vAlign w:val="center"/>
          </w:tcPr>
          <w:p w14:paraId="23FDAF3D"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High</w:t>
            </w:r>
          </w:p>
        </w:tc>
        <w:tc>
          <w:tcPr>
            <w:tcW w:w="1701" w:type="dxa"/>
            <w:vAlign w:val="center"/>
          </w:tcPr>
          <w:p w14:paraId="56387C8B"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Cut-6 cm</w:t>
            </w:r>
          </w:p>
        </w:tc>
        <w:tc>
          <w:tcPr>
            <w:tcW w:w="2551" w:type="dxa"/>
            <w:vAlign w:val="center"/>
          </w:tcPr>
          <w:p w14:paraId="500EC1FA"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0.65</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0.021</w:t>
            </w:r>
            <w:r>
              <w:rPr>
                <w:rFonts w:ascii="Times New Roman" w:eastAsia="宋体" w:hAnsi="Times New Roman" w:cs="Times New Roman" w:hint="eastAsia"/>
                <w:sz w:val="24"/>
                <w:szCs w:val="24"/>
                <w:vertAlign w:val="superscript"/>
              </w:rPr>
              <w:t>d</w:t>
            </w:r>
          </w:p>
        </w:tc>
      </w:tr>
      <w:tr w:rsidR="00AD7955" w14:paraId="21084715" w14:textId="77777777">
        <w:trPr>
          <w:jc w:val="center"/>
        </w:trPr>
        <w:tc>
          <w:tcPr>
            <w:tcW w:w="1844" w:type="dxa"/>
            <w:vAlign w:val="center"/>
          </w:tcPr>
          <w:p w14:paraId="352E893F"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High</w:t>
            </w:r>
          </w:p>
        </w:tc>
        <w:tc>
          <w:tcPr>
            <w:tcW w:w="1701" w:type="dxa"/>
            <w:vAlign w:val="center"/>
          </w:tcPr>
          <w:p w14:paraId="555403F6"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Cut-3 cm</w:t>
            </w:r>
          </w:p>
        </w:tc>
        <w:tc>
          <w:tcPr>
            <w:tcW w:w="2551" w:type="dxa"/>
            <w:vAlign w:val="center"/>
          </w:tcPr>
          <w:p w14:paraId="1328D88D"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0.65</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0.031d</w:t>
            </w:r>
          </w:p>
        </w:tc>
      </w:tr>
      <w:tr w:rsidR="00AD7955" w14:paraId="35B7D929" w14:textId="77777777" w:rsidTr="00285BAA">
        <w:trPr>
          <w:jc w:val="center"/>
        </w:trPr>
        <w:tc>
          <w:tcPr>
            <w:tcW w:w="1844" w:type="dxa"/>
            <w:tcBorders>
              <w:bottom w:val="single" w:sz="12" w:space="0" w:color="auto"/>
            </w:tcBorders>
            <w:vAlign w:val="center"/>
          </w:tcPr>
          <w:p w14:paraId="559BAA66"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High</w:t>
            </w:r>
          </w:p>
        </w:tc>
        <w:tc>
          <w:tcPr>
            <w:tcW w:w="1701" w:type="dxa"/>
            <w:tcBorders>
              <w:bottom w:val="single" w:sz="12" w:space="0" w:color="auto"/>
            </w:tcBorders>
            <w:vAlign w:val="center"/>
          </w:tcPr>
          <w:p w14:paraId="4FE4E69E"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sz w:val="24"/>
                <w:szCs w:val="24"/>
              </w:rPr>
              <w:t>Crushed</w:t>
            </w:r>
          </w:p>
        </w:tc>
        <w:tc>
          <w:tcPr>
            <w:tcW w:w="2551" w:type="dxa"/>
            <w:tcBorders>
              <w:bottom w:val="single" w:sz="12" w:space="0" w:color="auto"/>
            </w:tcBorders>
            <w:vAlign w:val="center"/>
          </w:tcPr>
          <w:p w14:paraId="1B7013E4" w14:textId="77777777" w:rsidR="00AD7955"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0.68</w:t>
            </w:r>
            <w:r>
              <w:rPr>
                <w:rFonts w:ascii="Times New Roman" w:eastAsia="宋体" w:hAnsi="Times New Roman" w:cs="Times New Roman"/>
                <w:sz w:val="24"/>
                <w:szCs w:val="24"/>
              </w:rPr>
              <w:t xml:space="preserve"> ± </w:t>
            </w:r>
            <w:r>
              <w:rPr>
                <w:rFonts w:ascii="Times New Roman" w:eastAsia="宋体" w:hAnsi="Times New Roman" w:cs="Times New Roman" w:hint="eastAsia"/>
                <w:sz w:val="24"/>
                <w:szCs w:val="24"/>
              </w:rPr>
              <w:t>0.034</w:t>
            </w:r>
            <w:r>
              <w:rPr>
                <w:rFonts w:ascii="Times New Roman" w:eastAsia="宋体" w:hAnsi="Times New Roman" w:cs="Times New Roman" w:hint="eastAsia"/>
                <w:sz w:val="24"/>
                <w:szCs w:val="24"/>
                <w:vertAlign w:val="superscript"/>
              </w:rPr>
              <w:t>cd</w:t>
            </w:r>
          </w:p>
        </w:tc>
      </w:tr>
    </w:tbl>
    <w:p w14:paraId="6912D0BC" w14:textId="77777777" w:rsidR="00AD7955" w:rsidRDefault="00AD7955">
      <w:pPr>
        <w:spacing w:line="480" w:lineRule="auto"/>
        <w:jc w:val="center"/>
        <w:rPr>
          <w:rFonts w:hint="eastAsia"/>
        </w:rPr>
      </w:pPr>
    </w:p>
    <w:p w14:paraId="11DEAA25" w14:textId="77777777" w:rsidR="00AD7955" w:rsidRDefault="00AD7955">
      <w:pPr>
        <w:jc w:val="center"/>
        <w:rPr>
          <w:rFonts w:hint="eastAsia"/>
        </w:rPr>
      </w:pPr>
    </w:p>
    <w:sectPr w:rsidR="00AD795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D7123" w14:textId="77777777" w:rsidR="00FD73BD" w:rsidRDefault="00FD73BD" w:rsidP="00096639">
      <w:pPr>
        <w:rPr>
          <w:rFonts w:hint="eastAsia"/>
        </w:rPr>
      </w:pPr>
      <w:r>
        <w:separator/>
      </w:r>
    </w:p>
  </w:endnote>
  <w:endnote w:type="continuationSeparator" w:id="0">
    <w:p w14:paraId="5D8545BF" w14:textId="77777777" w:rsidR="00FD73BD" w:rsidRDefault="00FD73BD" w:rsidP="0009663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9BF54" w14:textId="77777777" w:rsidR="00FD73BD" w:rsidRDefault="00FD73BD" w:rsidP="00096639">
      <w:pPr>
        <w:rPr>
          <w:rFonts w:hint="eastAsia"/>
        </w:rPr>
      </w:pPr>
      <w:r>
        <w:separator/>
      </w:r>
    </w:p>
  </w:footnote>
  <w:footnote w:type="continuationSeparator" w:id="0">
    <w:p w14:paraId="5DF41DCC" w14:textId="77777777" w:rsidR="00FD73BD" w:rsidRDefault="00FD73BD" w:rsidP="00096639">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291"/>
    <w:rsid w:val="000205DB"/>
    <w:rsid w:val="00023D9D"/>
    <w:rsid w:val="000277AA"/>
    <w:rsid w:val="0008207C"/>
    <w:rsid w:val="000826ED"/>
    <w:rsid w:val="00096639"/>
    <w:rsid w:val="000A6B84"/>
    <w:rsid w:val="000B51B1"/>
    <w:rsid w:val="000D18E3"/>
    <w:rsid w:val="000E54C8"/>
    <w:rsid w:val="00114928"/>
    <w:rsid w:val="00163C68"/>
    <w:rsid w:val="001A0F40"/>
    <w:rsid w:val="001A564C"/>
    <w:rsid w:val="001B0601"/>
    <w:rsid w:val="00206DBB"/>
    <w:rsid w:val="00273A66"/>
    <w:rsid w:val="00283E67"/>
    <w:rsid w:val="00285BAA"/>
    <w:rsid w:val="002A225D"/>
    <w:rsid w:val="002D63AD"/>
    <w:rsid w:val="002E145F"/>
    <w:rsid w:val="002F57E5"/>
    <w:rsid w:val="002F6380"/>
    <w:rsid w:val="003026AA"/>
    <w:rsid w:val="00337E4C"/>
    <w:rsid w:val="00385360"/>
    <w:rsid w:val="0039389C"/>
    <w:rsid w:val="003965B7"/>
    <w:rsid w:val="003A12D0"/>
    <w:rsid w:val="003C0594"/>
    <w:rsid w:val="003C5B57"/>
    <w:rsid w:val="00427C81"/>
    <w:rsid w:val="00437A50"/>
    <w:rsid w:val="00475871"/>
    <w:rsid w:val="004A413F"/>
    <w:rsid w:val="004A6C69"/>
    <w:rsid w:val="004B7871"/>
    <w:rsid w:val="004F5320"/>
    <w:rsid w:val="00503292"/>
    <w:rsid w:val="00551F46"/>
    <w:rsid w:val="005804B2"/>
    <w:rsid w:val="005A5D8B"/>
    <w:rsid w:val="005E370A"/>
    <w:rsid w:val="0060350F"/>
    <w:rsid w:val="00631030"/>
    <w:rsid w:val="00636A36"/>
    <w:rsid w:val="00662731"/>
    <w:rsid w:val="00672859"/>
    <w:rsid w:val="006A14FF"/>
    <w:rsid w:val="006B288F"/>
    <w:rsid w:val="006D06B9"/>
    <w:rsid w:val="006E6913"/>
    <w:rsid w:val="00790349"/>
    <w:rsid w:val="007C46D6"/>
    <w:rsid w:val="007D1872"/>
    <w:rsid w:val="007E190C"/>
    <w:rsid w:val="007F71E3"/>
    <w:rsid w:val="00833552"/>
    <w:rsid w:val="00837C48"/>
    <w:rsid w:val="008455A0"/>
    <w:rsid w:val="00847782"/>
    <w:rsid w:val="0086139D"/>
    <w:rsid w:val="00894DB9"/>
    <w:rsid w:val="008A335F"/>
    <w:rsid w:val="008A3A9E"/>
    <w:rsid w:val="008A47A6"/>
    <w:rsid w:val="008D534E"/>
    <w:rsid w:val="0092142B"/>
    <w:rsid w:val="009301C1"/>
    <w:rsid w:val="00973A8F"/>
    <w:rsid w:val="00A0267B"/>
    <w:rsid w:val="00A1361F"/>
    <w:rsid w:val="00A22304"/>
    <w:rsid w:val="00A75991"/>
    <w:rsid w:val="00AA2731"/>
    <w:rsid w:val="00AA607A"/>
    <w:rsid w:val="00AA7825"/>
    <w:rsid w:val="00AB6F51"/>
    <w:rsid w:val="00AD7955"/>
    <w:rsid w:val="00B43575"/>
    <w:rsid w:val="00B63E4D"/>
    <w:rsid w:val="00B7278E"/>
    <w:rsid w:val="00B83C56"/>
    <w:rsid w:val="00B96B3B"/>
    <w:rsid w:val="00BB520A"/>
    <w:rsid w:val="00BD5F3C"/>
    <w:rsid w:val="00BF6497"/>
    <w:rsid w:val="00C02B57"/>
    <w:rsid w:val="00C27573"/>
    <w:rsid w:val="00CA1210"/>
    <w:rsid w:val="00CC552F"/>
    <w:rsid w:val="00CF5EFC"/>
    <w:rsid w:val="00D256A4"/>
    <w:rsid w:val="00D4249A"/>
    <w:rsid w:val="00D4537A"/>
    <w:rsid w:val="00D752AC"/>
    <w:rsid w:val="00D90AB4"/>
    <w:rsid w:val="00DA09F2"/>
    <w:rsid w:val="00DA0FE6"/>
    <w:rsid w:val="00DA2536"/>
    <w:rsid w:val="00DD5C1D"/>
    <w:rsid w:val="00DE3322"/>
    <w:rsid w:val="00E02291"/>
    <w:rsid w:val="00E230AB"/>
    <w:rsid w:val="00E32819"/>
    <w:rsid w:val="00E851E4"/>
    <w:rsid w:val="00E86B1E"/>
    <w:rsid w:val="00E957C0"/>
    <w:rsid w:val="00EA270F"/>
    <w:rsid w:val="00ED31AD"/>
    <w:rsid w:val="00EE7F68"/>
    <w:rsid w:val="00EF56FA"/>
    <w:rsid w:val="00F2650E"/>
    <w:rsid w:val="00F76782"/>
    <w:rsid w:val="00FA366C"/>
    <w:rsid w:val="00FA4825"/>
    <w:rsid w:val="00FB766C"/>
    <w:rsid w:val="00FD73BD"/>
    <w:rsid w:val="387168C2"/>
    <w:rsid w:val="76571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968C5"/>
  <w15:docId w15:val="{FCE300CF-89CC-4E28-B3EA-A44A374BB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等线" w:eastAsia="等线" w:hAnsi="等线" w:cs="等线"/>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tabs>
        <w:tab w:val="center" w:pos="4153"/>
        <w:tab w:val="right" w:pos="8306"/>
      </w:tabs>
      <w:snapToGrid w:val="0"/>
      <w:jc w:val="center"/>
    </w:pPr>
    <w:rPr>
      <w:sz w:val="18"/>
      <w:szCs w:val="18"/>
    </w:rPr>
  </w:style>
  <w:style w:type="paragraph" w:styleId="a7">
    <w:name w:val="Subtitle"/>
    <w:basedOn w:val="a"/>
    <w:next w:val="a"/>
    <w:link w:val="a8"/>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9">
    <w:name w:val="Title"/>
    <w:basedOn w:val="a"/>
    <w:next w:val="a"/>
    <w:link w:val="aa"/>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ab">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Pr>
      <w:rFonts w:cstheme="majorBidi"/>
      <w:color w:val="0F4761" w:themeColor="accent1" w:themeShade="BF"/>
      <w:sz w:val="28"/>
      <w:szCs w:val="28"/>
    </w:rPr>
  </w:style>
  <w:style w:type="character" w:customStyle="1" w:styleId="50">
    <w:name w:val="标题 5 字符"/>
    <w:basedOn w:val="a0"/>
    <w:link w:val="5"/>
    <w:uiPriority w:val="9"/>
    <w:semiHidden/>
    <w:rPr>
      <w:rFonts w:cstheme="majorBidi"/>
      <w:color w:val="0F4761" w:themeColor="accent1" w:themeShade="BF"/>
      <w:sz w:val="24"/>
      <w:szCs w:val="24"/>
    </w:rPr>
  </w:style>
  <w:style w:type="character" w:customStyle="1" w:styleId="60">
    <w:name w:val="标题 6 字符"/>
    <w:basedOn w:val="a0"/>
    <w:link w:val="6"/>
    <w:uiPriority w:val="9"/>
    <w:semiHidden/>
    <w:rPr>
      <w:rFonts w:cstheme="majorBidi"/>
      <w:b/>
      <w:bCs/>
      <w:color w:val="0F4761" w:themeColor="accent1" w:themeShade="BF"/>
    </w:rPr>
  </w:style>
  <w:style w:type="character" w:customStyle="1" w:styleId="70">
    <w:name w:val="标题 7 字符"/>
    <w:basedOn w:val="a0"/>
    <w:link w:val="7"/>
    <w:uiPriority w:val="9"/>
    <w:semiHidden/>
    <w:rPr>
      <w:rFonts w:cstheme="majorBidi"/>
      <w:b/>
      <w:bCs/>
      <w:color w:val="595959" w:themeColor="text1" w:themeTint="A6"/>
    </w:rPr>
  </w:style>
  <w:style w:type="character" w:customStyle="1" w:styleId="80">
    <w:name w:val="标题 8 字符"/>
    <w:basedOn w:val="a0"/>
    <w:link w:val="8"/>
    <w:uiPriority w:val="9"/>
    <w:semiHidden/>
    <w:rPr>
      <w:rFonts w:cstheme="majorBidi"/>
      <w:color w:val="595959" w:themeColor="text1" w:themeTint="A6"/>
    </w:rPr>
  </w:style>
  <w:style w:type="character" w:customStyle="1" w:styleId="90">
    <w:name w:val="标题 9 字符"/>
    <w:basedOn w:val="a0"/>
    <w:link w:val="9"/>
    <w:uiPriority w:val="9"/>
    <w:semiHidden/>
    <w:rPr>
      <w:rFonts w:eastAsiaTheme="majorEastAsia" w:cstheme="majorBidi"/>
      <w:color w:val="595959" w:themeColor="text1" w:themeTint="A6"/>
    </w:rPr>
  </w:style>
  <w:style w:type="character" w:customStyle="1" w:styleId="aa">
    <w:name w:val="标题 字符"/>
    <w:basedOn w:val="a0"/>
    <w:link w:val="a9"/>
    <w:uiPriority w:val="10"/>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rPr>
      <w:rFonts w:asciiTheme="majorHAnsi" w:eastAsiaTheme="majorEastAsia" w:hAnsiTheme="majorHAnsi" w:cstheme="majorBidi"/>
      <w:color w:val="595959" w:themeColor="text1" w:themeTint="A6"/>
      <w:spacing w:val="15"/>
      <w:sz w:val="28"/>
      <w:szCs w:val="28"/>
    </w:rPr>
  </w:style>
  <w:style w:type="paragraph" w:styleId="ac">
    <w:name w:val="Quote"/>
    <w:basedOn w:val="a"/>
    <w:next w:val="a"/>
    <w:link w:val="ad"/>
    <w:uiPriority w:val="29"/>
    <w:qFormat/>
    <w:pPr>
      <w:spacing w:before="160" w:after="160"/>
      <w:jc w:val="center"/>
    </w:pPr>
    <w:rPr>
      <w:i/>
      <w:iCs/>
      <w:color w:val="404040" w:themeColor="text1" w:themeTint="BF"/>
    </w:rPr>
  </w:style>
  <w:style w:type="character" w:customStyle="1" w:styleId="ad">
    <w:name w:val="引用 字符"/>
    <w:basedOn w:val="a0"/>
    <w:link w:val="ac"/>
    <w:uiPriority w:val="29"/>
    <w:rPr>
      <w:i/>
      <w:iCs/>
      <w:color w:val="404040" w:themeColor="text1" w:themeTint="BF"/>
    </w:rPr>
  </w:style>
  <w:style w:type="paragraph" w:styleId="ae">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
    <w:name w:val="Intense Quote"/>
    <w:basedOn w:val="a"/>
    <w:next w:val="a"/>
    <w:link w:val="af0"/>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0">
    <w:name w:val="明显引用 字符"/>
    <w:basedOn w:val="a0"/>
    <w:link w:val="af"/>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paragraph" w:customStyle="1" w:styleId="MDPI51figurecaption">
    <w:name w:val="MDPI_5.1_figure_caption"/>
    <w:qFormat/>
    <w:pPr>
      <w:adjustRightInd w:val="0"/>
      <w:snapToGrid w:val="0"/>
      <w:spacing w:before="120" w:after="240" w:line="280" w:lineRule="atLeast"/>
      <w:ind w:left="2608"/>
      <w:jc w:val="both"/>
    </w:pPr>
    <w:rPr>
      <w:rFonts w:ascii="Palatino Linotype" w:eastAsia="Times New Roman" w:hAnsi="Palatino Linotype" w:cs="Times New Roman"/>
      <w:color w:val="000000"/>
      <w:sz w:val="18"/>
      <w:lang w:eastAsia="de-DE" w:bidi="en-US"/>
    </w:rPr>
  </w:style>
  <w:style w:type="paragraph" w:customStyle="1" w:styleId="MDPI22heading2">
    <w:name w:val="MDPI_2.2_heading2"/>
    <w:qFormat/>
    <w:pPr>
      <w:adjustRightInd w:val="0"/>
      <w:snapToGrid w:val="0"/>
      <w:spacing w:before="60" w:after="60" w:line="280" w:lineRule="atLeast"/>
      <w:ind w:left="2608"/>
      <w:outlineLvl w:val="1"/>
    </w:pPr>
    <w:rPr>
      <w:rFonts w:ascii="Palatino Linotype" w:eastAsia="Times New Roman" w:hAnsi="Palatino Linotype" w:cs="Times New Roman"/>
      <w:i/>
      <w:snapToGrid w:val="0"/>
      <w:color w:val="000000"/>
      <w:szCs w:val="22"/>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36754-91E1-432A-96D1-CCAB52467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7</Pages>
  <Words>2997</Words>
  <Characters>17087</Characters>
  <Application>Microsoft Office Word</Application>
  <DocSecurity>0</DocSecurity>
  <Lines>142</Lines>
  <Paragraphs>40</Paragraphs>
  <ScaleCrop>false</ScaleCrop>
  <Company/>
  <LinksUpToDate>false</LinksUpToDate>
  <CharactersWithSpaces>20044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蕊 蔡</dc:creator>
  <cp:lastModifiedBy>蕊 蔡</cp:lastModifiedBy>
  <cp:revision>91</cp:revision>
  <dcterms:created xsi:type="dcterms:W3CDTF">2025-10-09T02:34:00Z</dcterms:created>
  <dcterms:modified xsi:type="dcterms:W3CDTF">2026-01-24T13:47:00Z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eyJoZGlkIjoiY2Y5MDBjNmZhNGFhMTUwOWEzYTAwZjFiNDcxMGI3YjciLCJ1c2VySWQiOiI3MDAyNDk0ODMifQ==</vt:lpwstr>
  </property>
  <property fmtid="{D5CDD505-2E9C-101B-9397-08002B2CF9AE}" pid="3" name="KSOProductBuildVer">
    <vt:lpwstr>2052-12.1.0.24657</vt:lpwstr>
  </property>
  <property fmtid="{D5CDD505-2E9C-101B-9397-08002B2CF9AE}" pid="4" name="ICV">
    <vt:lpwstr>697ED613978B4AF6A3015C55592F1814_12</vt:lpwstr>
  </property>
</Properties>
</file>