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"/>
        <w:spacing w:lineRule="auto" w:line="480" w:before="0" w:after="0"/>
        <w:jc w:val="both"/>
        <w:rPr/>
      </w:pPr>
      <w:bookmarkStart w:id="0" w:name="_lwxlxv7jcg3g"/>
      <w:bookmarkEnd w:id="0"/>
      <w:r>
        <w:rPr/>
        <w:t>Supplementary Materials</w:t>
      </w:r>
    </w:p>
    <w:p>
      <w:pPr>
        <w:pStyle w:val="normal1"/>
        <w:spacing w:lineRule="auto" w:line="480"/>
        <w:rPr/>
      </w:pPr>
      <w:r>
        <w:rPr/>
      </w:r>
    </w:p>
    <w:p>
      <w:pPr>
        <w:pStyle w:val="normal1"/>
        <w:spacing w:lineRule="auto" w:line="480"/>
        <w:jc w:val="both"/>
        <w:rPr/>
      </w:pPr>
      <w:r>
        <w:rPr/>
        <w:t xml:space="preserve">Table S1: Twelve compounds identified to be strictly-reversing i.e. show only reversal signal (negative connectivity scores) with respect to the ALS signatures. MOA: mechanism of action. </w:t>
      </w:r>
    </w:p>
    <w:p>
      <w:pPr>
        <w:pStyle w:val="normal1"/>
        <w:spacing w:lineRule="auto" w:line="480"/>
        <w:jc w:val="both"/>
        <w:rPr/>
      </w:pPr>
      <w:r>
        <w:rPr/>
      </w:r>
    </w:p>
    <w:tbl>
      <w:tblPr>
        <w:tblStyle w:val="Table2"/>
        <w:tblW w:w="690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2145"/>
        <w:gridCol w:w="4754"/>
      </w:tblGrid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>
            <w:pPr>
              <w:pStyle w:val="normal1"/>
              <w:widowControl w:val="false"/>
              <w:spacing w:lineRule="auto" w:line="48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Compound Name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>
            <w:pPr>
              <w:pStyle w:val="normal1"/>
              <w:widowControl w:val="false"/>
              <w:spacing w:lineRule="auto" w:line="48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Annotated MOA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BMS-777607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c-Met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Dasatinib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Abl kinase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Entinostat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HDAC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Everolimus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MTOR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GSK-1070916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Aurora kinase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Mocetinostat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HDAC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U-18666A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Oxidosqualene cyclase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VE-821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ATR kinase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Vorinostat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HDAC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WZ-7043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CSF1R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ZM-447439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Aurora kinase inhibitor</w:t>
            </w:r>
          </w:p>
        </w:tc>
      </w:tr>
      <w:tr>
        <w:trPr>
          <w:trHeight w:val="387" w:hRule="atLeast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Zosuquidar</w:t>
            </w:r>
          </w:p>
        </w:tc>
        <w:tc>
          <w:tcPr>
            <w:tcW w:w="4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1"/>
              <w:widowControl w:val="false"/>
              <w:spacing w:lineRule="auto" w:line="480"/>
              <w:jc w:val="center"/>
              <w:rPr/>
            </w:pPr>
            <w:r>
              <w:rPr/>
              <w:t>P-glycoprotein inhibitor</w:t>
            </w:r>
          </w:p>
        </w:tc>
      </w:tr>
    </w:tbl>
    <w:p>
      <w:pPr>
        <w:pStyle w:val="normal1"/>
        <w:spacing w:lineRule="auto" w:line="480"/>
        <w:rPr>
          <w:rFonts w:ascii="Roboto Light" w:hAnsi="Roboto Light" w:eastAsia="Roboto Light" w:cs="Roboto Light"/>
        </w:rPr>
      </w:pPr>
      <w:r>
        <w:rPr/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Roboto Light">
    <w:charset w:val="01"/>
    <w:family w:val="roman"/>
    <w:pitch w:val="variable"/>
    <w:embedRegular r:id="rId9" w:fontKey="{09014A78-CABC-4EF0-12AC-5CD89AEFDE09}"/>
    <w:embedItalic r:id="rId10" w:fontKey="{0A014A78-CABC-4EF0-12AC-5CD89AEFDE0A}"/>
  </w:font>
</w:fonts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360" w:before="400" w:after="120"/>
      <w:ind w:firstLine="720"/>
      <w:jc w:val="both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</w:pPr>
    <w:rPr>
      <w:b/>
      <w:bCs/>
      <w:u w:val="single"/>
    </w:rPr>
  </w:style>
  <w:style w:type="paragraph" w:styleId="Heading3">
    <w:name w:val="Heading 3"/>
    <w:basedOn w:val="normal1"/>
    <w:next w:val="normal1"/>
    <w:qFormat/>
    <w:pPr>
      <w:keepNext w:val="true"/>
      <w:keepLines/>
    </w:pPr>
    <w:rPr>
      <w:u w:val="single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iCs/>
      <w:color w:val="66666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1</Pages>
  <Words>73</Words>
  <Characters>529</Characters>
  <CharactersWithSpaces>575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en-SG</dc:language>
  <cp:lastModifiedBy/>
  <dcterms:modified xsi:type="dcterms:W3CDTF">2026-02-06T13:50:04Z</dcterms:modified>
  <cp:revision>1</cp:revision>
  <dc:subject/>
  <dc:title/>
</cp:coreProperties>
</file>