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332C" w14:textId="77777777" w:rsidR="002375A5" w:rsidRDefault="002375A5" w:rsidP="002375A5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>L</w:t>
      </w:r>
      <w:r>
        <w:rPr>
          <w:rFonts w:ascii="Times New Roman" w:hAnsi="Times New Roman" w:cs="Times New Roman"/>
          <w:b/>
          <w:bCs/>
          <w:sz w:val="24"/>
        </w:rPr>
        <w:t>inear regression epidemic period</w:t>
      </w:r>
      <w:r>
        <w:rPr>
          <w:rFonts w:ascii="Times New Roman" w:hAnsi="Times New Roman" w:cs="Times New Roman" w:hint="eastAsia"/>
          <w:b/>
          <w:bCs/>
          <w:sz w:val="24"/>
        </w:rPr>
        <w:t>s</w:t>
      </w:r>
      <w:r>
        <w:rPr>
          <w:rFonts w:ascii="Times New Roman" w:hAnsi="Times New Roman" w:cs="Times New Roman"/>
          <w:b/>
          <w:bCs/>
          <w:sz w:val="24"/>
        </w:rPr>
        <w:t xml:space="preserve"> between </w:t>
      </w:r>
      <w:r>
        <w:rPr>
          <w:rFonts w:ascii="Times New Roman" w:hAnsi="Times New Roman" w:cs="Times New Roman" w:hint="eastAsia"/>
          <w:b/>
          <w:bCs/>
          <w:sz w:val="24"/>
        </w:rPr>
        <w:t>SARS-CoV-2</w:t>
      </w:r>
      <w:r>
        <w:rPr>
          <w:rFonts w:ascii="Times New Roman" w:hAnsi="Times New Roman" w:cs="Times New Roman"/>
          <w:b/>
          <w:bCs/>
          <w:sz w:val="24"/>
        </w:rPr>
        <w:t xml:space="preserve"> serotype</w:t>
      </w:r>
      <w:r>
        <w:rPr>
          <w:rFonts w:ascii="Times New Roman" w:hAnsi="Times New Roman" w:cs="Times New Roman" w:hint="eastAsia"/>
          <w:b/>
          <w:bCs/>
          <w:sz w:val="24"/>
        </w:rPr>
        <w:t>s.</w:t>
      </w: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771"/>
        <w:gridCol w:w="1798"/>
        <w:gridCol w:w="1665"/>
        <w:gridCol w:w="1686"/>
      </w:tblGrid>
      <w:tr w:rsidR="002375A5" w14:paraId="5ED7948F" w14:textId="77777777" w:rsidTr="00EA04B3">
        <w:trPr>
          <w:trHeight w:val="420"/>
        </w:trPr>
        <w:tc>
          <w:tcPr>
            <w:tcW w:w="811" w:type="pct"/>
            <w:tcBorders>
              <w:top w:val="single" w:sz="12" w:space="0" w:color="000008"/>
              <w:left w:val="nil"/>
              <w:bottom w:val="single" w:sz="6" w:space="0" w:color="000008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1BE4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2" w:type="pct"/>
            <w:tcBorders>
              <w:top w:val="single" w:sz="12" w:space="0" w:color="000008"/>
              <w:left w:val="nil"/>
              <w:bottom w:val="single" w:sz="6" w:space="0" w:color="000008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CBCD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TP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dura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  <w:proofErr w:type="spellEnd"/>
          </w:p>
        </w:tc>
        <w:tc>
          <w:tcPr>
            <w:tcW w:w="1088" w:type="pct"/>
            <w:tcBorders>
              <w:top w:val="single" w:sz="12" w:space="0" w:color="000008"/>
              <w:left w:val="nil"/>
              <w:bottom w:val="single" w:sz="6" w:space="0" w:color="000008"/>
              <w:right w:val="nil"/>
            </w:tcBorders>
          </w:tcPr>
          <w:p w14:paraId="5458465F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TP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peak</w:t>
            </w:r>
            <w:proofErr w:type="spellEnd"/>
          </w:p>
        </w:tc>
        <w:tc>
          <w:tcPr>
            <w:tcW w:w="1008" w:type="pct"/>
            <w:tcBorders>
              <w:top w:val="single" w:sz="12" w:space="0" w:color="000008"/>
              <w:left w:val="nil"/>
              <w:bottom w:val="single" w:sz="6" w:space="0" w:color="000008"/>
              <w:right w:val="nil"/>
            </w:tcBorders>
          </w:tcPr>
          <w:p w14:paraId="59908E9D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TP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alter</w:t>
            </w:r>
            <w:proofErr w:type="spellEnd"/>
          </w:p>
        </w:tc>
        <w:tc>
          <w:tcPr>
            <w:tcW w:w="1021" w:type="pct"/>
            <w:tcBorders>
              <w:top w:val="single" w:sz="12" w:space="0" w:color="000008"/>
              <w:left w:val="nil"/>
              <w:bottom w:val="single" w:sz="6" w:space="0" w:color="000008"/>
              <w:right w:val="nil"/>
            </w:tcBorders>
          </w:tcPr>
          <w:p w14:paraId="19BC10A7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Hlk182391764"/>
            <w:proofErr w:type="spellStart"/>
            <w:r>
              <w:rPr>
                <w:rFonts w:ascii="Times New Roman" w:hAnsi="Times New Roman" w:cs="Times New Roman"/>
                <w:sz w:val="24"/>
              </w:rPr>
              <w:t>TP</w:t>
            </w:r>
            <w:bookmarkEnd w:id="0"/>
            <w:r>
              <w:rPr>
                <w:rFonts w:ascii="Times New Roman" w:hAnsi="Times New Roman" w:cs="Times New Roman"/>
                <w:sz w:val="24"/>
                <w:vertAlign w:val="subscript"/>
              </w:rPr>
              <w:t>inter</w:t>
            </w:r>
            <w:proofErr w:type="spellEnd"/>
          </w:p>
        </w:tc>
      </w:tr>
      <w:tr w:rsidR="002375A5" w14:paraId="2DD1ECAE" w14:textId="77777777" w:rsidTr="00EA04B3">
        <w:trPr>
          <w:trHeight w:val="400"/>
        </w:trPr>
        <w:tc>
          <w:tcPr>
            <w:tcW w:w="811" w:type="pct"/>
            <w:tcBorders>
              <w:top w:val="single" w:sz="6" w:space="0" w:color="000008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0D24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Coefficient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  <w:proofErr w:type="spellEnd"/>
          </w:p>
        </w:tc>
        <w:tc>
          <w:tcPr>
            <w:tcW w:w="1072" w:type="pct"/>
            <w:tcBorders>
              <w:top w:val="single" w:sz="6" w:space="0" w:color="000008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D3BB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157***</w:t>
            </w:r>
          </w:p>
          <w:p w14:paraId="773E6281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1.760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088" w:type="pct"/>
            <w:tcBorders>
              <w:top w:val="single" w:sz="6" w:space="0" w:color="000008"/>
              <w:left w:val="nil"/>
              <w:bottom w:val="nil"/>
              <w:right w:val="nil"/>
            </w:tcBorders>
          </w:tcPr>
          <w:p w14:paraId="2F55EA32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152***</w:t>
            </w:r>
          </w:p>
          <w:p w14:paraId="0E065968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0.426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008" w:type="pct"/>
            <w:tcBorders>
              <w:top w:val="single" w:sz="6" w:space="0" w:color="000008"/>
              <w:left w:val="nil"/>
              <w:bottom w:val="nil"/>
              <w:right w:val="nil"/>
            </w:tcBorders>
          </w:tcPr>
          <w:p w14:paraId="24A0AB12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716***</w:t>
            </w:r>
          </w:p>
          <w:p w14:paraId="42CFA589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0.388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021" w:type="pct"/>
            <w:tcBorders>
              <w:top w:val="single" w:sz="6" w:space="0" w:color="000008"/>
              <w:left w:val="nil"/>
              <w:bottom w:val="nil"/>
              <w:right w:val="nil"/>
            </w:tcBorders>
          </w:tcPr>
          <w:p w14:paraId="330E4400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984***</w:t>
            </w:r>
          </w:p>
          <w:p w14:paraId="45537590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0.387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tr w:rsidR="002375A5" w14:paraId="4049EDA1" w14:textId="77777777" w:rsidTr="00EA04B3">
        <w:trPr>
          <w:trHeight w:val="400"/>
        </w:trPr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A11B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Constant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771A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378</w:t>
            </w:r>
          </w:p>
          <w:p w14:paraId="426C08AC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5.094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</w:tcPr>
          <w:p w14:paraId="45957B5C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-13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696***</w:t>
            </w:r>
          </w:p>
          <w:p w14:paraId="12AA6033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1.436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</w:tcPr>
          <w:p w14:paraId="2D394DF5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-21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724***</w:t>
            </w:r>
          </w:p>
          <w:p w14:paraId="0A708A25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1.348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</w:tcPr>
          <w:p w14:paraId="1A7074A0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-26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018***</w:t>
            </w:r>
          </w:p>
          <w:p w14:paraId="6736E707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1.320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tr w:rsidR="002375A5" w14:paraId="1539B574" w14:textId="77777777" w:rsidTr="00EA04B3">
        <w:trPr>
          <w:trHeight w:val="313"/>
        </w:trPr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1D84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3D99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513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</w:tcPr>
          <w:p w14:paraId="4A5AFF1B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773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</w:tcPr>
          <w:p w14:paraId="1FF99790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915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</w:tcPr>
          <w:p w14:paraId="4538203E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883</w:t>
            </w:r>
          </w:p>
        </w:tc>
      </w:tr>
      <w:tr w:rsidR="002375A5" w14:paraId="213266AB" w14:textId="77777777" w:rsidTr="00EA04B3">
        <w:trPr>
          <w:trHeight w:val="333"/>
        </w:trPr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EF31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Adjusted R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12A7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508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</w:tcPr>
          <w:p w14:paraId="060B6112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772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</w:tcPr>
          <w:p w14:paraId="7D979F31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915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</w:tcPr>
          <w:p w14:paraId="3CC308B9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883</w:t>
            </w:r>
          </w:p>
        </w:tc>
      </w:tr>
      <w:tr w:rsidR="002375A5" w14:paraId="6501E54A" w14:textId="77777777" w:rsidTr="00EA04B3">
        <w:trPr>
          <w:trHeight w:val="800"/>
        </w:trPr>
        <w:tc>
          <w:tcPr>
            <w:tcW w:w="811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7036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 Statistic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830A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442***</w:t>
            </w:r>
          </w:p>
          <w:p w14:paraId="6619CBAE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=1; 101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A7C322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569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156***</w:t>
            </w:r>
          </w:p>
          <w:p w14:paraId="6CF5988F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=1; 167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EAA268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1856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198***</w:t>
            </w:r>
          </w:p>
          <w:p w14:paraId="58653E61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=1; 172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16FDD5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1308</w:t>
            </w:r>
            <w:r>
              <w:rPr>
                <w:rFonts w:ascii="Times New Roman" w:hAnsi="Times New Roman" w:cs="Times New Roman" w:hint="eastAsia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476***</w:t>
            </w:r>
          </w:p>
          <w:p w14:paraId="7014B21D" w14:textId="77777777" w:rsidR="002375A5" w:rsidRDefault="002375A5" w:rsidP="00EA04B3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=1; 173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</w:tbl>
    <w:p w14:paraId="14C6314F" w14:textId="77777777" w:rsidR="002375A5" w:rsidRDefault="002375A5" w:rsidP="002375A5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The</w:t>
      </w:r>
      <w:proofErr w:type="gramEnd"/>
      <w:r>
        <w:rPr>
          <w:rFonts w:ascii="Times New Roman" w:hAnsi="Times New Roman" w:cs="Times New Roman"/>
          <w:sz w:val="24"/>
        </w:rPr>
        <w:t xml:space="preserve"> duration of the time period of epidemic (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dura</w:t>
      </w:r>
      <w:proofErr w:type="spellEnd"/>
      <w:r>
        <w:rPr>
          <w:rFonts w:ascii="Times New Roman" w:hAnsi="Times New Roman" w:cs="Times New Roman"/>
          <w:sz w:val="24"/>
        </w:rPr>
        <w:t>), the peak time period of epidemic (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peak</w:t>
      </w:r>
      <w:proofErr w:type="spellEnd"/>
      <w:r>
        <w:rPr>
          <w:rFonts w:ascii="Times New Roman" w:hAnsi="Times New Roman" w:cs="Times New Roman"/>
          <w:sz w:val="24"/>
        </w:rPr>
        <w:t>), the alternation time period of epidemic (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alter</w:t>
      </w:r>
      <w:proofErr w:type="spellEnd"/>
      <w:r>
        <w:rPr>
          <w:rFonts w:ascii="Times New Roman" w:hAnsi="Times New Roman" w:cs="Times New Roman"/>
          <w:sz w:val="24"/>
        </w:rPr>
        <w:t>) and the interval between the epidemic onsets (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inter</w:t>
      </w:r>
      <w:proofErr w:type="spellEnd"/>
      <w:r>
        <w:rPr>
          <w:rFonts w:ascii="Times New Roman" w:hAnsi="Times New Roman" w:cs="Times New Roman"/>
          <w:sz w:val="24"/>
        </w:rPr>
        <w:t xml:space="preserve">). Considering the unique epidemic period for Serotype I, stringent control measures were implemented globally during the initial stages of outbreak before vaccination commenced. Therefore, Serotype I was not included in the comparison of the same epidemic period. Meanwhile, for 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dura</w:t>
      </w:r>
      <w:proofErr w:type="spellEnd"/>
      <w:r>
        <w:rPr>
          <w:rFonts w:ascii="Times New Roman" w:hAnsi="Times New Roman" w:cs="Times New Roman"/>
          <w:sz w:val="24"/>
        </w:rPr>
        <w:t xml:space="preserve">, as there is no available termination point for Serotypes V and Ⅵ, we consider the duration of Serotypes II-Ⅳ as a benchmark; For 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peak</w:t>
      </w:r>
      <w:proofErr w:type="spellEnd"/>
      <w:r>
        <w:rPr>
          <w:rFonts w:ascii="Times New Roman" w:hAnsi="Times New Roman" w:cs="Times New Roman"/>
          <w:sz w:val="24"/>
        </w:rPr>
        <w:t xml:space="preserve">, to exclude the influence of single-country values for Serotype Ⅵ during its peak time, we select the peak times for Serotypes Ⅱ-V. For 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alter</w:t>
      </w:r>
      <w:proofErr w:type="spellEnd"/>
      <w:r>
        <w:rPr>
          <w:rFonts w:ascii="Times New Roman" w:hAnsi="Times New Roman" w:cs="Times New Roman"/>
          <w:sz w:val="24"/>
        </w:rPr>
        <w:t xml:space="preserve">, since Serotype Ⅶ has not yet emerged, the prevailing alternation period of Serotypes Ⅱ-V was chosen. For 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inter</w:t>
      </w:r>
      <w:proofErr w:type="spellEnd"/>
      <w:r>
        <w:rPr>
          <w:rFonts w:ascii="Times New Roman" w:hAnsi="Times New Roman" w:cs="Times New Roman"/>
          <w:sz w:val="24"/>
        </w:rPr>
        <w:t xml:space="preserve">, it can be used to predict the emerging time of a potential new serotype for SARS-CoV-2, which can be used to calculate such as 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inter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I</w:t>
      </w:r>
      <w:r>
        <w:rPr>
          <w:rFonts w:ascii="Times New Roman" w:hAnsi="Times New Roman" w:cs="Times New Roman"/>
          <w:sz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onset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Ⅱ </w:t>
      </w: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  <w:vertAlign w:val="subscript"/>
        </w:rPr>
        <w:t>onset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I</w:t>
      </w:r>
      <w:r>
        <w:rPr>
          <w:rFonts w:ascii="Times New Roman" w:hAnsi="Times New Roman" w:cs="Times New Roman"/>
          <w:sz w:val="24"/>
        </w:rPr>
        <w:t xml:space="preserve">. To eliminate the influence of Serotype I, we selected data from serotypes Ⅱ-Ⅵ to calculate 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inter</w:t>
      </w:r>
      <w:proofErr w:type="spellEnd"/>
      <w:r>
        <w:rPr>
          <w:rFonts w:ascii="Times New Roman" w:hAnsi="Times New Roman" w:cs="Times New Roman" w:hint="eastAsia"/>
          <w:sz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Ⅱ</w:t>
      </w: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inter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Ⅵ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25E6CFB" w14:textId="77777777" w:rsidR="002375A5" w:rsidRDefault="002375A5" w:rsidP="002375A5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b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dura</w:t>
      </w:r>
      <w:proofErr w:type="spellEnd"/>
      <w:r>
        <w:rPr>
          <w:rFonts w:ascii="Times New Roman" w:hAnsi="Times New Roman" w:cs="Times New Roman"/>
          <w:sz w:val="24"/>
        </w:rPr>
        <w:t xml:space="preserve"> =18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>157X+4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378, 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peak</w:t>
      </w:r>
      <w:proofErr w:type="spellEnd"/>
      <w:r>
        <w:rPr>
          <w:rFonts w:ascii="Times New Roman" w:hAnsi="Times New Roman" w:cs="Times New Roman"/>
          <w:sz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</w:rPr>
        <w:t>=10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>152X-13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696, 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alter</w:t>
      </w:r>
      <w:proofErr w:type="spellEnd"/>
      <w:r>
        <w:rPr>
          <w:rFonts w:ascii="Times New Roman" w:hAnsi="Times New Roman" w:cs="Times New Roman"/>
          <w:sz w:val="24"/>
        </w:rPr>
        <w:t xml:space="preserve"> =16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>716X-21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724, the X indicates the serotype of SARS-CoV-2. </w:t>
      </w:r>
      <w:proofErr w:type="spellStart"/>
      <w:r>
        <w:rPr>
          <w:rFonts w:ascii="Times New Roman" w:hAnsi="Times New Roman" w:cs="Times New Roman"/>
          <w:sz w:val="24"/>
        </w:rPr>
        <w:t>TP</w:t>
      </w:r>
      <w:r>
        <w:rPr>
          <w:rFonts w:ascii="Times New Roman" w:hAnsi="Times New Roman" w:cs="Times New Roman"/>
          <w:sz w:val="24"/>
          <w:vertAlign w:val="subscript"/>
        </w:rPr>
        <w:t>inter</w:t>
      </w:r>
      <w:proofErr w:type="spellEnd"/>
      <w:r>
        <w:rPr>
          <w:rFonts w:ascii="Times New Roman" w:hAnsi="Times New Roman" w:cs="Times New Roman"/>
          <w:sz w:val="24"/>
        </w:rPr>
        <w:t xml:space="preserve"> = 13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>984X-26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>018, the X represents the serotypes of the time difference between X and X+1. (Ex. When X=6, it means the time difference between serotypes Ⅵ and Ⅶ).</w:t>
      </w:r>
    </w:p>
    <w:p w14:paraId="4B87A563" w14:textId="77777777" w:rsidR="002375A5" w:rsidRDefault="002375A5" w:rsidP="002375A5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Note</w:t>
      </w:r>
      <w:r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/>
          <w:sz w:val="24"/>
        </w:rPr>
        <w:tab/>
        <w:t>*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>＜</w:t>
      </w:r>
      <w:r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>**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>＜</w:t>
      </w:r>
      <w:r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>05</w:t>
      </w:r>
      <w:r>
        <w:rPr>
          <w:rFonts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>***</w:t>
      </w:r>
      <w:r>
        <w:rPr>
          <w:rFonts w:ascii="Times New Roman" w:hAnsi="Times New Roman" w:cs="Times New Roman"/>
          <w:i/>
          <w:iCs/>
          <w:sz w:val="24"/>
        </w:rPr>
        <w:t>P</w:t>
      </w:r>
      <w:r>
        <w:rPr>
          <w:rFonts w:ascii="Times New Roman" w:hAnsi="Times New Roman" w:cs="Times New Roman"/>
          <w:sz w:val="24"/>
        </w:rPr>
        <w:t>＜</w:t>
      </w:r>
      <w:r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>01</w:t>
      </w:r>
      <w:r>
        <w:rPr>
          <w:rFonts w:ascii="Times New Roman" w:hAnsi="Times New Roman" w:cs="Times New Roman" w:hint="eastAsia"/>
          <w:sz w:val="24"/>
        </w:rPr>
        <w:t>.</w:t>
      </w:r>
    </w:p>
    <w:p w14:paraId="3D12E08A" w14:textId="6844C0B8" w:rsidR="005D2862" w:rsidRPr="002375A5" w:rsidRDefault="005D2862" w:rsidP="002375A5">
      <w:pPr>
        <w:rPr>
          <w:rFonts w:hint="eastAsia"/>
        </w:rPr>
      </w:pPr>
    </w:p>
    <w:sectPr w:rsidR="005D2862" w:rsidRPr="0023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1303" w14:textId="77777777" w:rsidR="00D639C5" w:rsidRDefault="00D639C5" w:rsidP="002375A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AC28A0C" w14:textId="77777777" w:rsidR="00D639C5" w:rsidRDefault="00D639C5" w:rsidP="002375A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F194" w14:textId="77777777" w:rsidR="00D639C5" w:rsidRDefault="00D639C5" w:rsidP="002375A5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9A701CF" w14:textId="77777777" w:rsidR="00D639C5" w:rsidRDefault="00D639C5" w:rsidP="002375A5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CB"/>
    <w:rsid w:val="0010303B"/>
    <w:rsid w:val="001B5CF7"/>
    <w:rsid w:val="001D7765"/>
    <w:rsid w:val="002375A5"/>
    <w:rsid w:val="002D3F4E"/>
    <w:rsid w:val="003C74CB"/>
    <w:rsid w:val="005D2862"/>
    <w:rsid w:val="00864DBB"/>
    <w:rsid w:val="00897EA9"/>
    <w:rsid w:val="009134ED"/>
    <w:rsid w:val="009E75B6"/>
    <w:rsid w:val="00AD31B9"/>
    <w:rsid w:val="00CD3EB4"/>
    <w:rsid w:val="00CF0014"/>
    <w:rsid w:val="00D639C5"/>
    <w:rsid w:val="00D7206C"/>
    <w:rsid w:val="00E129CC"/>
    <w:rsid w:val="00EB5AED"/>
    <w:rsid w:val="00F13698"/>
    <w:rsid w:val="2E9C3012"/>
    <w:rsid w:val="3B262E55"/>
    <w:rsid w:val="48C3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908F0BA-1EAE-4E7A-B8B3-98B4CA6F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5A5"/>
    <w:pPr>
      <w:widowControl w:val="0"/>
      <w:spacing w:line="560" w:lineRule="exact"/>
      <w:ind w:firstLine="48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40" w:lineRule="auto"/>
      <w:ind w:firstLine="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40" w:lineRule="auto"/>
      <w:ind w:firstLine="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40" w:lineRule="auto"/>
      <w:ind w:firstLine="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40" w:lineRule="auto"/>
      <w:ind w:firstLine="0"/>
      <w:jc w:val="both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40" w:lineRule="auto"/>
      <w:ind w:firstLine="0"/>
      <w:jc w:val="both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40" w:lineRule="auto"/>
      <w:ind w:firstLine="0"/>
      <w:jc w:val="both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40" w:lineRule="auto"/>
      <w:ind w:firstLine="0"/>
      <w:jc w:val="both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40" w:lineRule="auto"/>
      <w:ind w:firstLine="0"/>
      <w:jc w:val="both"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40" w:lineRule="auto"/>
      <w:ind w:firstLine="0"/>
      <w:jc w:val="both"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="0"/>
    </w:pPr>
    <w:rPr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sz w:val="18"/>
      <w:szCs w:val="18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spacing w:after="160" w:line="240" w:lineRule="auto"/>
      <w:ind w:firstLine="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 w:line="240" w:lineRule="auto"/>
      <w:ind w:firstLine="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spacing w:line="240" w:lineRule="auto"/>
      <w:ind w:left="720" w:firstLine="0"/>
      <w:contextualSpacing/>
      <w:jc w:val="both"/>
    </w:pPr>
    <w:rPr>
      <w:szCs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318</Words>
  <Characters>1607</Characters>
  <Application>Microsoft Office Word</Application>
  <DocSecurity>0</DocSecurity>
  <Lines>61</Lines>
  <Paragraphs>52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 孙</dc:creator>
  <cp:lastModifiedBy>馨 孙</cp:lastModifiedBy>
  <cp:revision>4</cp:revision>
  <dcterms:created xsi:type="dcterms:W3CDTF">2025-02-07T16:14:00Z</dcterms:created>
  <dcterms:modified xsi:type="dcterms:W3CDTF">2026-01-07T03:28:00Z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eyJoZGlkIjoiNzcwMmExZDlmZTA3ODU0YTA2MDI3YTY5OWFkYzdiMWIiLCJ1c2VySWQiOiI0Mjg3OTE5MDcifQ==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395E9396589A41EAAABDE25737B4EB6A_12</vt:lpwstr>
  </property>
</Properties>
</file>