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3BCF3" w14:textId="77777777" w:rsidR="006519F9" w:rsidRPr="00113C26" w:rsidRDefault="006519F9" w:rsidP="006519F9">
      <w:pPr>
        <w:spacing w:line="480" w:lineRule="auto"/>
        <w:rPr>
          <w:rFonts w:ascii="Helvetica" w:hAnsi="Helvetica"/>
          <w:sz w:val="20"/>
          <w:szCs w:val="20"/>
        </w:rPr>
      </w:pPr>
      <w:r w:rsidRPr="00113C26">
        <w:rPr>
          <w:rFonts w:ascii="Helvetica" w:hAnsi="Helvetica"/>
          <w:b/>
          <w:bCs/>
          <w:color w:val="000000"/>
          <w:sz w:val="20"/>
          <w:szCs w:val="20"/>
        </w:rPr>
        <w:t>Supplementary Figure Legends</w:t>
      </w:r>
    </w:p>
    <w:p w14:paraId="13149643" w14:textId="77777777" w:rsidR="006519F9" w:rsidRPr="000467D2" w:rsidRDefault="006519F9" w:rsidP="006519F9">
      <w:pPr>
        <w:spacing w:line="480" w:lineRule="auto"/>
        <w:rPr>
          <w:rFonts w:ascii="Helvetica" w:hAnsi="Helvetica" w:cs="Helvetica"/>
          <w:b/>
          <w:bCs/>
          <w:color w:val="000000"/>
          <w:sz w:val="20"/>
          <w:szCs w:val="20"/>
        </w:rPr>
      </w:pPr>
      <w:r w:rsidRPr="00113C26">
        <w:rPr>
          <w:rFonts w:ascii="Helvetica" w:hAnsi="Helvetica"/>
          <w:b/>
          <w:bCs/>
          <w:color w:val="000000"/>
          <w:sz w:val="20"/>
          <w:szCs w:val="20"/>
        </w:rPr>
        <w:t>Fig. S1 |</w:t>
      </w:r>
      <w:r w:rsidRPr="00113C26">
        <w:rPr>
          <w:rFonts w:ascii="Helvetica" w:hAnsi="Helvetica"/>
          <w:color w:val="000000"/>
          <w:sz w:val="20"/>
          <w:szCs w:val="20"/>
        </w:rPr>
        <w:t> Heatmap of log₂ fold changes in eight functional gene modules related to molecular efflux and epithelial homeostasis in ChP tissue from Ptpn20KO versus WT mice.</w:t>
      </w:r>
      <w:r w:rsidRPr="00F46A9D">
        <w:rPr>
          <w:rFonts w:ascii="-webkit-standard" w:hAnsi="-webkit-standard"/>
          <w:color w:val="000000"/>
          <w:sz w:val="27"/>
          <w:szCs w:val="27"/>
        </w:rPr>
        <w:t xml:space="preserve"> </w:t>
      </w:r>
      <w:r w:rsidRPr="00F46A9D">
        <w:rPr>
          <w:rFonts w:ascii="Helvetica" w:hAnsi="Helvetica"/>
          <w:color w:val="000000"/>
          <w:sz w:val="20"/>
          <w:szCs w:val="20"/>
        </w:rPr>
        <w:t>No statistical testing was applied.</w:t>
      </w:r>
      <w:r w:rsidRPr="00113C26">
        <w:rPr>
          <w:rFonts w:ascii="Helvetica" w:hAnsi="Helvetica"/>
          <w:color w:val="000000"/>
          <w:sz w:val="20"/>
          <w:szCs w:val="20"/>
        </w:rPr>
        <w:br/>
      </w:r>
      <w:r w:rsidRPr="00113C26">
        <w:rPr>
          <w:rFonts w:ascii="Helvetica" w:hAnsi="Helvetica"/>
          <w:b/>
          <w:bCs/>
          <w:color w:val="000000"/>
          <w:sz w:val="20"/>
          <w:szCs w:val="20"/>
        </w:rPr>
        <w:t>Fig. S2 |</w:t>
      </w:r>
      <w:r w:rsidRPr="00113C26">
        <w:rPr>
          <w:rFonts w:ascii="Helvetica" w:hAnsi="Helvetica"/>
          <w:color w:val="000000"/>
          <w:sz w:val="20"/>
          <w:szCs w:val="20"/>
        </w:rPr>
        <w:t> Genotyping strategy and PCR confirmation of APPKI × Ptpn20KO double-mutant mice.</w:t>
      </w:r>
      <w:r w:rsidRPr="00F46A9D">
        <w:rPr>
          <w:rFonts w:ascii="-webkit-standard" w:hAnsi="-webkit-standard"/>
          <w:color w:val="000000"/>
          <w:sz w:val="27"/>
          <w:szCs w:val="27"/>
        </w:rPr>
        <w:t xml:space="preserve"> </w:t>
      </w:r>
      <w:r w:rsidRPr="00F46A9D">
        <w:rPr>
          <w:rFonts w:ascii="Helvetica" w:hAnsi="Helvetica"/>
          <w:color w:val="000000"/>
          <w:sz w:val="20"/>
          <w:szCs w:val="20"/>
        </w:rPr>
        <w:t>Representative images are shown.</w:t>
      </w:r>
      <w:r w:rsidRPr="00113C26">
        <w:rPr>
          <w:rFonts w:ascii="Helvetica" w:hAnsi="Helvetica"/>
          <w:color w:val="000000"/>
          <w:sz w:val="20"/>
          <w:szCs w:val="20"/>
        </w:rPr>
        <w:br/>
      </w:r>
      <w:r w:rsidRPr="00113C26">
        <w:rPr>
          <w:rFonts w:ascii="Helvetica" w:hAnsi="Helvetica"/>
          <w:b/>
          <w:bCs/>
          <w:color w:val="000000"/>
          <w:sz w:val="20"/>
          <w:szCs w:val="20"/>
        </w:rPr>
        <w:t>Fig. S3 |</w:t>
      </w:r>
      <w:r w:rsidRPr="00113C26">
        <w:rPr>
          <w:rFonts w:ascii="Helvetica" w:hAnsi="Helvetica"/>
          <w:color w:val="000000"/>
          <w:sz w:val="20"/>
          <w:szCs w:val="20"/>
        </w:rPr>
        <w:t> </w:t>
      </w:r>
      <w:r w:rsidRPr="0024050B">
        <w:rPr>
          <w:rFonts w:ascii="Helvetica" w:hAnsi="Helvetica"/>
          <w:color w:val="000000"/>
          <w:sz w:val="20"/>
          <w:szCs w:val="20"/>
        </w:rPr>
        <w:t>Schematic model summarizing the proposed regulatory relationship between Ptpn20 and the RhoA–ROCK–mDia signaling axis.</w:t>
      </w:r>
      <w:r w:rsidRPr="00113C26">
        <w:rPr>
          <w:rFonts w:ascii="Helvetica" w:hAnsi="Helvetica"/>
          <w:color w:val="000000"/>
          <w:sz w:val="20"/>
          <w:szCs w:val="20"/>
        </w:rPr>
        <w:br/>
      </w:r>
      <w:r w:rsidRPr="00113C26">
        <w:rPr>
          <w:rFonts w:ascii="Helvetica" w:hAnsi="Helvetica"/>
          <w:b/>
          <w:bCs/>
          <w:color w:val="000000"/>
          <w:sz w:val="20"/>
          <w:szCs w:val="20"/>
        </w:rPr>
        <w:t>Fig. S4 |</w:t>
      </w:r>
      <w:r w:rsidRPr="00113C26">
        <w:rPr>
          <w:rFonts w:ascii="Helvetica" w:hAnsi="Helvetica"/>
          <w:color w:val="000000"/>
          <w:sz w:val="20"/>
          <w:szCs w:val="20"/>
        </w:rPr>
        <w:t> </w:t>
      </w:r>
      <w:r w:rsidRPr="0024050B">
        <w:rPr>
          <w:rFonts w:ascii="Helvetica" w:hAnsi="Helvetica"/>
          <w:color w:val="000000"/>
          <w:sz w:val="20"/>
          <w:szCs w:val="20"/>
        </w:rPr>
        <w:t xml:space="preserve">Gross anatomical views of the choroid plexus in WT and Ptpn20KO mice. </w:t>
      </w:r>
      <w:r w:rsidRPr="001A2DC0">
        <w:rPr>
          <w:rFonts w:ascii="Helvetica" w:hAnsi="Helvetica" w:cs="Helvetica"/>
          <w:sz w:val="20"/>
          <w:szCs w:val="20"/>
        </w:rPr>
        <w:t>Choroid plexus from LV and 4th ventricles was used for ELISA; LV only for real-time PCR and microarray.</w:t>
      </w:r>
      <w:r w:rsidRPr="001A2DC0">
        <w:rPr>
          <w:rFonts w:ascii="Helvetica" w:hAnsi="Helvetica" w:cs="Helvetica" w:hint="eastAsia"/>
          <w:b/>
          <w:bCs/>
          <w:color w:val="000000"/>
          <w:sz w:val="20"/>
          <w:szCs w:val="20"/>
        </w:rPr>
        <w:t xml:space="preserve"> </w:t>
      </w:r>
      <w:r w:rsidRPr="0024050B">
        <w:rPr>
          <w:rFonts w:ascii="Helvetica" w:hAnsi="Helvetica"/>
          <w:color w:val="000000"/>
          <w:sz w:val="20"/>
          <w:szCs w:val="20"/>
        </w:rPr>
        <w:t>Representative images are shown.</w:t>
      </w:r>
      <w:r w:rsidRPr="00A40D96">
        <w:rPr>
          <w:rFonts w:ascii="Helvetica" w:hAnsi="Helvetica" w:cs="Helvetica"/>
          <w:color w:val="29313D"/>
          <w:szCs w:val="21"/>
        </w:rPr>
        <w:t xml:space="preserve"> </w:t>
      </w:r>
      <w:r w:rsidRPr="000467D2">
        <w:rPr>
          <w:rFonts w:ascii="Helvetica" w:hAnsi="Helvetica" w:cs="Helvetica"/>
          <w:color w:val="29313D"/>
          <w:sz w:val="20"/>
          <w:szCs w:val="20"/>
        </w:rPr>
        <w:t xml:space="preserve">Each </w:t>
      </w:r>
      <w:r w:rsidRPr="000467D2">
        <w:rPr>
          <w:rFonts w:ascii="Helvetica" w:hAnsi="Helvetica" w:cs="Helvetica" w:hint="eastAsia"/>
          <w:color w:val="29313D"/>
          <w:sz w:val="20"/>
          <w:szCs w:val="20"/>
        </w:rPr>
        <w:t>brain</w:t>
      </w:r>
      <w:r w:rsidRPr="000467D2">
        <w:rPr>
          <w:rFonts w:ascii="Helvetica" w:hAnsi="Helvetica" w:cs="Helvetica"/>
          <w:color w:val="29313D"/>
          <w:sz w:val="20"/>
          <w:szCs w:val="20"/>
        </w:rPr>
        <w:t xml:space="preserve"> was photographed on 5 mm grid paper</w:t>
      </w:r>
      <w:r>
        <w:rPr>
          <w:rFonts w:ascii="Helvetica" w:hAnsi="Helvetica" w:cs="Helvetica"/>
          <w:color w:val="29313D"/>
          <w:sz w:val="20"/>
          <w:szCs w:val="20"/>
        </w:rPr>
        <w:t>.</w:t>
      </w:r>
    </w:p>
    <w:p w14:paraId="111E1E8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-webkit-standard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9F9"/>
    <w:rsid w:val="000C4033"/>
    <w:rsid w:val="00174DE8"/>
    <w:rsid w:val="004B42CB"/>
    <w:rsid w:val="006519F9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75642"/>
  <w15:chartTrackingRefBased/>
  <w15:docId w15:val="{9DC0338D-E489-4A13-A852-13D1907D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9F9"/>
    <w:pPr>
      <w:spacing w:after="0" w:line="240" w:lineRule="auto"/>
    </w:pPr>
    <w:rPr>
      <w:rFonts w:ascii="MS PGothic" w:eastAsia="MS PGothic" w:hAnsi="MS PGothic" w:cs="MS PGothic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19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9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9F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9F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9F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9F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9F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9F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9F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9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9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9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1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9F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1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9F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1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9F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19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9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9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651</Characters>
  <Application>Microsoft Office Word</Application>
  <DocSecurity>0</DocSecurity>
  <Lines>12</Lines>
  <Paragraphs>4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2026-02-16T11:34:00Z</dcterms:created>
  <dcterms:modified xsi:type="dcterms:W3CDTF">2026-02-16T11:34:00Z</dcterms:modified>
</cp:coreProperties>
</file>