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C6243" w14:textId="77777777" w:rsidR="00A7206E" w:rsidRPr="004E5039" w:rsidRDefault="00A7206E" w:rsidP="00A7206E">
      <w:pPr>
        <w:rPr>
          <w:rFonts w:ascii="Arial" w:hAnsi="Arial" w:cs="Arial"/>
          <w:b/>
          <w:bCs/>
          <w:iCs/>
          <w:color w:val="1F1F1F"/>
          <w:sz w:val="36"/>
          <w:szCs w:val="36"/>
          <w:lang w:val="en-GB"/>
        </w:rPr>
      </w:pPr>
      <w:bookmarkStart w:id="0" w:name="_Hlk214172025"/>
      <w:r w:rsidRPr="00600984">
        <w:rPr>
          <w:rFonts w:ascii="Arial" w:hAnsi="Arial" w:cs="Arial"/>
          <w:b/>
          <w:bCs/>
          <w:iCs/>
          <w:color w:val="1F1F1F"/>
          <w:sz w:val="36"/>
          <w:szCs w:val="36"/>
          <w:lang w:val="en-GB"/>
        </w:rPr>
        <w:t xml:space="preserve">Decision-oriented resilience for </w:t>
      </w:r>
      <w:r w:rsidRPr="004E5039">
        <w:rPr>
          <w:rFonts w:ascii="Arial" w:hAnsi="Arial" w:cs="Arial"/>
          <w:b/>
          <w:bCs/>
          <w:iCs/>
          <w:color w:val="1F1F1F"/>
          <w:sz w:val="36"/>
          <w:szCs w:val="36"/>
          <w:lang w:val="en-GB"/>
        </w:rPr>
        <w:t xml:space="preserve">sustainable </w:t>
      </w:r>
      <w:r w:rsidRPr="00600984">
        <w:rPr>
          <w:rFonts w:ascii="Arial" w:hAnsi="Arial" w:cs="Arial"/>
          <w:b/>
          <w:bCs/>
          <w:iCs/>
          <w:color w:val="1F1F1F"/>
          <w:sz w:val="36"/>
          <w:szCs w:val="36"/>
          <w:lang w:val="en-GB"/>
        </w:rPr>
        <w:t>infrastructure</w:t>
      </w:r>
      <w:r w:rsidRPr="00AC344B">
        <w:rPr>
          <w:rFonts w:ascii="Arial" w:hAnsi="Arial" w:cs="Arial"/>
          <w:b/>
          <w:bCs/>
          <w:iCs/>
          <w:color w:val="1F1F1F"/>
          <w:sz w:val="36"/>
          <w:szCs w:val="36"/>
          <w:lang w:val="en-GB"/>
        </w:rPr>
        <w:t xml:space="preserve"> </w:t>
      </w:r>
      <w:r w:rsidRPr="004E5039">
        <w:rPr>
          <w:rFonts w:ascii="Arial" w:hAnsi="Arial" w:cs="Arial"/>
          <w:b/>
          <w:bCs/>
          <w:iCs/>
          <w:color w:val="1F1F1F"/>
          <w:sz w:val="36"/>
          <w:szCs w:val="36"/>
          <w:lang w:val="en-GB"/>
        </w:rPr>
        <w:t xml:space="preserve">across </w:t>
      </w:r>
      <w:r>
        <w:rPr>
          <w:rFonts w:ascii="Arial" w:hAnsi="Arial" w:cs="Arial"/>
          <w:b/>
          <w:bCs/>
          <w:iCs/>
          <w:color w:val="1F1F1F"/>
          <w:sz w:val="36"/>
          <w:szCs w:val="36"/>
          <w:lang w:val="en-GB"/>
        </w:rPr>
        <w:t xml:space="preserve">the </w:t>
      </w:r>
      <w:r w:rsidRPr="004E5039">
        <w:rPr>
          <w:rFonts w:ascii="Arial" w:hAnsi="Arial" w:cs="Arial"/>
          <w:b/>
          <w:bCs/>
          <w:iCs/>
          <w:color w:val="1F1F1F"/>
          <w:sz w:val="36"/>
          <w:szCs w:val="36"/>
          <w:lang w:val="en-GB"/>
        </w:rPr>
        <w:t>life</w:t>
      </w:r>
      <w:r>
        <w:rPr>
          <w:rFonts w:ascii="Arial" w:hAnsi="Arial" w:cs="Arial"/>
          <w:b/>
          <w:bCs/>
          <w:iCs/>
          <w:color w:val="1F1F1F"/>
          <w:sz w:val="36"/>
          <w:szCs w:val="36"/>
          <w:lang w:val="en-GB"/>
        </w:rPr>
        <w:t xml:space="preserve"> </w:t>
      </w:r>
      <w:r w:rsidRPr="004E5039">
        <w:rPr>
          <w:rFonts w:ascii="Arial" w:hAnsi="Arial" w:cs="Arial"/>
          <w:b/>
          <w:bCs/>
          <w:iCs/>
          <w:color w:val="1F1F1F"/>
          <w:sz w:val="36"/>
          <w:szCs w:val="36"/>
          <w:lang w:val="en-GB"/>
        </w:rPr>
        <w:t>cycle</w:t>
      </w:r>
    </w:p>
    <w:p w14:paraId="6B40D921" w14:textId="77777777" w:rsidR="00702A5B" w:rsidRPr="009F4FA2" w:rsidRDefault="00702A5B" w:rsidP="007B2B5F">
      <w:pPr>
        <w:pStyle w:val="Heading2"/>
        <w:rPr>
          <w:rFonts w:ascii="Arial" w:hAnsi="Arial" w:cs="Arial"/>
          <w:b/>
          <w:bCs/>
          <w:color w:val="auto"/>
          <w:sz w:val="28"/>
          <w:szCs w:val="28"/>
          <w:lang w:val="en-GB"/>
        </w:rPr>
      </w:pPr>
      <w:r w:rsidRPr="009F4FA2">
        <w:rPr>
          <w:rFonts w:ascii="Arial" w:hAnsi="Arial" w:cs="Arial"/>
          <w:b/>
          <w:bCs/>
          <w:color w:val="auto"/>
          <w:sz w:val="28"/>
          <w:szCs w:val="28"/>
          <w:lang w:val="en-GB"/>
        </w:rPr>
        <w:t>Supplementary information</w:t>
      </w:r>
    </w:p>
    <w:p w14:paraId="57F46088" w14:textId="77777777" w:rsidR="00702A5B" w:rsidRPr="00DA2DE2" w:rsidRDefault="00702A5B" w:rsidP="007B2B5F">
      <w:pPr>
        <w:pBdr>
          <w:bottom w:val="single" w:sz="4" w:space="1" w:color="auto"/>
        </w:pBdr>
        <w:rPr>
          <w:lang w:val="en-GB"/>
        </w:rPr>
      </w:pPr>
    </w:p>
    <w:p w14:paraId="63F48EDB" w14:textId="16515604" w:rsidR="00EF09A3" w:rsidRPr="00A7206E" w:rsidRDefault="00EF09A3" w:rsidP="00EF09A3">
      <w:pPr>
        <w:jc w:val="both"/>
        <w:rPr>
          <w:rFonts w:ascii="Arial" w:hAnsi="Arial" w:cs="Arial"/>
          <w:b/>
          <w:bCs/>
          <w:color w:val="1F1F1F"/>
        </w:rPr>
      </w:pPr>
      <w:r w:rsidRPr="00A7206E">
        <w:rPr>
          <w:rFonts w:ascii="Arial" w:hAnsi="Arial" w:cs="Arial"/>
          <w:b/>
          <w:bCs/>
          <w:color w:val="1F1F1F"/>
        </w:rPr>
        <w:t xml:space="preserve">Marco </w:t>
      </w:r>
      <w:proofErr w:type="spellStart"/>
      <w:r w:rsidRPr="00A7206E">
        <w:rPr>
          <w:rFonts w:ascii="Arial" w:hAnsi="Arial" w:cs="Arial"/>
          <w:b/>
          <w:bCs/>
          <w:color w:val="1F1F1F"/>
        </w:rPr>
        <w:t>Domaneschi</w:t>
      </w:r>
      <w:r w:rsidRPr="00A7206E">
        <w:rPr>
          <w:rFonts w:ascii="Arial" w:hAnsi="Arial" w:cs="Arial"/>
          <w:b/>
          <w:bCs/>
          <w:color w:val="1F1F1F"/>
          <w:vertAlign w:val="superscript"/>
        </w:rPr>
        <w:t>a</w:t>
      </w:r>
      <w:proofErr w:type="spellEnd"/>
      <w:r w:rsidRPr="00A7206E">
        <w:rPr>
          <w:rFonts w:ascii="Arial" w:hAnsi="Arial" w:cs="Arial"/>
          <w:b/>
          <w:bCs/>
          <w:color w:val="1F1F1F"/>
        </w:rPr>
        <w:t xml:space="preserve">, Nadiia </w:t>
      </w:r>
      <w:proofErr w:type="spellStart"/>
      <w:proofErr w:type="gramStart"/>
      <w:r w:rsidRPr="00A7206E">
        <w:rPr>
          <w:rFonts w:ascii="Arial" w:hAnsi="Arial" w:cs="Arial"/>
          <w:b/>
          <w:bCs/>
          <w:color w:val="1F1F1F"/>
        </w:rPr>
        <w:t>Kopiika</w:t>
      </w:r>
      <w:r w:rsidRPr="00A7206E">
        <w:rPr>
          <w:rFonts w:ascii="Arial" w:hAnsi="Arial" w:cs="Arial"/>
          <w:b/>
          <w:bCs/>
          <w:color w:val="1F1F1F"/>
          <w:vertAlign w:val="superscript"/>
        </w:rPr>
        <w:t>b,c</w:t>
      </w:r>
      <w:proofErr w:type="spellEnd"/>
      <w:proofErr w:type="gramEnd"/>
      <w:r w:rsidRPr="00A7206E">
        <w:rPr>
          <w:rFonts w:ascii="Arial" w:hAnsi="Arial" w:cs="Arial"/>
          <w:b/>
          <w:bCs/>
          <w:color w:val="1F1F1F"/>
        </w:rPr>
        <w:t xml:space="preserve">, Roberta Di </w:t>
      </w:r>
      <w:proofErr w:type="spellStart"/>
      <w:proofErr w:type="gramStart"/>
      <w:r w:rsidRPr="00A7206E">
        <w:rPr>
          <w:rFonts w:ascii="Arial" w:hAnsi="Arial" w:cs="Arial"/>
          <w:b/>
          <w:bCs/>
          <w:color w:val="1F1F1F"/>
        </w:rPr>
        <w:t>Bari</w:t>
      </w:r>
      <w:r w:rsidRPr="00A7206E">
        <w:rPr>
          <w:rFonts w:ascii="Arial" w:hAnsi="Arial" w:cs="Arial"/>
          <w:b/>
          <w:bCs/>
          <w:color w:val="1F1F1F"/>
          <w:vertAlign w:val="superscript"/>
        </w:rPr>
        <w:t>b,c</w:t>
      </w:r>
      <w:proofErr w:type="spellEnd"/>
      <w:proofErr w:type="gramEnd"/>
      <w:r w:rsidRPr="00A7206E">
        <w:rPr>
          <w:rFonts w:ascii="Arial" w:hAnsi="Arial" w:cs="Arial"/>
          <w:b/>
          <w:bCs/>
          <w:color w:val="1F1F1F"/>
        </w:rPr>
        <w:t xml:space="preserve">, Paola </w:t>
      </w:r>
      <w:proofErr w:type="spellStart"/>
      <w:r w:rsidRPr="00A7206E">
        <w:rPr>
          <w:rFonts w:ascii="Arial" w:hAnsi="Arial" w:cs="Arial"/>
          <w:b/>
          <w:bCs/>
          <w:color w:val="1F1F1F"/>
        </w:rPr>
        <w:t>Cavallaro</w:t>
      </w:r>
      <w:r w:rsidRPr="00A7206E">
        <w:rPr>
          <w:rFonts w:ascii="Arial" w:hAnsi="Arial" w:cs="Arial"/>
          <w:b/>
          <w:bCs/>
          <w:color w:val="1F1F1F"/>
          <w:vertAlign w:val="superscript"/>
        </w:rPr>
        <w:t>a</w:t>
      </w:r>
      <w:proofErr w:type="spellEnd"/>
      <w:r w:rsidRPr="00A7206E">
        <w:rPr>
          <w:rFonts w:ascii="Arial" w:hAnsi="Arial" w:cs="Arial"/>
          <w:b/>
          <w:bCs/>
          <w:color w:val="1F1F1F"/>
        </w:rPr>
        <w:t xml:space="preserve">, Valentina </w:t>
      </w:r>
      <w:proofErr w:type="spellStart"/>
      <w:r w:rsidRPr="00A7206E">
        <w:rPr>
          <w:rFonts w:ascii="Arial" w:hAnsi="Arial" w:cs="Arial"/>
          <w:b/>
          <w:bCs/>
          <w:color w:val="1F1F1F"/>
        </w:rPr>
        <w:t>Villa</w:t>
      </w:r>
      <w:r w:rsidRPr="00A7206E">
        <w:rPr>
          <w:rFonts w:ascii="Arial" w:hAnsi="Arial" w:cs="Arial"/>
          <w:b/>
          <w:bCs/>
          <w:color w:val="1F1F1F"/>
          <w:vertAlign w:val="superscript"/>
        </w:rPr>
        <w:t>a</w:t>
      </w:r>
      <w:proofErr w:type="spellEnd"/>
      <w:r w:rsidRPr="00A7206E">
        <w:rPr>
          <w:rFonts w:ascii="Arial" w:hAnsi="Arial" w:cs="Arial"/>
          <w:b/>
          <w:bCs/>
          <w:color w:val="1F1F1F"/>
        </w:rPr>
        <w:t xml:space="preserve">, Sotirios </w:t>
      </w:r>
      <w:proofErr w:type="spellStart"/>
      <w:proofErr w:type="gramStart"/>
      <w:r w:rsidRPr="00A7206E">
        <w:rPr>
          <w:rFonts w:ascii="Arial" w:hAnsi="Arial" w:cs="Arial"/>
          <w:b/>
          <w:bCs/>
          <w:color w:val="1F1F1F"/>
        </w:rPr>
        <w:t>Argyroudis</w:t>
      </w:r>
      <w:r w:rsidRPr="00A7206E">
        <w:rPr>
          <w:rFonts w:ascii="Arial" w:hAnsi="Arial" w:cs="Arial"/>
          <w:b/>
          <w:bCs/>
          <w:color w:val="1F1F1F"/>
          <w:vertAlign w:val="superscript"/>
        </w:rPr>
        <w:t>d,c</w:t>
      </w:r>
      <w:proofErr w:type="spellEnd"/>
      <w:proofErr w:type="gramEnd"/>
      <w:r w:rsidRPr="00A7206E">
        <w:rPr>
          <w:rFonts w:ascii="Arial" w:hAnsi="Arial" w:cs="Arial"/>
          <w:b/>
          <w:bCs/>
          <w:color w:val="1F1F1F"/>
        </w:rPr>
        <w:t xml:space="preserve">, Stergios-Aristoteles </w:t>
      </w:r>
      <w:proofErr w:type="spellStart"/>
      <w:proofErr w:type="gramStart"/>
      <w:r w:rsidRPr="00A7206E">
        <w:rPr>
          <w:rFonts w:ascii="Arial" w:hAnsi="Arial" w:cs="Arial"/>
          <w:b/>
          <w:bCs/>
          <w:color w:val="1F1F1F"/>
        </w:rPr>
        <w:t>Mitoulis</w:t>
      </w:r>
      <w:r w:rsidRPr="00A7206E">
        <w:rPr>
          <w:rFonts w:ascii="Arial" w:hAnsi="Arial" w:cs="Arial"/>
          <w:b/>
          <w:bCs/>
          <w:color w:val="1F1F1F"/>
          <w:vertAlign w:val="superscript"/>
        </w:rPr>
        <w:t>b,c</w:t>
      </w:r>
      <w:proofErr w:type="spellEnd"/>
      <w:proofErr w:type="gramEnd"/>
      <w:r w:rsidR="00955090" w:rsidRPr="00A7206E">
        <w:rPr>
          <w:rFonts w:ascii="Arial" w:hAnsi="Arial" w:cs="Arial"/>
          <w:b/>
          <w:bCs/>
          <w:color w:val="1F1F1F"/>
          <w:vertAlign w:val="superscript"/>
        </w:rPr>
        <w:t>*</w:t>
      </w:r>
    </w:p>
    <w:p w14:paraId="38196092" w14:textId="77777777" w:rsidR="00EF09A3" w:rsidRPr="00A7206E" w:rsidRDefault="00EF09A3" w:rsidP="00EF09A3">
      <w:pPr>
        <w:jc w:val="both"/>
        <w:rPr>
          <w:rFonts w:ascii="Arial" w:hAnsi="Arial" w:cs="Arial"/>
          <w:color w:val="1F1F1F"/>
          <w:sz w:val="20"/>
          <w:szCs w:val="20"/>
          <w:lang w:val="en-GB"/>
        </w:rPr>
      </w:pPr>
      <w:r w:rsidRPr="00A7206E">
        <w:rPr>
          <w:rFonts w:ascii="Arial" w:hAnsi="Arial" w:cs="Arial"/>
          <w:color w:val="1F1F1F"/>
          <w:sz w:val="20"/>
          <w:szCs w:val="20"/>
          <w:vertAlign w:val="superscript"/>
          <w:lang w:val="en-GB"/>
        </w:rPr>
        <w:t xml:space="preserve">a </w:t>
      </w:r>
      <w:r w:rsidRPr="00A7206E">
        <w:rPr>
          <w:rFonts w:ascii="Arial" w:hAnsi="Arial" w:cs="Arial"/>
          <w:color w:val="1F1F1F"/>
          <w:sz w:val="20"/>
          <w:szCs w:val="20"/>
          <w:lang w:val="en-GB"/>
        </w:rPr>
        <w:t>Department of Structural, Geotechnical and Building Engineering, Politecnico di Torino, Corso Duca degli Abruzzi 24, Turin, Italy</w:t>
      </w:r>
    </w:p>
    <w:p w14:paraId="409A81ED" w14:textId="77777777" w:rsidR="00EF09A3" w:rsidRPr="00A7206E" w:rsidRDefault="00EF09A3" w:rsidP="00EF09A3">
      <w:pPr>
        <w:jc w:val="both"/>
        <w:rPr>
          <w:rFonts w:ascii="Arial" w:hAnsi="Arial" w:cs="Arial"/>
          <w:color w:val="1F1F1F"/>
          <w:sz w:val="20"/>
          <w:szCs w:val="20"/>
          <w:lang w:val="en-GB"/>
        </w:rPr>
      </w:pPr>
      <w:r w:rsidRPr="00A7206E">
        <w:rPr>
          <w:rFonts w:ascii="Arial" w:hAnsi="Arial" w:cs="Arial"/>
          <w:color w:val="1F1F1F"/>
          <w:sz w:val="20"/>
          <w:szCs w:val="20"/>
          <w:vertAlign w:val="superscript"/>
          <w:lang w:val="en-GB"/>
        </w:rPr>
        <w:t xml:space="preserve">b </w:t>
      </w:r>
      <w:r w:rsidRPr="00A7206E">
        <w:rPr>
          <w:rFonts w:ascii="Arial" w:hAnsi="Arial" w:cs="Arial"/>
          <w:color w:val="1F1F1F"/>
          <w:sz w:val="20"/>
          <w:szCs w:val="20"/>
          <w:lang w:val="en-GB"/>
        </w:rPr>
        <w:t>University College London, The Bartlett School of Sustainable Construction, The Bartlett, UCL Faculty of the Built Environment, 1-19 Torrington Place, London, WC1E 7HB, UK</w:t>
      </w:r>
    </w:p>
    <w:p w14:paraId="0277467B" w14:textId="77777777" w:rsidR="00EF09A3" w:rsidRPr="00A7206E" w:rsidRDefault="00EF09A3" w:rsidP="00EF09A3">
      <w:pPr>
        <w:jc w:val="both"/>
        <w:rPr>
          <w:rFonts w:ascii="Arial" w:hAnsi="Arial" w:cs="Arial"/>
          <w:color w:val="1F1F1F"/>
          <w:sz w:val="20"/>
          <w:szCs w:val="20"/>
          <w:lang w:val="en-GB"/>
        </w:rPr>
      </w:pPr>
      <w:r w:rsidRPr="00A7206E">
        <w:rPr>
          <w:rFonts w:ascii="Arial" w:hAnsi="Arial" w:cs="Arial"/>
          <w:color w:val="1F1F1F"/>
          <w:sz w:val="20"/>
          <w:szCs w:val="20"/>
          <w:vertAlign w:val="superscript"/>
          <w:lang w:val="en-GB"/>
        </w:rPr>
        <w:t>c</w:t>
      </w:r>
      <w:r w:rsidRPr="00A7206E">
        <w:rPr>
          <w:rFonts w:ascii="Arial" w:hAnsi="Arial" w:cs="Arial"/>
          <w:color w:val="1F1F1F"/>
          <w:sz w:val="20"/>
          <w:szCs w:val="20"/>
          <w:lang w:val="en-GB"/>
        </w:rPr>
        <w:t xml:space="preserve"> MetaInfrastructure.org, London, UK</w:t>
      </w:r>
    </w:p>
    <w:p w14:paraId="34D786F2" w14:textId="7FEE7F63" w:rsidR="00EF09A3" w:rsidRPr="00A7206E" w:rsidRDefault="00E33F7B" w:rsidP="00EF09A3">
      <w:pPr>
        <w:jc w:val="both"/>
        <w:rPr>
          <w:rFonts w:ascii="Arial" w:hAnsi="Arial" w:cs="Arial"/>
          <w:color w:val="1F1F1F"/>
          <w:sz w:val="20"/>
          <w:szCs w:val="20"/>
          <w:lang w:val="en-GB"/>
        </w:rPr>
      </w:pPr>
      <w:r>
        <w:rPr>
          <w:rFonts w:ascii="Arial" w:hAnsi="Arial" w:cs="Arial"/>
          <w:color w:val="1F1F1F"/>
          <w:sz w:val="20"/>
          <w:szCs w:val="20"/>
          <w:vertAlign w:val="superscript"/>
          <w:lang w:val="en-GB"/>
        </w:rPr>
        <w:t>d</w:t>
      </w:r>
      <w:r w:rsidR="00EF09A3" w:rsidRPr="00A7206E">
        <w:rPr>
          <w:rFonts w:ascii="Arial" w:hAnsi="Arial" w:cs="Arial"/>
          <w:color w:val="1F1F1F"/>
          <w:sz w:val="20"/>
          <w:szCs w:val="20"/>
          <w:vertAlign w:val="superscript"/>
          <w:lang w:val="en-GB"/>
        </w:rPr>
        <w:t xml:space="preserve"> </w:t>
      </w:r>
      <w:r w:rsidR="00EF09A3" w:rsidRPr="00A7206E">
        <w:rPr>
          <w:rFonts w:ascii="Arial" w:hAnsi="Arial" w:cs="Arial"/>
          <w:color w:val="1F1F1F"/>
          <w:sz w:val="20"/>
          <w:szCs w:val="20"/>
          <w:lang w:val="en-GB"/>
        </w:rPr>
        <w:t>Brunel University of London, Kingston Lane, Uxbridge, Middlesex, London, UB8 3PH, UK</w:t>
      </w:r>
    </w:p>
    <w:p w14:paraId="67FFD199" w14:textId="5F04F2C7" w:rsidR="00955090" w:rsidRPr="00A7206E" w:rsidRDefault="00955090" w:rsidP="00955090">
      <w:pPr>
        <w:jc w:val="both"/>
        <w:rPr>
          <w:rFonts w:ascii="Arial" w:hAnsi="Arial" w:cs="Arial"/>
          <w:color w:val="1F1F1F"/>
          <w:sz w:val="20"/>
          <w:szCs w:val="20"/>
          <w:lang w:val="en-GB"/>
        </w:rPr>
      </w:pPr>
      <w:r w:rsidRPr="00A7206E">
        <w:rPr>
          <w:rFonts w:ascii="Arial" w:hAnsi="Arial" w:cs="Arial"/>
          <w:color w:val="1F1F1F"/>
          <w:sz w:val="20"/>
          <w:szCs w:val="20"/>
          <w:lang w:val="en-GB"/>
        </w:rPr>
        <w:t xml:space="preserve">*Corresponding author, E-mail: </w:t>
      </w:r>
      <w:hyperlink r:id="rId8" w:history="1">
        <w:r w:rsidR="007B2B5F" w:rsidRPr="00A7206E">
          <w:rPr>
            <w:rStyle w:val="Hyperlink"/>
            <w:rFonts w:ascii="Arial" w:hAnsi="Arial" w:cs="Arial"/>
            <w:sz w:val="20"/>
            <w:szCs w:val="20"/>
            <w:lang w:val="en-GB"/>
          </w:rPr>
          <w:t>s.mitoulis@ucl.ac.uk</w:t>
        </w:r>
      </w:hyperlink>
    </w:p>
    <w:p w14:paraId="79836507" w14:textId="77777777" w:rsidR="007B2B5F" w:rsidRPr="00DA2DE2" w:rsidRDefault="007B2B5F" w:rsidP="007B2B5F">
      <w:pPr>
        <w:pBdr>
          <w:bottom w:val="single" w:sz="4" w:space="1" w:color="auto"/>
        </w:pBdr>
        <w:jc w:val="both"/>
        <w:rPr>
          <w:rFonts w:ascii="Arial" w:hAnsi="Arial" w:cs="Arial"/>
          <w:i/>
          <w:iCs/>
          <w:color w:val="1F1F1F"/>
          <w:lang w:val="en-GB"/>
        </w:rPr>
      </w:pPr>
    </w:p>
    <w:p w14:paraId="76366E69" w14:textId="77777777" w:rsidR="00E33F7B" w:rsidRDefault="00E33F7B" w:rsidP="004E1B8F">
      <w:pPr>
        <w:pStyle w:val="Heading2"/>
        <w:jc w:val="both"/>
        <w:rPr>
          <w:rFonts w:ascii="Arial" w:hAnsi="Arial" w:cs="Arial"/>
          <w:b/>
          <w:bCs/>
          <w:color w:val="auto"/>
          <w:lang w:val="en-GB"/>
        </w:rPr>
      </w:pPr>
    </w:p>
    <w:p w14:paraId="544DFA02" w14:textId="04CAE201" w:rsidR="00E33F7B" w:rsidRPr="00E33F7B" w:rsidRDefault="004E1B8F" w:rsidP="00E33F7B">
      <w:pPr>
        <w:pStyle w:val="Heading2"/>
        <w:jc w:val="both"/>
        <w:rPr>
          <w:rFonts w:ascii="Arial" w:hAnsi="Arial" w:cs="Arial"/>
          <w:color w:val="1F1F1F"/>
          <w:lang w:val="en-GB"/>
        </w:rPr>
      </w:pPr>
      <w:r w:rsidRPr="00DA2DE2">
        <w:rPr>
          <w:rFonts w:ascii="Arial" w:hAnsi="Arial" w:cs="Arial"/>
          <w:b/>
          <w:bCs/>
          <w:color w:val="auto"/>
          <w:lang w:val="en-GB"/>
        </w:rPr>
        <w:t xml:space="preserve">Supplementary Note 1. </w:t>
      </w:r>
      <w:proofErr w:type="spellStart"/>
      <w:r w:rsidRPr="00DA2DE2">
        <w:rPr>
          <w:rFonts w:ascii="Arial" w:hAnsi="Arial" w:cs="Arial"/>
          <w:b/>
          <w:bCs/>
          <w:color w:val="auto"/>
          <w:lang w:val="en-GB"/>
        </w:rPr>
        <w:t>Polyfytos</w:t>
      </w:r>
      <w:proofErr w:type="spellEnd"/>
      <w:r w:rsidRPr="00DA2DE2">
        <w:rPr>
          <w:rFonts w:ascii="Arial" w:hAnsi="Arial" w:cs="Arial"/>
          <w:b/>
          <w:bCs/>
          <w:color w:val="auto"/>
          <w:lang w:val="en-GB"/>
        </w:rPr>
        <w:t xml:space="preserve"> </w:t>
      </w:r>
      <w:r w:rsidR="009875EE">
        <w:rPr>
          <w:rFonts w:ascii="Arial" w:hAnsi="Arial" w:cs="Arial"/>
          <w:b/>
          <w:bCs/>
          <w:color w:val="auto"/>
          <w:lang w:val="en-GB"/>
        </w:rPr>
        <w:t>bridge</w:t>
      </w:r>
      <w:r w:rsidRPr="00DA2DE2">
        <w:rPr>
          <w:rFonts w:ascii="Arial" w:hAnsi="Arial" w:cs="Arial"/>
          <w:b/>
          <w:bCs/>
          <w:color w:val="auto"/>
          <w:lang w:val="en-GB"/>
        </w:rPr>
        <w:t>: current condition and selected retrofit solutions</w:t>
      </w:r>
    </w:p>
    <w:p w14:paraId="15E9A088" w14:textId="4A590628" w:rsidR="004E1B8F" w:rsidRPr="00DA2DE2" w:rsidRDefault="009875EE" w:rsidP="004E1B8F">
      <w:pPr>
        <w:pStyle w:val="Heading3"/>
        <w:rPr>
          <w:rFonts w:ascii="Arial" w:hAnsi="Arial" w:cs="Arial"/>
          <w:color w:val="1F1F1F"/>
          <w:lang w:val="en-GB"/>
        </w:rPr>
      </w:pPr>
      <w:r>
        <w:rPr>
          <w:rFonts w:ascii="Arial" w:hAnsi="Arial" w:cs="Arial"/>
          <w:b/>
          <w:bCs/>
          <w:color w:val="auto"/>
          <w:sz w:val="26"/>
          <w:szCs w:val="26"/>
          <w:lang w:val="en-GB"/>
        </w:rPr>
        <w:t>D</w:t>
      </w:r>
      <w:r w:rsidR="004E1B8F" w:rsidRPr="00DA2DE2">
        <w:rPr>
          <w:rFonts w:ascii="Arial" w:hAnsi="Arial" w:cs="Arial"/>
          <w:b/>
          <w:bCs/>
          <w:color w:val="auto"/>
          <w:sz w:val="26"/>
          <w:szCs w:val="26"/>
          <w:lang w:val="en-GB"/>
        </w:rPr>
        <w:t xml:space="preserve">escription </w:t>
      </w:r>
      <w:r>
        <w:rPr>
          <w:rFonts w:ascii="Arial" w:hAnsi="Arial" w:cs="Arial"/>
          <w:b/>
          <w:bCs/>
          <w:color w:val="auto"/>
          <w:sz w:val="26"/>
          <w:szCs w:val="26"/>
          <w:lang w:val="en-GB"/>
        </w:rPr>
        <w:t>of the bridge</w:t>
      </w:r>
    </w:p>
    <w:p w14:paraId="5AA9EC01" w14:textId="3415ACA2" w:rsidR="009875EE" w:rsidRPr="00DA2DE2" w:rsidRDefault="004E1B8F" w:rsidP="009875EE">
      <w:pPr>
        <w:jc w:val="both"/>
        <w:rPr>
          <w:rFonts w:ascii="Arial" w:eastAsia="Times New Roman" w:hAnsi="Arial" w:cs="Arial"/>
          <w:color w:val="000000" w:themeColor="text1"/>
          <w:lang w:val="en-GB"/>
        </w:rPr>
      </w:pPr>
      <w:r w:rsidRPr="00DA2DE2">
        <w:rPr>
          <w:rFonts w:ascii="Arial" w:eastAsia="Times New Roman" w:hAnsi="Arial" w:cs="Arial"/>
          <w:lang w:val="en-GB"/>
        </w:rPr>
        <w:t xml:space="preserve">The </w:t>
      </w:r>
      <w:proofErr w:type="spellStart"/>
      <w:r w:rsidRPr="00DA2DE2">
        <w:rPr>
          <w:rFonts w:ascii="Arial" w:eastAsia="Times New Roman" w:hAnsi="Arial" w:cs="Arial"/>
          <w:lang w:val="en-GB"/>
        </w:rPr>
        <w:t>Polyfytos</w:t>
      </w:r>
      <w:proofErr w:type="spellEnd"/>
      <w:r w:rsidRPr="00DA2DE2">
        <w:rPr>
          <w:rFonts w:ascii="Arial" w:eastAsia="Times New Roman" w:hAnsi="Arial" w:cs="Arial"/>
          <w:lang w:val="en-GB"/>
        </w:rPr>
        <w:t xml:space="preserve"> </w:t>
      </w:r>
      <w:r w:rsidR="009875EE">
        <w:rPr>
          <w:rFonts w:ascii="Arial" w:eastAsia="Times New Roman" w:hAnsi="Arial" w:cs="Arial"/>
          <w:lang w:val="en-GB"/>
        </w:rPr>
        <w:t>b</w:t>
      </w:r>
      <w:r w:rsidRPr="00DA2DE2">
        <w:rPr>
          <w:rFonts w:ascii="Arial" w:eastAsia="Times New Roman" w:hAnsi="Arial" w:cs="Arial"/>
          <w:lang w:val="en-GB"/>
        </w:rPr>
        <w:t>ridge (</w:t>
      </w:r>
      <w:r w:rsidR="009875EE">
        <w:rPr>
          <w:rFonts w:ascii="Arial" w:eastAsia="Times New Roman" w:hAnsi="Arial" w:cs="Arial"/>
          <w:lang w:val="en-GB"/>
        </w:rPr>
        <w:t>also known as</w:t>
      </w:r>
      <w:r w:rsidRPr="00DA2DE2">
        <w:rPr>
          <w:rFonts w:ascii="Arial" w:eastAsia="Times New Roman" w:hAnsi="Arial" w:cs="Arial"/>
          <w:lang w:val="en-GB"/>
        </w:rPr>
        <w:t xml:space="preserve"> </w:t>
      </w:r>
      <w:r w:rsidR="009875EE">
        <w:rPr>
          <w:rFonts w:ascii="Arial" w:eastAsia="Times New Roman" w:hAnsi="Arial" w:cs="Arial"/>
          <w:lang w:val="en-GB"/>
        </w:rPr>
        <w:t>b</w:t>
      </w:r>
      <w:r w:rsidRPr="00DA2DE2">
        <w:rPr>
          <w:rFonts w:ascii="Arial" w:eastAsia="Times New Roman" w:hAnsi="Arial" w:cs="Arial"/>
          <w:lang w:val="en-GB"/>
        </w:rPr>
        <w:t>ridge of Servia) is a landmark</w:t>
      </w:r>
      <w:r w:rsidR="00357138">
        <w:rPr>
          <w:rFonts w:ascii="Arial" w:eastAsia="Times New Roman" w:hAnsi="Arial" w:cs="Arial"/>
          <w:lang w:val="en-GB"/>
        </w:rPr>
        <w:t xml:space="preserve"> bridge </w:t>
      </w:r>
      <w:r w:rsidRPr="00DA2DE2">
        <w:rPr>
          <w:rFonts w:ascii="Arial" w:eastAsia="Times New Roman" w:hAnsi="Arial" w:cs="Arial"/>
          <w:lang w:val="en-GB"/>
        </w:rPr>
        <w:t xml:space="preserve">in the Municipality of Western Macedonia, </w:t>
      </w:r>
      <w:proofErr w:type="spellStart"/>
      <w:r w:rsidRPr="00DA2DE2">
        <w:rPr>
          <w:rFonts w:ascii="Arial" w:eastAsia="Times New Roman" w:hAnsi="Arial" w:cs="Arial"/>
          <w:lang w:val="en-GB"/>
        </w:rPr>
        <w:t>Kozani</w:t>
      </w:r>
      <w:proofErr w:type="spellEnd"/>
      <w:r w:rsidRPr="00DA2DE2">
        <w:rPr>
          <w:rFonts w:ascii="Arial" w:eastAsia="Times New Roman" w:hAnsi="Arial" w:cs="Arial"/>
          <w:lang w:val="en-GB"/>
        </w:rPr>
        <w:t xml:space="preserve">, Greece. Conceived by Professor Riccardo Morandi and completed in 1975, the bridge spans the artificial reservoir formed by the </w:t>
      </w:r>
      <w:proofErr w:type="spellStart"/>
      <w:r w:rsidRPr="00DA2DE2">
        <w:rPr>
          <w:rFonts w:ascii="Arial" w:eastAsia="Times New Roman" w:hAnsi="Arial" w:cs="Arial"/>
          <w:lang w:val="en-GB"/>
        </w:rPr>
        <w:t>Aliakmonas</w:t>
      </w:r>
      <w:proofErr w:type="spellEnd"/>
      <w:r w:rsidRPr="00DA2DE2">
        <w:rPr>
          <w:rFonts w:ascii="Arial" w:eastAsia="Times New Roman" w:hAnsi="Arial" w:cs="Arial"/>
          <w:lang w:val="en-GB"/>
        </w:rPr>
        <w:t xml:space="preserve"> River dam and functions as a strategic transport link between Western Macedonia and the national road network, including the principal Athens–Thessaloniki corridor. At the time of construction, the </w:t>
      </w:r>
      <w:r w:rsidR="00357138">
        <w:rPr>
          <w:rFonts w:ascii="Arial" w:eastAsia="Times New Roman" w:hAnsi="Arial" w:cs="Arial"/>
          <w:lang w:val="en-GB"/>
        </w:rPr>
        <w:t>case study bridge</w:t>
      </w:r>
      <w:r w:rsidRPr="00DA2DE2">
        <w:rPr>
          <w:rFonts w:ascii="Arial" w:eastAsia="Times New Roman" w:hAnsi="Arial" w:cs="Arial"/>
          <w:lang w:val="en-GB"/>
        </w:rPr>
        <w:t xml:space="preserve"> represented the longest overall bridge in Greece, a record that remained until the opening of the Rion–</w:t>
      </w:r>
      <w:proofErr w:type="spellStart"/>
      <w:r w:rsidRPr="00DA2DE2">
        <w:rPr>
          <w:rFonts w:ascii="Arial" w:eastAsia="Times New Roman" w:hAnsi="Arial" w:cs="Arial"/>
          <w:lang w:val="en-GB"/>
        </w:rPr>
        <w:t>Antirion</w:t>
      </w:r>
      <w:proofErr w:type="spellEnd"/>
      <w:r w:rsidRPr="00DA2DE2">
        <w:rPr>
          <w:rFonts w:ascii="Arial" w:eastAsia="Times New Roman" w:hAnsi="Arial" w:cs="Arial"/>
          <w:lang w:val="en-GB"/>
        </w:rPr>
        <w:t xml:space="preserve"> Bridge nearly 35 years later. The total bridge length is 1,371 m and comprises 29 spans supported by 29 octagonal hollow-core piers with heights varying from 15 m to 50 m according to topography and local geotechnical conditions (see </w:t>
      </w:r>
      <w:r w:rsidR="007E20A9" w:rsidRPr="00DA2DE2">
        <w:rPr>
          <w:rFonts w:ascii="Arial" w:eastAsia="Times New Roman" w:hAnsi="Arial" w:cs="Arial"/>
          <w:lang w:val="en-GB"/>
        </w:rPr>
        <w:t xml:space="preserve">Supplementary </w:t>
      </w:r>
      <w:r w:rsidRPr="00DA2DE2">
        <w:rPr>
          <w:rFonts w:ascii="Arial" w:eastAsia="Times New Roman" w:hAnsi="Arial" w:cs="Arial"/>
          <w:lang w:val="en-GB"/>
        </w:rPr>
        <w:t>Fig</w:t>
      </w:r>
      <w:r w:rsidR="007E20A9" w:rsidRPr="00DA2DE2">
        <w:rPr>
          <w:rFonts w:ascii="Arial" w:eastAsia="Times New Roman" w:hAnsi="Arial" w:cs="Arial"/>
          <w:lang w:val="en-GB"/>
        </w:rPr>
        <w:t>ure</w:t>
      </w:r>
      <w:r w:rsidRPr="00DA2DE2">
        <w:rPr>
          <w:rFonts w:ascii="Arial" w:eastAsia="Times New Roman" w:hAnsi="Arial" w:cs="Arial"/>
          <w:lang w:val="en-GB"/>
        </w:rPr>
        <w:t xml:space="preserve"> </w:t>
      </w:r>
      <w:r w:rsidR="007E20A9" w:rsidRPr="00DA2DE2">
        <w:rPr>
          <w:rFonts w:ascii="Arial" w:eastAsia="Times New Roman" w:hAnsi="Arial" w:cs="Arial"/>
          <w:lang w:val="en-GB"/>
        </w:rPr>
        <w:t>1</w:t>
      </w:r>
      <w:r w:rsidRPr="00DA2DE2">
        <w:rPr>
          <w:rFonts w:ascii="Arial" w:eastAsia="Times New Roman" w:hAnsi="Arial" w:cs="Arial"/>
          <w:lang w:val="en-GB"/>
        </w:rPr>
        <w:t xml:space="preserve">). Foundations are predominantly spread footings measuring 11.50 m by 15.00 m, founded on a 5 m compacted gravel layer overlying limestone. Piers located within the original riverbed required pile foundations (22 piles per pier of 1.2 m diameter and depths ranging </w:t>
      </w:r>
      <w:r w:rsidRPr="00DA2DE2">
        <w:rPr>
          <w:rFonts w:ascii="Arial" w:eastAsia="Times New Roman" w:hAnsi="Arial" w:cs="Arial"/>
          <w:color w:val="000000" w:themeColor="text1"/>
          <w:lang w:val="en-GB"/>
        </w:rPr>
        <w:t>from 16 m to 18 m) to penetrate alluvial deposits and achieve adequate bearing capacity.</w:t>
      </w:r>
      <w:r w:rsidR="009875EE">
        <w:rPr>
          <w:rFonts w:ascii="Arial" w:eastAsia="Times New Roman" w:hAnsi="Arial" w:cs="Arial"/>
          <w:color w:val="000000" w:themeColor="text1"/>
          <w:lang w:val="en-GB"/>
        </w:rPr>
        <w:t xml:space="preserve"> </w:t>
      </w:r>
      <w:r w:rsidR="009875EE" w:rsidRPr="00DA2DE2">
        <w:rPr>
          <w:rFonts w:ascii="Arial" w:eastAsia="Times New Roman" w:hAnsi="Arial" w:cs="Arial"/>
          <w:lang w:val="en-GB"/>
        </w:rPr>
        <w:t xml:space="preserve">The plan geometry is curved along the initial 24 spans, introducing combined bending and torsional demands in the superstructure. The first 25 spans are realized as simply supported spans comprising three precast prestressed I-beams continuous transversely and connected by a cast-in-place concrete slab. Expansion joints and elastomeric bearings </w:t>
      </w:r>
      <w:r w:rsidR="009875EE" w:rsidRPr="00DA2DE2">
        <w:rPr>
          <w:rFonts w:ascii="Arial" w:eastAsia="Times New Roman" w:hAnsi="Arial" w:cs="Arial"/>
          <w:color w:val="000000" w:themeColor="text1"/>
          <w:lang w:val="en-GB"/>
        </w:rPr>
        <w:t xml:space="preserve">are provided at each pier location to decouple thermal and long-term movements from the substructure </w:t>
      </w:r>
      <w:r w:rsidR="009875EE" w:rsidRPr="00DA2DE2">
        <w:rPr>
          <w:rFonts w:ascii="Arial" w:eastAsia="Times New Roman" w:hAnsi="Arial" w:cs="Arial"/>
          <w:lang w:val="en-GB" w:eastAsia="zh-CN"/>
        </w:rPr>
        <w:t>[</w:t>
      </w:r>
      <w:r w:rsidR="009875EE">
        <w:rPr>
          <w:rFonts w:ascii="Arial" w:eastAsia="Times New Roman" w:hAnsi="Arial" w:cs="Arial"/>
          <w:lang w:val="en-GB" w:eastAsia="zh-CN"/>
        </w:rPr>
        <w:fldChar w:fldCharType="begin"/>
      </w:r>
      <w:r w:rsidR="009875EE">
        <w:rPr>
          <w:rFonts w:ascii="Arial" w:eastAsia="Times New Roman" w:hAnsi="Arial" w:cs="Arial"/>
          <w:lang w:val="en-GB" w:eastAsia="zh-CN"/>
        </w:rPr>
        <w:instrText xml:space="preserve"> REF _Ref219357048 \r \h </w:instrText>
      </w:r>
      <w:r w:rsidR="009875EE">
        <w:rPr>
          <w:rFonts w:ascii="Arial" w:eastAsia="Times New Roman" w:hAnsi="Arial" w:cs="Arial"/>
          <w:lang w:val="en-GB" w:eastAsia="zh-CN"/>
        </w:rPr>
      </w:r>
      <w:r w:rsidR="009875EE">
        <w:rPr>
          <w:rFonts w:ascii="Arial" w:eastAsia="Times New Roman" w:hAnsi="Arial" w:cs="Arial"/>
          <w:lang w:val="en-GB" w:eastAsia="zh-CN"/>
        </w:rPr>
        <w:fldChar w:fldCharType="separate"/>
      </w:r>
      <w:r w:rsidR="00D515C8">
        <w:rPr>
          <w:rFonts w:ascii="Arial" w:eastAsia="Times New Roman" w:hAnsi="Arial" w:cs="Arial"/>
          <w:lang w:val="en-GB" w:eastAsia="zh-CN"/>
        </w:rPr>
        <w:t>1</w:t>
      </w:r>
      <w:r w:rsidR="009875EE">
        <w:rPr>
          <w:rFonts w:ascii="Arial" w:eastAsia="Times New Roman" w:hAnsi="Arial" w:cs="Arial"/>
          <w:lang w:val="en-GB" w:eastAsia="zh-CN"/>
        </w:rPr>
        <w:fldChar w:fldCharType="end"/>
      </w:r>
      <w:r w:rsidR="009875EE" w:rsidRPr="00DA2DE2">
        <w:rPr>
          <w:rFonts w:ascii="Arial" w:eastAsia="Times New Roman" w:hAnsi="Arial" w:cs="Arial"/>
          <w:lang w:val="en-GB" w:eastAsia="zh-CN"/>
        </w:rPr>
        <w:t>]</w:t>
      </w:r>
      <w:r w:rsidR="009875EE" w:rsidRPr="00DA2DE2">
        <w:rPr>
          <w:rFonts w:ascii="Arial" w:eastAsia="Times New Roman" w:hAnsi="Arial" w:cs="Arial"/>
          <w:color w:val="000000" w:themeColor="text1"/>
          <w:lang w:val="en-GB"/>
        </w:rPr>
        <w:t>.</w:t>
      </w:r>
    </w:p>
    <w:p w14:paraId="3EC03B1A" w14:textId="43CFBDC7" w:rsidR="004E1B8F" w:rsidRPr="00DA2DE2" w:rsidRDefault="004E1B8F" w:rsidP="004E1B8F">
      <w:pPr>
        <w:jc w:val="both"/>
        <w:rPr>
          <w:rFonts w:ascii="Arial" w:eastAsia="Times New Roman" w:hAnsi="Arial" w:cs="Arial"/>
          <w:color w:val="000000" w:themeColor="text1"/>
          <w:lang w:val="en-GB"/>
        </w:rPr>
      </w:pPr>
    </w:p>
    <w:p w14:paraId="6FA82909" w14:textId="77777777" w:rsidR="004E1B8F" w:rsidRPr="00DA2DE2" w:rsidRDefault="004E1B8F" w:rsidP="004E1B8F">
      <w:pPr>
        <w:jc w:val="center"/>
        <w:rPr>
          <w:noProof/>
        </w:rPr>
      </w:pPr>
      <w:r w:rsidRPr="00DA2DE2">
        <w:rPr>
          <w:noProof/>
        </w:rPr>
        <w:lastRenderedPageBreak/>
        <w:drawing>
          <wp:inline distT="0" distB="0" distL="0" distR="0" wp14:anchorId="43D89863" wp14:editId="675AD705">
            <wp:extent cx="3141980" cy="2097405"/>
            <wp:effectExtent l="0" t="0" r="1270" b="0"/>
            <wp:docPr id="4" name="Immagine 4" descr="File:Gefyra Polyfytou Ser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efyra Polyfytou Serv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1980" cy="2097405"/>
                    </a:xfrm>
                    <a:prstGeom prst="rect">
                      <a:avLst/>
                    </a:prstGeom>
                    <a:noFill/>
                    <a:ln>
                      <a:noFill/>
                    </a:ln>
                  </pic:spPr>
                </pic:pic>
              </a:graphicData>
            </a:graphic>
          </wp:inline>
        </w:drawing>
      </w:r>
    </w:p>
    <w:p w14:paraId="213B413F" w14:textId="77777777" w:rsidR="004E1B8F" w:rsidRPr="009875EE" w:rsidRDefault="004E1B8F" w:rsidP="004E1B8F">
      <w:pPr>
        <w:jc w:val="center"/>
        <w:rPr>
          <w:rFonts w:ascii="Arial" w:eastAsia="Times New Roman" w:hAnsi="Arial" w:cs="Arial"/>
          <w:color w:val="000000" w:themeColor="text1"/>
          <w:lang w:val="en-GB"/>
        </w:rPr>
      </w:pPr>
      <w:r w:rsidRPr="009875EE">
        <w:rPr>
          <w:rFonts w:ascii="Arial" w:hAnsi="Arial" w:cs="Arial"/>
          <w:noProof/>
          <w:lang w:val="en-US"/>
        </w:rPr>
        <w:t>(a)</w:t>
      </w:r>
    </w:p>
    <w:p w14:paraId="7942D4D7" w14:textId="77777777" w:rsidR="004E1B8F" w:rsidRPr="00DA2DE2" w:rsidRDefault="004E1B8F" w:rsidP="004E1B8F">
      <w:pPr>
        <w:spacing w:after="0"/>
        <w:jc w:val="center"/>
        <w:rPr>
          <w:rFonts w:ascii="Arial" w:eastAsia="Times New Roman" w:hAnsi="Arial" w:cs="Arial"/>
          <w:sz w:val="20"/>
          <w:szCs w:val="20"/>
          <w:lang w:val="en-GB"/>
        </w:rPr>
      </w:pPr>
      <w:r w:rsidRPr="00DA2DE2">
        <w:rPr>
          <w:rStyle w:val="CommentReference"/>
          <w:noProof/>
          <w:sz w:val="20"/>
          <w:szCs w:val="20"/>
          <w:lang w:val="en-GB"/>
        </w:rPr>
        <w:drawing>
          <wp:inline distT="0" distB="0" distL="0" distR="0" wp14:anchorId="22F7B87B" wp14:editId="146CFC1C">
            <wp:extent cx="5963441" cy="283210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6517" name=""/>
                    <pic:cNvPicPr/>
                  </pic:nvPicPr>
                  <pic:blipFill rotWithShape="1">
                    <a:blip r:embed="rId10"/>
                    <a:srcRect l="2808" t="3134" r="734" b="1938"/>
                    <a:stretch>
                      <a:fillRect/>
                    </a:stretch>
                  </pic:blipFill>
                  <pic:spPr bwMode="auto">
                    <a:xfrm>
                      <a:off x="0" y="0"/>
                      <a:ext cx="5982460" cy="2841133"/>
                    </a:xfrm>
                    <a:prstGeom prst="rect">
                      <a:avLst/>
                    </a:prstGeom>
                    <a:ln>
                      <a:noFill/>
                    </a:ln>
                    <a:extLst>
                      <a:ext uri="{53640926-AAD7-44D8-BBD7-CCE9431645EC}">
                        <a14:shadowObscured xmlns:a14="http://schemas.microsoft.com/office/drawing/2010/main"/>
                      </a:ext>
                    </a:extLst>
                  </pic:spPr>
                </pic:pic>
              </a:graphicData>
            </a:graphic>
          </wp:inline>
        </w:drawing>
      </w:r>
    </w:p>
    <w:p w14:paraId="13EC3CD6" w14:textId="77777777" w:rsidR="004E1B8F" w:rsidRPr="00DA2DE2" w:rsidRDefault="004E1B8F" w:rsidP="004E1B8F">
      <w:pPr>
        <w:spacing w:after="0"/>
        <w:jc w:val="center"/>
        <w:rPr>
          <w:rFonts w:ascii="Arial" w:eastAsia="Times New Roman" w:hAnsi="Arial" w:cs="Arial"/>
          <w:sz w:val="20"/>
          <w:szCs w:val="20"/>
          <w:lang w:val="en-GB"/>
        </w:rPr>
      </w:pPr>
      <w:r w:rsidRPr="00DA2DE2">
        <w:rPr>
          <w:rFonts w:ascii="Arial" w:eastAsia="Times New Roman" w:hAnsi="Arial" w:cs="Arial"/>
          <w:sz w:val="20"/>
          <w:szCs w:val="20"/>
          <w:lang w:val="en-GB"/>
        </w:rPr>
        <w:t>(b)</w:t>
      </w:r>
    </w:p>
    <w:p w14:paraId="68E6939D" w14:textId="339201E8" w:rsidR="004E1B8F" w:rsidRPr="00DA2DE2" w:rsidRDefault="004E1B8F" w:rsidP="004E1B8F">
      <w:pPr>
        <w:pStyle w:val="FigureCaption"/>
        <w:jc w:val="both"/>
        <w:rPr>
          <w:rFonts w:ascii="Arial" w:eastAsia="Times New Roman" w:hAnsi="Arial" w:cs="Arial"/>
          <w:lang w:val="en-GB"/>
        </w:rPr>
      </w:pPr>
      <w:r w:rsidRPr="00DA2DE2">
        <w:rPr>
          <w:rFonts w:ascii="Arial" w:eastAsia="Times New Roman" w:hAnsi="Arial" w:cs="Arial"/>
          <w:b/>
          <w:bCs/>
          <w:lang w:val="en-GB"/>
        </w:rPr>
        <w:t>Supplementary Figure 1.</w:t>
      </w:r>
      <w:r w:rsidRPr="00DA2DE2">
        <w:rPr>
          <w:rFonts w:ascii="Arial" w:eastAsia="Times New Roman" w:hAnsi="Arial" w:cs="Arial"/>
          <w:lang w:val="en-GB"/>
        </w:rPr>
        <w:t xml:space="preserve"> </w:t>
      </w:r>
      <w:proofErr w:type="spellStart"/>
      <w:r w:rsidRPr="00DA2DE2">
        <w:rPr>
          <w:rFonts w:ascii="Arial" w:eastAsia="Times New Roman" w:hAnsi="Arial" w:cs="Arial"/>
          <w:lang w:val="en-GB"/>
        </w:rPr>
        <w:t>Polyfytos</w:t>
      </w:r>
      <w:proofErr w:type="spellEnd"/>
      <w:r w:rsidRPr="00DA2DE2">
        <w:rPr>
          <w:rFonts w:ascii="Arial" w:eastAsia="Times New Roman" w:hAnsi="Arial" w:cs="Arial"/>
          <w:lang w:val="en-GB"/>
        </w:rPr>
        <w:t xml:space="preserve"> bridge: (a) general view (Image source: Wikimedia Commons, licensed under Creative Commons Attribution Share Alike 3.0); (b) longitudinal section and northern part of the bridge with the cantilevers (reproduced from </w:t>
      </w:r>
      <w:r w:rsidR="00A63139" w:rsidRPr="00DA2DE2">
        <w:rPr>
          <w:rFonts w:ascii="Arial" w:eastAsia="Times New Roman" w:hAnsi="Arial" w:cs="Arial"/>
          <w:lang w:val="en-GB"/>
        </w:rPr>
        <w:t>[</w:t>
      </w:r>
      <w:r w:rsidR="00F46997">
        <w:rPr>
          <w:rFonts w:ascii="Arial" w:eastAsia="Times New Roman" w:hAnsi="Arial" w:cs="Arial"/>
          <w:lang w:val="en-GB"/>
        </w:rPr>
        <w:fldChar w:fldCharType="begin"/>
      </w:r>
      <w:r w:rsidR="00F46997">
        <w:rPr>
          <w:rFonts w:ascii="Arial" w:eastAsia="Times New Roman" w:hAnsi="Arial" w:cs="Arial"/>
          <w:lang w:val="en-GB"/>
        </w:rPr>
        <w:instrText xml:space="preserve"> REF _Ref219357048 \r \h </w:instrText>
      </w:r>
      <w:r w:rsidR="00F46997">
        <w:rPr>
          <w:rFonts w:ascii="Arial" w:eastAsia="Times New Roman" w:hAnsi="Arial" w:cs="Arial"/>
          <w:lang w:val="en-GB"/>
        </w:rPr>
      </w:r>
      <w:r w:rsidR="00F46997">
        <w:rPr>
          <w:rFonts w:ascii="Arial" w:eastAsia="Times New Roman" w:hAnsi="Arial" w:cs="Arial"/>
          <w:lang w:val="en-GB"/>
        </w:rPr>
        <w:fldChar w:fldCharType="separate"/>
      </w:r>
      <w:r w:rsidR="00D515C8">
        <w:rPr>
          <w:rFonts w:ascii="Arial" w:eastAsia="Times New Roman" w:hAnsi="Arial" w:cs="Arial"/>
          <w:lang w:val="en-GB"/>
        </w:rPr>
        <w:t>1</w:t>
      </w:r>
      <w:r w:rsidR="00F46997">
        <w:rPr>
          <w:rFonts w:ascii="Arial" w:eastAsia="Times New Roman" w:hAnsi="Arial" w:cs="Arial"/>
          <w:lang w:val="en-GB"/>
        </w:rPr>
        <w:fldChar w:fldCharType="end"/>
      </w:r>
      <w:r w:rsidR="00A63139" w:rsidRPr="00DA2DE2">
        <w:rPr>
          <w:rFonts w:ascii="Arial" w:eastAsia="Times New Roman" w:hAnsi="Arial" w:cs="Arial"/>
          <w:lang w:val="en-GB"/>
        </w:rPr>
        <w:t>]</w:t>
      </w:r>
      <w:r w:rsidRPr="00DA2DE2">
        <w:rPr>
          <w:rFonts w:ascii="Arial" w:eastAsia="Times New Roman" w:hAnsi="Arial" w:cs="Arial"/>
          <w:lang w:val="en-GB"/>
        </w:rPr>
        <w:t>).</w:t>
      </w:r>
    </w:p>
    <w:p w14:paraId="616DFE4E" w14:textId="0FFE964E" w:rsidR="009875EE" w:rsidRDefault="004E1B8F" w:rsidP="009875EE">
      <w:pPr>
        <w:jc w:val="both"/>
        <w:rPr>
          <w:rFonts w:ascii="Arial" w:eastAsia="Times New Roman" w:hAnsi="Arial" w:cs="Arial"/>
          <w:lang w:val="en-GB"/>
        </w:rPr>
      </w:pPr>
      <w:r w:rsidRPr="00DA2DE2">
        <w:rPr>
          <w:rFonts w:ascii="Arial" w:eastAsia="Times New Roman" w:hAnsi="Arial" w:cs="Arial"/>
          <w:lang w:val="en-GB"/>
        </w:rPr>
        <w:t xml:space="preserve">The northernmost part of the </w:t>
      </w:r>
      <w:r w:rsidR="00357138">
        <w:rPr>
          <w:rFonts w:ascii="Arial" w:eastAsia="Times New Roman" w:hAnsi="Arial" w:cs="Arial"/>
          <w:lang w:val="en-GB"/>
        </w:rPr>
        <w:t>bridge</w:t>
      </w:r>
      <w:r w:rsidRPr="00DA2DE2">
        <w:rPr>
          <w:rFonts w:ascii="Arial" w:eastAsia="Times New Roman" w:hAnsi="Arial" w:cs="Arial"/>
          <w:lang w:val="en-GB"/>
        </w:rPr>
        <w:t xml:space="preserve"> (</w:t>
      </w:r>
      <w:proofErr w:type="spellStart"/>
      <w:r w:rsidRPr="00DA2DE2">
        <w:rPr>
          <w:rFonts w:ascii="Arial" w:eastAsia="Times New Roman" w:hAnsi="Arial" w:cs="Arial"/>
          <w:lang w:val="en-GB"/>
        </w:rPr>
        <w:t>Kozani</w:t>
      </w:r>
      <w:proofErr w:type="spellEnd"/>
      <w:r w:rsidRPr="00DA2DE2">
        <w:rPr>
          <w:rFonts w:ascii="Arial" w:eastAsia="Times New Roman" w:hAnsi="Arial" w:cs="Arial"/>
          <w:lang w:val="en-GB"/>
        </w:rPr>
        <w:t xml:space="preserve"> direction in </w:t>
      </w:r>
      <w:r w:rsidR="007E20A9" w:rsidRPr="00DA2DE2">
        <w:rPr>
          <w:rFonts w:ascii="Arial" w:eastAsia="Times New Roman" w:hAnsi="Arial" w:cs="Arial"/>
          <w:lang w:val="en-GB"/>
        </w:rPr>
        <w:t xml:space="preserve">Supplementary </w:t>
      </w:r>
      <w:r w:rsidRPr="00DA2DE2">
        <w:rPr>
          <w:rFonts w:ascii="Arial" w:eastAsia="Times New Roman" w:hAnsi="Arial" w:cs="Arial"/>
          <w:lang w:val="en-GB"/>
        </w:rPr>
        <w:t xml:space="preserve">Figure </w:t>
      </w:r>
      <w:r w:rsidR="007E20A9" w:rsidRPr="00DA2DE2">
        <w:rPr>
          <w:rFonts w:ascii="Arial" w:eastAsia="Times New Roman" w:hAnsi="Arial" w:cs="Arial"/>
          <w:lang w:val="en-GB"/>
        </w:rPr>
        <w:t>1</w:t>
      </w:r>
      <w:r w:rsidRPr="00DA2DE2">
        <w:rPr>
          <w:rFonts w:ascii="Arial" w:eastAsia="Times New Roman" w:hAnsi="Arial" w:cs="Arial"/>
          <w:lang w:val="en-GB"/>
        </w:rPr>
        <w:t xml:space="preserve">b) consists of 4 long spans located over the tallest piers; these spans were executed by the balanced cantilever method. Segmental balanced cantilevers were cast monolithically on piers #22, #23 and #24, producing six cantilever arms of 30 m projecting from the pier faces. Adjacent cantilevers are connected by 40 m long precast, simply supported members, yielding an overall span sequence in the cantilever zone of 70 m, 100 m, 100 m and 70 m (see </w:t>
      </w:r>
      <w:r w:rsidR="007E20A9" w:rsidRPr="00DA2DE2">
        <w:rPr>
          <w:rFonts w:ascii="Arial" w:eastAsia="Times New Roman" w:hAnsi="Arial" w:cs="Arial"/>
          <w:lang w:val="en-GB"/>
        </w:rPr>
        <w:t xml:space="preserve">Supplementary </w:t>
      </w:r>
      <w:r w:rsidRPr="00DA2DE2">
        <w:rPr>
          <w:rFonts w:ascii="Arial" w:eastAsia="Times New Roman" w:hAnsi="Arial" w:cs="Arial"/>
          <w:lang w:val="en-GB"/>
        </w:rPr>
        <w:t>Fig</w:t>
      </w:r>
      <w:r w:rsidR="007E20A9" w:rsidRPr="00DA2DE2">
        <w:rPr>
          <w:rFonts w:ascii="Arial" w:eastAsia="Times New Roman" w:hAnsi="Arial" w:cs="Arial"/>
          <w:lang w:val="en-GB"/>
        </w:rPr>
        <w:t xml:space="preserve">ure </w:t>
      </w:r>
      <w:r w:rsidRPr="00DA2DE2">
        <w:rPr>
          <w:rFonts w:ascii="Arial" w:eastAsia="Times New Roman" w:hAnsi="Arial" w:cs="Arial"/>
          <w:lang w:val="en-GB"/>
        </w:rPr>
        <w:t xml:space="preserve">2b). Original drawings, supplemented by contemporary point-cloud verification, provide the basis for assessing geometry, member sizes and construction details for the segment corresponding to piers #22, #23 and #24, which together account for approximately 260 m of the overall structure and represent the cantilevered portion under study (see </w:t>
      </w:r>
      <w:r w:rsidR="007E20A9" w:rsidRPr="00DA2DE2">
        <w:rPr>
          <w:rFonts w:ascii="Arial" w:eastAsia="Times New Roman" w:hAnsi="Arial" w:cs="Arial"/>
          <w:lang w:val="en-GB"/>
        </w:rPr>
        <w:t xml:space="preserve">Supplementary </w:t>
      </w:r>
      <w:r w:rsidRPr="00DA2DE2">
        <w:rPr>
          <w:rFonts w:ascii="Arial" w:eastAsia="Times New Roman" w:hAnsi="Arial" w:cs="Arial"/>
          <w:lang w:val="en-GB"/>
        </w:rPr>
        <w:t>Fig</w:t>
      </w:r>
      <w:r w:rsidR="007E20A9" w:rsidRPr="00DA2DE2">
        <w:rPr>
          <w:rFonts w:ascii="Arial" w:eastAsia="Times New Roman" w:hAnsi="Arial" w:cs="Arial"/>
          <w:lang w:val="en-GB"/>
        </w:rPr>
        <w:t>ure 2b</w:t>
      </w:r>
      <w:r w:rsidRPr="00DA2DE2">
        <w:rPr>
          <w:rFonts w:ascii="Arial" w:eastAsia="Times New Roman" w:hAnsi="Arial" w:cs="Arial"/>
          <w:lang w:val="en-GB"/>
        </w:rPr>
        <w:t>).</w:t>
      </w:r>
      <w:r w:rsidR="009875EE">
        <w:rPr>
          <w:rFonts w:ascii="Arial" w:eastAsia="Times New Roman" w:hAnsi="Arial" w:cs="Arial"/>
          <w:lang w:val="en-GB"/>
        </w:rPr>
        <w:t xml:space="preserve"> </w:t>
      </w:r>
      <w:r w:rsidR="009875EE" w:rsidRPr="009875EE">
        <w:rPr>
          <w:rFonts w:ascii="Arial" w:eastAsia="Times New Roman" w:hAnsi="Arial" w:cs="Arial"/>
          <w:lang w:val="en-GB" w:eastAsia="it-IT"/>
        </w:rPr>
        <w:t>The bridge</w:t>
      </w:r>
      <w:r w:rsidR="009875EE" w:rsidRPr="009875EE">
        <w:rPr>
          <w:rFonts w:ascii="Arial" w:eastAsia="Times New Roman" w:hAnsi="Arial" w:cs="Arial"/>
          <w:lang w:val="en-GB" w:eastAsia="it-IT"/>
        </w:rPr>
        <w:t xml:space="preserve"> </w:t>
      </w:r>
      <w:r w:rsidR="009875EE" w:rsidRPr="009875EE">
        <w:rPr>
          <w:rFonts w:ascii="Arial" w:eastAsia="Times New Roman" w:hAnsi="Arial" w:cs="Arial"/>
          <w:lang w:val="en-GB" w:eastAsia="it-IT"/>
        </w:rPr>
        <w:t>plays a crucial role in the transport network, with limited redundancy</w:t>
      </w:r>
      <w:r w:rsidR="009875EE">
        <w:rPr>
          <w:rFonts w:ascii="Arial" w:eastAsia="Times New Roman" w:hAnsi="Arial" w:cs="Arial"/>
          <w:lang w:val="en-GB" w:eastAsia="it-IT"/>
        </w:rPr>
        <w:t xml:space="preserve">, as </w:t>
      </w:r>
      <w:r w:rsidR="009875EE" w:rsidRPr="009875EE">
        <w:rPr>
          <w:rFonts w:ascii="Arial" w:eastAsia="Times New Roman" w:hAnsi="Arial" w:cs="Arial"/>
          <w:lang w:val="en-GB" w:eastAsia="it-IT"/>
        </w:rPr>
        <w:t xml:space="preserve">a prolonged closure </w:t>
      </w:r>
      <w:r w:rsidR="009875EE">
        <w:rPr>
          <w:rFonts w:ascii="Arial" w:eastAsia="Times New Roman" w:hAnsi="Arial" w:cs="Arial"/>
          <w:lang w:val="en-GB" w:eastAsia="it-IT"/>
        </w:rPr>
        <w:t>has led in the past</w:t>
      </w:r>
      <w:r w:rsidR="009875EE" w:rsidRPr="009875EE">
        <w:rPr>
          <w:rFonts w:ascii="Arial" w:eastAsia="Times New Roman" w:hAnsi="Arial" w:cs="Arial"/>
          <w:lang w:val="en-GB" w:eastAsia="it-IT"/>
        </w:rPr>
        <w:t xml:space="preserve"> to substantial detours with significant consequences for mobility and the regional economy</w:t>
      </w:r>
      <w:r w:rsidR="00281186">
        <w:rPr>
          <w:rFonts w:ascii="Arial" w:eastAsia="Times New Roman" w:hAnsi="Arial" w:cs="Arial"/>
          <w:lang w:val="en-GB" w:eastAsia="it-IT"/>
        </w:rPr>
        <w:t xml:space="preserve"> [</w:t>
      </w:r>
      <w:r w:rsidR="00281186">
        <w:rPr>
          <w:rFonts w:ascii="Arial" w:eastAsia="Times New Roman" w:hAnsi="Arial" w:cs="Arial"/>
          <w:lang w:val="en-GB" w:eastAsia="it-IT"/>
        </w:rPr>
        <w:fldChar w:fldCharType="begin"/>
      </w:r>
      <w:r w:rsidR="00281186">
        <w:rPr>
          <w:rFonts w:ascii="Arial" w:eastAsia="Times New Roman" w:hAnsi="Arial" w:cs="Arial"/>
          <w:lang w:val="en-GB" w:eastAsia="it-IT"/>
        </w:rPr>
        <w:instrText xml:space="preserve"> REF _Ref220861034 \r \h </w:instrText>
      </w:r>
      <w:r w:rsidR="00281186">
        <w:rPr>
          <w:rFonts w:ascii="Arial" w:eastAsia="Times New Roman" w:hAnsi="Arial" w:cs="Arial"/>
          <w:lang w:val="en-GB" w:eastAsia="it-IT"/>
        </w:rPr>
      </w:r>
      <w:r w:rsidR="00281186">
        <w:rPr>
          <w:rFonts w:ascii="Arial" w:eastAsia="Times New Roman" w:hAnsi="Arial" w:cs="Arial"/>
          <w:lang w:val="en-GB" w:eastAsia="it-IT"/>
        </w:rPr>
        <w:fldChar w:fldCharType="separate"/>
      </w:r>
      <w:r w:rsidR="00D515C8">
        <w:rPr>
          <w:rFonts w:ascii="Arial" w:eastAsia="Times New Roman" w:hAnsi="Arial" w:cs="Arial"/>
          <w:lang w:val="en-GB" w:eastAsia="it-IT"/>
        </w:rPr>
        <w:t>2</w:t>
      </w:r>
      <w:r w:rsidR="00281186">
        <w:rPr>
          <w:rFonts w:ascii="Arial" w:eastAsia="Times New Roman" w:hAnsi="Arial" w:cs="Arial"/>
          <w:lang w:val="en-GB" w:eastAsia="it-IT"/>
        </w:rPr>
        <w:fldChar w:fldCharType="end"/>
      </w:r>
      <w:r w:rsidR="00281186">
        <w:rPr>
          <w:rFonts w:ascii="Arial" w:eastAsia="Times New Roman" w:hAnsi="Arial" w:cs="Arial"/>
          <w:lang w:val="en-GB" w:eastAsia="it-IT"/>
        </w:rPr>
        <w:t>]</w:t>
      </w:r>
      <w:r w:rsidR="009875EE" w:rsidRPr="009875EE">
        <w:rPr>
          <w:rFonts w:ascii="Arial" w:eastAsia="Times New Roman" w:hAnsi="Arial" w:cs="Arial"/>
          <w:lang w:val="en-GB" w:eastAsia="it-IT"/>
        </w:rPr>
        <w:t>. Accordingly, owner and public authority’s objectives, together with available guidelines and benchmarks, require recovery targets that are both ambitious and realistic.</w:t>
      </w:r>
    </w:p>
    <w:p w14:paraId="2BEDEB70" w14:textId="77777777" w:rsidR="009875EE" w:rsidRPr="00DA2DE2" w:rsidRDefault="009875EE" w:rsidP="004E1B8F">
      <w:pPr>
        <w:jc w:val="both"/>
        <w:rPr>
          <w:rFonts w:ascii="Arial" w:eastAsia="Times New Roman" w:hAnsi="Arial" w:cs="Arial"/>
          <w:lang w:val="en-GB"/>
        </w:rPr>
      </w:pPr>
    </w:p>
    <w:p w14:paraId="3ED3D842" w14:textId="77777777" w:rsidR="004E1B8F" w:rsidRPr="00DA2DE2" w:rsidRDefault="004E1B8F" w:rsidP="00E33F7B">
      <w:pPr>
        <w:spacing w:before="240"/>
        <w:jc w:val="center"/>
        <w:rPr>
          <w:rFonts w:ascii="Arial" w:eastAsia="Times New Roman" w:hAnsi="Arial" w:cs="Arial"/>
          <w:color w:val="000000" w:themeColor="text1"/>
          <w:lang w:val="en-GB"/>
        </w:rPr>
      </w:pPr>
      <w:r w:rsidRPr="00DA2DE2">
        <w:rPr>
          <w:rFonts w:ascii="Arial" w:eastAsia="Times New Roman" w:hAnsi="Arial" w:cs="Arial"/>
          <w:noProof/>
          <w:color w:val="000000" w:themeColor="text1"/>
          <w:lang w:val="en-GB"/>
        </w:rPr>
        <w:lastRenderedPageBreak/>
        <w:drawing>
          <wp:inline distT="0" distB="0" distL="0" distR="0" wp14:anchorId="34108534" wp14:editId="78D2FD38">
            <wp:extent cx="4942162" cy="3082083"/>
            <wp:effectExtent l="0" t="0" r="0" b="444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039" b="6868"/>
                    <a:stretch>
                      <a:fillRect/>
                    </a:stretch>
                  </pic:blipFill>
                  <pic:spPr bwMode="auto">
                    <a:xfrm>
                      <a:off x="0" y="0"/>
                      <a:ext cx="4966694" cy="3097382"/>
                    </a:xfrm>
                    <a:prstGeom prst="rect">
                      <a:avLst/>
                    </a:prstGeom>
                    <a:noFill/>
                    <a:ln>
                      <a:noFill/>
                    </a:ln>
                    <a:extLst>
                      <a:ext uri="{53640926-AAD7-44D8-BBD7-CCE9431645EC}">
                        <a14:shadowObscured xmlns:a14="http://schemas.microsoft.com/office/drawing/2010/main"/>
                      </a:ext>
                    </a:extLst>
                  </pic:spPr>
                </pic:pic>
              </a:graphicData>
            </a:graphic>
          </wp:inline>
        </w:drawing>
      </w:r>
    </w:p>
    <w:p w14:paraId="601C3118" w14:textId="77777777" w:rsidR="004E1B8F" w:rsidRPr="00DA2DE2" w:rsidRDefault="004E1B8F" w:rsidP="004E1B8F">
      <w:pPr>
        <w:spacing w:after="0"/>
        <w:jc w:val="center"/>
        <w:rPr>
          <w:rFonts w:ascii="Arial" w:eastAsia="Times New Roman" w:hAnsi="Arial" w:cs="Arial"/>
          <w:color w:val="000000" w:themeColor="text1"/>
          <w:sz w:val="20"/>
          <w:szCs w:val="20"/>
          <w:lang w:val="en-GB"/>
        </w:rPr>
      </w:pPr>
      <w:r w:rsidRPr="00DA2DE2">
        <w:rPr>
          <w:rFonts w:ascii="Arial" w:eastAsia="Times New Roman" w:hAnsi="Arial" w:cs="Arial"/>
          <w:color w:val="000000" w:themeColor="text1"/>
          <w:sz w:val="20"/>
          <w:szCs w:val="20"/>
          <w:lang w:val="en-GB"/>
        </w:rPr>
        <w:t>(a)</w:t>
      </w:r>
    </w:p>
    <w:p w14:paraId="34944CBF" w14:textId="77777777" w:rsidR="004E1B8F" w:rsidRPr="00DA2DE2" w:rsidRDefault="004E1B8F" w:rsidP="00E33F7B">
      <w:pPr>
        <w:spacing w:before="240" w:after="0"/>
        <w:jc w:val="center"/>
        <w:rPr>
          <w:rFonts w:ascii="Arial" w:eastAsia="Times New Roman" w:hAnsi="Arial" w:cs="Arial"/>
          <w:color w:val="000000" w:themeColor="text1"/>
          <w:sz w:val="20"/>
          <w:szCs w:val="20"/>
          <w:lang w:val="en-GB"/>
        </w:rPr>
      </w:pPr>
      <w:r w:rsidRPr="00DA2DE2">
        <w:rPr>
          <w:rFonts w:ascii="Arial" w:eastAsia="Times New Roman" w:hAnsi="Arial" w:cs="Arial"/>
          <w:noProof/>
          <w:color w:val="000000" w:themeColor="text1"/>
          <w:sz w:val="20"/>
          <w:szCs w:val="20"/>
          <w:lang w:val="en-GB"/>
        </w:rPr>
        <w:drawing>
          <wp:inline distT="0" distB="0" distL="0" distR="0" wp14:anchorId="51494BAC" wp14:editId="03E8E8EB">
            <wp:extent cx="2755637" cy="1948466"/>
            <wp:effectExtent l="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76"/>
                    <a:stretch>
                      <a:fillRect/>
                    </a:stretch>
                  </pic:blipFill>
                  <pic:spPr bwMode="auto">
                    <a:xfrm>
                      <a:off x="0" y="0"/>
                      <a:ext cx="2775868" cy="1962771"/>
                    </a:xfrm>
                    <a:prstGeom prst="rect">
                      <a:avLst/>
                    </a:prstGeom>
                    <a:noFill/>
                    <a:ln>
                      <a:noFill/>
                    </a:ln>
                    <a:extLst>
                      <a:ext uri="{53640926-AAD7-44D8-BBD7-CCE9431645EC}">
                        <a14:shadowObscured xmlns:a14="http://schemas.microsoft.com/office/drawing/2010/main"/>
                      </a:ext>
                    </a:extLst>
                  </pic:spPr>
                </pic:pic>
              </a:graphicData>
            </a:graphic>
          </wp:inline>
        </w:drawing>
      </w:r>
      <w:r w:rsidRPr="00DA2DE2">
        <w:rPr>
          <w:noProof/>
          <w:sz w:val="20"/>
          <w:szCs w:val="20"/>
          <w:lang w:val="en-GB"/>
        </w:rPr>
        <w:drawing>
          <wp:inline distT="0" distB="0" distL="0" distR="0" wp14:anchorId="193C3446" wp14:editId="35AE1E0C">
            <wp:extent cx="2711005" cy="1962831"/>
            <wp:effectExtent l="0" t="0" r="0" b="0"/>
            <wp:docPr id="8" name="Picture 2" descr="A person standing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erson standing on a bridg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156" cy="1979593"/>
                    </a:xfrm>
                    <a:prstGeom prst="rect">
                      <a:avLst/>
                    </a:prstGeom>
                    <a:noFill/>
                    <a:ln>
                      <a:noFill/>
                    </a:ln>
                  </pic:spPr>
                </pic:pic>
              </a:graphicData>
            </a:graphic>
          </wp:inline>
        </w:drawing>
      </w:r>
    </w:p>
    <w:p w14:paraId="38510BDC" w14:textId="77777777" w:rsidR="004E1B8F" w:rsidRPr="00DA2DE2" w:rsidRDefault="004E1B8F" w:rsidP="004E1B8F">
      <w:pPr>
        <w:spacing w:before="240" w:after="0"/>
        <w:jc w:val="center"/>
        <w:rPr>
          <w:rFonts w:ascii="Arial" w:eastAsia="Times New Roman" w:hAnsi="Arial" w:cs="Arial"/>
          <w:color w:val="000000" w:themeColor="text1"/>
          <w:sz w:val="20"/>
          <w:szCs w:val="20"/>
          <w:lang w:val="en-GB"/>
        </w:rPr>
      </w:pPr>
      <w:r w:rsidRPr="00DA2DE2">
        <w:rPr>
          <w:rFonts w:ascii="Arial" w:eastAsia="Times New Roman" w:hAnsi="Arial" w:cs="Arial"/>
          <w:color w:val="000000" w:themeColor="text1"/>
          <w:sz w:val="20"/>
          <w:szCs w:val="20"/>
          <w:lang w:val="en-GB"/>
        </w:rPr>
        <w:t>(b)</w:t>
      </w:r>
      <w:r w:rsidRPr="00DA2DE2">
        <w:rPr>
          <w:rFonts w:ascii="Arial" w:eastAsia="Times New Roman" w:hAnsi="Arial" w:cs="Arial"/>
          <w:color w:val="000000" w:themeColor="text1"/>
          <w:sz w:val="20"/>
          <w:szCs w:val="20"/>
          <w:lang w:val="en-GB"/>
        </w:rPr>
        <w:tab/>
      </w:r>
      <w:r w:rsidRPr="00DA2DE2">
        <w:rPr>
          <w:rFonts w:ascii="Arial" w:eastAsia="Times New Roman" w:hAnsi="Arial" w:cs="Arial"/>
          <w:color w:val="000000" w:themeColor="text1"/>
          <w:sz w:val="20"/>
          <w:szCs w:val="20"/>
          <w:lang w:val="en-GB"/>
        </w:rPr>
        <w:tab/>
      </w:r>
      <w:r w:rsidRPr="00DA2DE2">
        <w:rPr>
          <w:rFonts w:ascii="Arial" w:eastAsia="Times New Roman" w:hAnsi="Arial" w:cs="Arial"/>
          <w:color w:val="000000" w:themeColor="text1"/>
          <w:sz w:val="20"/>
          <w:szCs w:val="20"/>
          <w:lang w:val="en-GB"/>
        </w:rPr>
        <w:tab/>
      </w:r>
      <w:r w:rsidRPr="00DA2DE2">
        <w:rPr>
          <w:rFonts w:ascii="Arial" w:eastAsia="Times New Roman" w:hAnsi="Arial" w:cs="Arial"/>
          <w:color w:val="000000" w:themeColor="text1"/>
          <w:sz w:val="20"/>
          <w:szCs w:val="20"/>
          <w:lang w:val="en-GB"/>
        </w:rPr>
        <w:tab/>
      </w:r>
      <w:r w:rsidRPr="00DA2DE2">
        <w:rPr>
          <w:rFonts w:ascii="Arial" w:eastAsia="Times New Roman" w:hAnsi="Arial" w:cs="Arial"/>
          <w:color w:val="000000" w:themeColor="text1"/>
          <w:sz w:val="20"/>
          <w:szCs w:val="20"/>
          <w:lang w:val="en-GB"/>
        </w:rPr>
        <w:tab/>
      </w:r>
      <w:r w:rsidRPr="00DA2DE2">
        <w:rPr>
          <w:rFonts w:ascii="Arial" w:eastAsia="Times New Roman" w:hAnsi="Arial" w:cs="Arial"/>
          <w:color w:val="000000" w:themeColor="text1"/>
          <w:sz w:val="20"/>
          <w:szCs w:val="20"/>
          <w:lang w:val="en-GB"/>
        </w:rPr>
        <w:tab/>
        <w:t>(c)</w:t>
      </w:r>
    </w:p>
    <w:p w14:paraId="1840D3E9" w14:textId="7EEC1626" w:rsidR="004E1B8F" w:rsidRPr="00DA2DE2" w:rsidRDefault="004E1B8F" w:rsidP="004E1B8F">
      <w:pPr>
        <w:pStyle w:val="FigureCaption"/>
        <w:jc w:val="both"/>
        <w:rPr>
          <w:rFonts w:ascii="Arial" w:eastAsia="Times New Roman" w:hAnsi="Arial" w:cs="Arial"/>
          <w:lang w:val="en-GB"/>
        </w:rPr>
      </w:pPr>
      <w:r w:rsidRPr="00DA2DE2">
        <w:rPr>
          <w:rFonts w:ascii="Arial" w:eastAsia="Times New Roman" w:hAnsi="Arial" w:cs="Arial"/>
          <w:b/>
          <w:bCs/>
          <w:lang w:val="en-GB"/>
        </w:rPr>
        <w:t>Supplementary Figure 2.</w:t>
      </w:r>
      <w:r w:rsidRPr="00DA2DE2">
        <w:rPr>
          <w:rFonts w:ascii="Arial" w:eastAsia="Times New Roman" w:hAnsi="Arial" w:cs="Arial"/>
          <w:lang w:val="en-GB"/>
        </w:rPr>
        <w:t xml:space="preserve"> </w:t>
      </w:r>
      <w:proofErr w:type="spellStart"/>
      <w:r w:rsidRPr="00DA2DE2">
        <w:rPr>
          <w:rFonts w:ascii="Arial" w:eastAsia="Times New Roman" w:hAnsi="Arial" w:cs="Arial"/>
          <w:lang w:val="en-GB"/>
        </w:rPr>
        <w:t>Polyfytos</w:t>
      </w:r>
      <w:proofErr w:type="spellEnd"/>
      <w:r w:rsidRPr="00DA2DE2">
        <w:rPr>
          <w:rFonts w:ascii="Arial" w:eastAsia="Times New Roman" w:hAnsi="Arial" w:cs="Arial"/>
          <w:lang w:val="en-GB"/>
        </w:rPr>
        <w:t xml:space="preserve"> bridge digital twin (DT): (a) overall DT view; (b) elevation-coded segmentation (colour map); (c) detail of a half-joint (Source: </w:t>
      </w:r>
      <w:r w:rsidR="00A63139" w:rsidRPr="00DA2DE2">
        <w:rPr>
          <w:rFonts w:ascii="Arial" w:eastAsia="Times New Roman" w:hAnsi="Arial" w:cs="Arial"/>
          <w:lang w:val="en-GB"/>
        </w:rPr>
        <w:t>[</w:t>
      </w:r>
      <w:r w:rsidR="00F46997">
        <w:rPr>
          <w:rFonts w:ascii="Arial" w:eastAsia="Times New Roman" w:hAnsi="Arial" w:cs="Arial"/>
          <w:lang w:val="en-GB"/>
        </w:rPr>
        <w:fldChar w:fldCharType="begin"/>
      </w:r>
      <w:r w:rsidR="00F46997">
        <w:rPr>
          <w:rFonts w:ascii="Arial" w:eastAsia="Times New Roman" w:hAnsi="Arial" w:cs="Arial"/>
          <w:lang w:val="en-GB"/>
        </w:rPr>
        <w:instrText xml:space="preserve"> REF _Ref219357093 \r \h </w:instrText>
      </w:r>
      <w:r w:rsidR="00F46997">
        <w:rPr>
          <w:rFonts w:ascii="Arial" w:eastAsia="Times New Roman" w:hAnsi="Arial" w:cs="Arial"/>
          <w:lang w:val="en-GB"/>
        </w:rPr>
      </w:r>
      <w:r w:rsidR="00F46997">
        <w:rPr>
          <w:rFonts w:ascii="Arial" w:eastAsia="Times New Roman" w:hAnsi="Arial" w:cs="Arial"/>
          <w:lang w:val="en-GB"/>
        </w:rPr>
        <w:fldChar w:fldCharType="separate"/>
      </w:r>
      <w:r w:rsidR="00D515C8">
        <w:rPr>
          <w:rFonts w:ascii="Arial" w:eastAsia="Times New Roman" w:hAnsi="Arial" w:cs="Arial"/>
          <w:lang w:val="en-GB"/>
        </w:rPr>
        <w:t>3</w:t>
      </w:r>
      <w:r w:rsidR="00F46997">
        <w:rPr>
          <w:rFonts w:ascii="Arial" w:eastAsia="Times New Roman" w:hAnsi="Arial" w:cs="Arial"/>
          <w:lang w:val="en-GB"/>
        </w:rPr>
        <w:fldChar w:fldCharType="end"/>
      </w:r>
      <w:r w:rsidR="00A63139" w:rsidRPr="00DA2DE2">
        <w:rPr>
          <w:rFonts w:ascii="Arial" w:eastAsia="Times New Roman" w:hAnsi="Arial" w:cs="Arial"/>
          <w:lang w:val="en-GB"/>
        </w:rPr>
        <w:t>]</w:t>
      </w:r>
      <w:r w:rsidR="001B2258">
        <w:rPr>
          <w:rFonts w:ascii="Arial" w:eastAsia="Times New Roman" w:hAnsi="Arial" w:cs="Arial"/>
          <w:lang w:val="en-GB"/>
        </w:rPr>
        <w:t>, owned by MetaInfrastructure</w:t>
      </w:r>
      <w:r w:rsidR="00A63139" w:rsidRPr="00DA2DE2">
        <w:rPr>
          <w:rFonts w:ascii="Arial" w:eastAsia="Times New Roman" w:hAnsi="Arial" w:cs="Arial"/>
          <w:lang w:val="en-GB"/>
        </w:rPr>
        <w:t>)</w:t>
      </w:r>
      <w:r w:rsidRPr="00DA2DE2">
        <w:rPr>
          <w:rFonts w:ascii="Arial" w:eastAsia="Times New Roman" w:hAnsi="Arial" w:cs="Arial"/>
          <w:lang w:val="en-GB"/>
        </w:rPr>
        <w:t>.</w:t>
      </w:r>
    </w:p>
    <w:p w14:paraId="0A0E5515" w14:textId="69105C20" w:rsidR="004E1B8F" w:rsidRPr="00DA2DE2" w:rsidRDefault="004E1B8F" w:rsidP="004E1B8F">
      <w:pPr>
        <w:pStyle w:val="Heading3"/>
        <w:rPr>
          <w:rFonts w:ascii="Arial" w:hAnsi="Arial" w:cs="Arial"/>
          <w:color w:val="1F1F1F"/>
          <w:lang w:val="en-GB"/>
        </w:rPr>
      </w:pPr>
      <w:r w:rsidRPr="00DA2DE2">
        <w:rPr>
          <w:rFonts w:ascii="Arial" w:hAnsi="Arial" w:cs="Arial"/>
          <w:b/>
          <w:bCs/>
          <w:color w:val="auto"/>
          <w:sz w:val="26"/>
          <w:szCs w:val="26"/>
          <w:lang w:val="en-GB"/>
        </w:rPr>
        <w:t xml:space="preserve">Identified damage states </w:t>
      </w:r>
    </w:p>
    <w:p w14:paraId="59808865" w14:textId="32D95D49" w:rsidR="004E1B8F" w:rsidRPr="00DA2DE2" w:rsidRDefault="004E1B8F" w:rsidP="004E1B8F">
      <w:pPr>
        <w:jc w:val="both"/>
        <w:rPr>
          <w:rFonts w:ascii="Arial" w:eastAsia="Times New Roman" w:hAnsi="Arial" w:cs="Arial"/>
          <w:lang w:val="en-GB" w:eastAsia="zh-CN"/>
        </w:rPr>
      </w:pPr>
      <w:r w:rsidRPr="00DA2DE2">
        <w:rPr>
          <w:rFonts w:ascii="Arial" w:eastAsia="Times New Roman" w:hAnsi="Arial" w:cs="Arial"/>
          <w:lang w:val="en-GB" w:eastAsia="zh-CN"/>
        </w:rPr>
        <w:t xml:space="preserve">The </w:t>
      </w:r>
      <w:r w:rsidR="00357138">
        <w:rPr>
          <w:rFonts w:ascii="Arial" w:eastAsia="Times New Roman" w:hAnsi="Arial" w:cs="Arial"/>
          <w:lang w:val="en-GB" w:eastAsia="zh-CN"/>
        </w:rPr>
        <w:t>bridge</w:t>
      </w:r>
      <w:r w:rsidRPr="00DA2DE2">
        <w:rPr>
          <w:rFonts w:ascii="Arial" w:eastAsia="Times New Roman" w:hAnsi="Arial" w:cs="Arial"/>
          <w:lang w:val="en-GB" w:eastAsia="zh-CN"/>
        </w:rPr>
        <w:t xml:space="preserve"> is divided into two main structural zones: the approach spans (piers #1–#21), which are formed by simply supported prestressed concrete girders, and the cantilever zone (piers #22–#24), which consists of segmental balanced cantilevers connected by Gerber-type drop-in girders.</w:t>
      </w:r>
      <w:r w:rsidR="009875EE">
        <w:rPr>
          <w:rFonts w:ascii="Arial" w:eastAsia="Times New Roman" w:hAnsi="Arial" w:cs="Arial"/>
          <w:lang w:val="en-GB" w:eastAsia="zh-CN"/>
        </w:rPr>
        <w:t xml:space="preserve"> </w:t>
      </w:r>
      <w:r w:rsidRPr="00DA2DE2">
        <w:rPr>
          <w:rFonts w:ascii="Arial" w:eastAsia="Times New Roman" w:hAnsi="Arial" w:cs="Arial"/>
          <w:lang w:val="en-GB" w:eastAsia="zh-CN"/>
        </w:rPr>
        <w:t>The approach spans exhibit deterioration patterns consistent with long-term service conditions of prestressed concrete bridges. Observed damage includes localized cracking, limited concrete spalling, and surface degradation, which are considered manageable through routine maintenance interventions and do not significantly compromise the global structural behaviour.</w:t>
      </w:r>
      <w:r w:rsidR="009875EE">
        <w:rPr>
          <w:rFonts w:ascii="Arial" w:eastAsia="Times New Roman" w:hAnsi="Arial" w:cs="Arial"/>
          <w:lang w:val="en-GB" w:eastAsia="zh-CN"/>
        </w:rPr>
        <w:t xml:space="preserve"> </w:t>
      </w:r>
      <w:r w:rsidRPr="00DA2DE2">
        <w:rPr>
          <w:rFonts w:ascii="Arial" w:eastAsia="Times New Roman" w:hAnsi="Arial" w:cs="Arial"/>
          <w:lang w:val="en-GB" w:eastAsia="zh-CN"/>
        </w:rPr>
        <w:t xml:space="preserve">In contrast, the cantilever zone shows a markedly more severe and articulated damage condition. Repeated inspections and recent remote sensing surveys document excessive vertical deflections at the cantilever free ends, extended cracking of the box girder sections, deterioration at half-joints and anchorage regions, and signs consistent with prestressing tendon corrosion. These manifestations have led to operational restrictions, including reduced speed limits and weight limits for heavy vehicles, pending definitive intervention </w:t>
      </w:r>
      <w:r w:rsidR="00A63139" w:rsidRPr="00DA2DE2">
        <w:rPr>
          <w:rFonts w:ascii="Arial" w:eastAsia="Times New Roman" w:hAnsi="Arial" w:cs="Arial"/>
          <w:lang w:val="en-GB" w:eastAsia="zh-CN"/>
        </w:rPr>
        <w:t>[</w:t>
      </w:r>
      <w:r w:rsidR="00F46997">
        <w:rPr>
          <w:rFonts w:ascii="Arial" w:eastAsia="Times New Roman" w:hAnsi="Arial" w:cs="Arial"/>
          <w:lang w:val="en-GB" w:eastAsia="zh-CN"/>
        </w:rPr>
        <w:fldChar w:fldCharType="begin"/>
      </w:r>
      <w:r w:rsidR="00F46997">
        <w:rPr>
          <w:rFonts w:ascii="Arial" w:eastAsia="Times New Roman" w:hAnsi="Arial" w:cs="Arial"/>
          <w:lang w:val="en-GB" w:eastAsia="zh-CN"/>
        </w:rPr>
        <w:instrText xml:space="preserve"> REF _Ref219357048 \r \h </w:instrText>
      </w:r>
      <w:r w:rsidR="00F46997">
        <w:rPr>
          <w:rFonts w:ascii="Arial" w:eastAsia="Times New Roman" w:hAnsi="Arial" w:cs="Arial"/>
          <w:lang w:val="en-GB" w:eastAsia="zh-CN"/>
        </w:rPr>
      </w:r>
      <w:r w:rsidR="00F46997">
        <w:rPr>
          <w:rFonts w:ascii="Arial" w:eastAsia="Times New Roman" w:hAnsi="Arial" w:cs="Arial"/>
          <w:lang w:val="en-GB" w:eastAsia="zh-CN"/>
        </w:rPr>
        <w:fldChar w:fldCharType="separate"/>
      </w:r>
      <w:r w:rsidR="00D515C8">
        <w:rPr>
          <w:rFonts w:ascii="Arial" w:eastAsia="Times New Roman" w:hAnsi="Arial" w:cs="Arial"/>
          <w:lang w:val="en-GB" w:eastAsia="zh-CN"/>
        </w:rPr>
        <w:t>1</w:t>
      </w:r>
      <w:r w:rsidR="00F46997">
        <w:rPr>
          <w:rFonts w:ascii="Arial" w:eastAsia="Times New Roman" w:hAnsi="Arial" w:cs="Arial"/>
          <w:lang w:val="en-GB" w:eastAsia="zh-CN"/>
        </w:rPr>
        <w:fldChar w:fldCharType="end"/>
      </w:r>
      <w:r w:rsidR="00A63139" w:rsidRPr="00DA2DE2">
        <w:rPr>
          <w:rFonts w:ascii="Arial" w:eastAsia="Times New Roman" w:hAnsi="Arial" w:cs="Arial"/>
          <w:lang w:val="en-GB" w:eastAsia="zh-CN"/>
        </w:rPr>
        <w:t>]</w:t>
      </w:r>
      <w:r w:rsidRPr="00DA2DE2">
        <w:rPr>
          <w:rFonts w:ascii="Arial" w:eastAsia="Times New Roman" w:hAnsi="Arial" w:cs="Arial"/>
          <w:lang w:val="en-GB" w:eastAsia="zh-CN"/>
        </w:rPr>
        <w:t>.</w:t>
      </w:r>
    </w:p>
    <w:p w14:paraId="32FD679B" w14:textId="534DAB70" w:rsidR="004E1B8F" w:rsidRPr="00DA2DE2" w:rsidRDefault="004E1B8F" w:rsidP="004E1B8F">
      <w:pPr>
        <w:jc w:val="both"/>
        <w:rPr>
          <w:rFonts w:ascii="Arial" w:eastAsia="Times New Roman" w:hAnsi="Arial" w:cs="Arial"/>
          <w:lang w:val="en-GB" w:eastAsia="zh-CN"/>
        </w:rPr>
      </w:pPr>
      <w:r w:rsidRPr="00DA2DE2">
        <w:rPr>
          <w:rFonts w:ascii="Arial" w:eastAsia="Times New Roman" w:hAnsi="Arial" w:cs="Arial"/>
          <w:lang w:val="en-GB" w:eastAsia="zh-CN"/>
        </w:rPr>
        <w:lastRenderedPageBreak/>
        <w:t xml:space="preserve">The observed damage pattern can be interpreted in terms of progressive damage states that have been reported in the literature for </w:t>
      </w:r>
      <w:r w:rsidR="00052B78">
        <w:rPr>
          <w:rFonts w:ascii="Arial" w:eastAsia="Times New Roman" w:hAnsi="Arial" w:cs="Arial"/>
          <w:lang w:val="en-GB" w:eastAsia="zh-CN"/>
        </w:rPr>
        <w:t>the bridge</w:t>
      </w:r>
      <w:r w:rsidR="00D515C8">
        <w:rPr>
          <w:rFonts w:ascii="Arial" w:eastAsia="Times New Roman" w:hAnsi="Arial" w:cs="Arial"/>
          <w:lang w:val="en-GB" w:eastAsia="zh-CN"/>
        </w:rPr>
        <w:t xml:space="preserve"> [</w:t>
      </w:r>
      <w:r w:rsidR="00D515C8">
        <w:rPr>
          <w:rFonts w:ascii="Arial" w:eastAsia="Times New Roman" w:hAnsi="Arial" w:cs="Arial"/>
          <w:lang w:val="en-GB" w:eastAsia="zh-CN"/>
        </w:rPr>
        <w:fldChar w:fldCharType="begin"/>
      </w:r>
      <w:r w:rsidR="00D515C8">
        <w:rPr>
          <w:rFonts w:ascii="Arial" w:eastAsia="Times New Roman" w:hAnsi="Arial" w:cs="Arial"/>
          <w:lang w:val="en-GB" w:eastAsia="zh-CN"/>
        </w:rPr>
        <w:instrText xml:space="preserve"> REF _Ref220861333 \r \h </w:instrText>
      </w:r>
      <w:r w:rsidR="00D515C8">
        <w:rPr>
          <w:rFonts w:ascii="Arial" w:eastAsia="Times New Roman" w:hAnsi="Arial" w:cs="Arial"/>
          <w:lang w:val="en-GB" w:eastAsia="zh-CN"/>
        </w:rPr>
      </w:r>
      <w:r w:rsidR="00D515C8">
        <w:rPr>
          <w:rFonts w:ascii="Arial" w:eastAsia="Times New Roman" w:hAnsi="Arial" w:cs="Arial"/>
          <w:lang w:val="en-GB" w:eastAsia="zh-CN"/>
        </w:rPr>
        <w:fldChar w:fldCharType="separate"/>
      </w:r>
      <w:r w:rsidR="00D515C8">
        <w:rPr>
          <w:rFonts w:ascii="Arial" w:eastAsia="Times New Roman" w:hAnsi="Arial" w:cs="Arial"/>
          <w:lang w:val="en-GB" w:eastAsia="zh-CN"/>
        </w:rPr>
        <w:t>4</w:t>
      </w:r>
      <w:r w:rsidR="00D515C8">
        <w:rPr>
          <w:rFonts w:ascii="Arial" w:eastAsia="Times New Roman" w:hAnsi="Arial" w:cs="Arial"/>
          <w:lang w:val="en-GB" w:eastAsia="zh-CN"/>
        </w:rPr>
        <w:fldChar w:fldCharType="end"/>
      </w:r>
      <w:r w:rsidR="00D515C8">
        <w:rPr>
          <w:rFonts w:ascii="Arial" w:eastAsia="Times New Roman" w:hAnsi="Arial" w:cs="Arial"/>
          <w:lang w:val="en-GB" w:eastAsia="zh-CN"/>
        </w:rPr>
        <w:t>,</w:t>
      </w:r>
      <w:r w:rsidR="00D515C8">
        <w:rPr>
          <w:rFonts w:ascii="Arial" w:eastAsia="Times New Roman" w:hAnsi="Arial" w:cs="Arial"/>
          <w:lang w:val="en-GB" w:eastAsia="zh-CN"/>
        </w:rPr>
        <w:fldChar w:fldCharType="begin"/>
      </w:r>
      <w:r w:rsidR="00D515C8">
        <w:rPr>
          <w:rFonts w:ascii="Arial" w:eastAsia="Times New Roman" w:hAnsi="Arial" w:cs="Arial"/>
          <w:lang w:val="en-GB" w:eastAsia="zh-CN"/>
        </w:rPr>
        <w:instrText xml:space="preserve"> REF _Ref220861335 \r \h </w:instrText>
      </w:r>
      <w:r w:rsidR="00D515C8">
        <w:rPr>
          <w:rFonts w:ascii="Arial" w:eastAsia="Times New Roman" w:hAnsi="Arial" w:cs="Arial"/>
          <w:lang w:val="en-GB" w:eastAsia="zh-CN"/>
        </w:rPr>
      </w:r>
      <w:r w:rsidR="00D515C8">
        <w:rPr>
          <w:rFonts w:ascii="Arial" w:eastAsia="Times New Roman" w:hAnsi="Arial" w:cs="Arial"/>
          <w:lang w:val="en-GB" w:eastAsia="zh-CN"/>
        </w:rPr>
        <w:fldChar w:fldCharType="separate"/>
      </w:r>
      <w:r w:rsidR="00D515C8">
        <w:rPr>
          <w:rFonts w:ascii="Arial" w:eastAsia="Times New Roman" w:hAnsi="Arial" w:cs="Arial"/>
          <w:lang w:val="en-GB" w:eastAsia="zh-CN"/>
        </w:rPr>
        <w:t>5</w:t>
      </w:r>
      <w:r w:rsidR="00D515C8">
        <w:rPr>
          <w:rFonts w:ascii="Arial" w:eastAsia="Times New Roman" w:hAnsi="Arial" w:cs="Arial"/>
          <w:lang w:val="en-GB" w:eastAsia="zh-CN"/>
        </w:rPr>
        <w:fldChar w:fldCharType="end"/>
      </w:r>
      <w:r w:rsidR="00D515C8">
        <w:rPr>
          <w:rFonts w:ascii="Arial" w:eastAsia="Times New Roman" w:hAnsi="Arial" w:cs="Arial"/>
          <w:lang w:val="en-GB" w:eastAsia="zh-CN"/>
        </w:rPr>
        <w:t>]</w:t>
      </w:r>
      <w:r w:rsidRPr="00DA2DE2">
        <w:rPr>
          <w:rFonts w:ascii="Arial" w:eastAsia="Times New Roman" w:hAnsi="Arial" w:cs="Arial"/>
          <w:lang w:val="en-GB" w:eastAsia="zh-CN"/>
        </w:rPr>
        <w:t xml:space="preserve">. Initial stages are associated with long-term effects such as creep, shrinkage, and prestress losses, resulting in serviceability-level exceedance and progressive increase of cantilever deflections. More advanced damage states correspond to partial or total loss of prestressing force due to tendon corrosion and anchorage deterioration, leading to pronounced stiffness reduction, extensive cracking of the top and bottom slabs, and differential deformations between cantilever arms and the simply supported Gerber-type members. In extreme scenarios, documented in previous studies on the same structure, these mechanisms may evolve towards near-complete loss of prestressing action, with deflection amplitudes exceeding acceptable thresholds and a significant reduction of residual load-bearing capacity, potentially posing risks of unseating at the Gerber joints and local instability of the deck system </w:t>
      </w:r>
      <w:r w:rsidR="00A63139" w:rsidRPr="00DA2DE2">
        <w:rPr>
          <w:rFonts w:ascii="Arial" w:eastAsia="Times New Roman" w:hAnsi="Arial" w:cs="Arial"/>
          <w:lang w:val="en-GB" w:eastAsia="zh-CN"/>
        </w:rPr>
        <w:t>[</w:t>
      </w:r>
      <w:r w:rsidR="00F46997">
        <w:rPr>
          <w:rFonts w:ascii="Arial" w:eastAsia="Times New Roman" w:hAnsi="Arial" w:cs="Arial"/>
          <w:lang w:val="en-GB" w:eastAsia="zh-CN"/>
        </w:rPr>
        <w:fldChar w:fldCharType="begin"/>
      </w:r>
      <w:r w:rsidR="00F46997">
        <w:rPr>
          <w:rFonts w:ascii="Arial" w:eastAsia="Times New Roman" w:hAnsi="Arial" w:cs="Arial"/>
          <w:lang w:val="en-GB" w:eastAsia="zh-CN"/>
        </w:rPr>
        <w:instrText xml:space="preserve"> REF _Ref219357120 \r \h </w:instrText>
      </w:r>
      <w:r w:rsidR="00F46997">
        <w:rPr>
          <w:rFonts w:ascii="Arial" w:eastAsia="Times New Roman" w:hAnsi="Arial" w:cs="Arial"/>
          <w:lang w:val="en-GB" w:eastAsia="zh-CN"/>
        </w:rPr>
      </w:r>
      <w:r w:rsidR="00F46997">
        <w:rPr>
          <w:rFonts w:ascii="Arial" w:eastAsia="Times New Roman" w:hAnsi="Arial" w:cs="Arial"/>
          <w:lang w:val="en-GB" w:eastAsia="zh-CN"/>
        </w:rPr>
        <w:fldChar w:fldCharType="separate"/>
      </w:r>
      <w:r w:rsidR="00D515C8">
        <w:rPr>
          <w:rFonts w:ascii="Arial" w:eastAsia="Times New Roman" w:hAnsi="Arial" w:cs="Arial"/>
          <w:lang w:val="en-GB" w:eastAsia="zh-CN"/>
        </w:rPr>
        <w:t>6</w:t>
      </w:r>
      <w:r w:rsidR="00F46997">
        <w:rPr>
          <w:rFonts w:ascii="Arial" w:eastAsia="Times New Roman" w:hAnsi="Arial" w:cs="Arial"/>
          <w:lang w:val="en-GB" w:eastAsia="zh-CN"/>
        </w:rPr>
        <w:fldChar w:fldCharType="end"/>
      </w:r>
      <w:r w:rsidR="00A63139" w:rsidRPr="00DA2DE2">
        <w:rPr>
          <w:rFonts w:ascii="Arial" w:eastAsia="Times New Roman" w:hAnsi="Arial" w:cs="Arial"/>
          <w:lang w:val="en-GB" w:eastAsia="zh-CN"/>
        </w:rPr>
        <w:t>]</w:t>
      </w:r>
      <w:r w:rsidRPr="00DA2DE2">
        <w:rPr>
          <w:rFonts w:ascii="Arial" w:eastAsia="Times New Roman" w:hAnsi="Arial" w:cs="Arial"/>
          <w:lang w:val="en-GB" w:eastAsia="zh-CN"/>
        </w:rPr>
        <w:t>.</w:t>
      </w:r>
    </w:p>
    <w:p w14:paraId="44BFD92C" w14:textId="7BB443D3" w:rsidR="004E1B8F" w:rsidRPr="00DA2DE2" w:rsidRDefault="004E1B8F" w:rsidP="001B2258">
      <w:pPr>
        <w:jc w:val="both"/>
        <w:rPr>
          <w:rFonts w:ascii="Arial" w:eastAsia="Times New Roman" w:hAnsi="Arial" w:cs="Arial"/>
          <w:lang w:val="en-GB"/>
        </w:rPr>
      </w:pPr>
      <w:r w:rsidRPr="00DA2DE2">
        <w:rPr>
          <w:rFonts w:ascii="Arial" w:eastAsia="Times New Roman" w:hAnsi="Arial" w:cs="Arial"/>
          <w:lang w:val="en-GB" w:eastAsia="zh-CN"/>
        </w:rPr>
        <w:t xml:space="preserve">The concentration of damage in the cantilever zone is further exacerbated by the structural configuration of the bridge. The variable-depth box girder geometry, high negative bending moments, reliance on staged prestressing, and limited redundancy of the Gerber system make these segments particularly vulnerable to prestress degradation mechanisms and progressive deterioration. </w:t>
      </w:r>
      <w:r w:rsidRPr="00DA2DE2">
        <w:rPr>
          <w:rFonts w:ascii="Arial" w:eastAsia="Times New Roman" w:hAnsi="Arial" w:cs="Arial"/>
          <w:lang w:val="en-GB"/>
        </w:rPr>
        <w:t>Full-scale invasive testing and load trials were not permitted by the bridge owner due to safety concerns at critical locations and the strategic importance of the bridge within the national E65 corridor, which renders detours impractical. Consequently, the identification and characterization of the damage states relied on non-destructive surveys, visual inspections, and point-cloud-based deformation measurements, which provided sufficient evidence to delineate the governing damage mechanisms and to support the subsequent definition and evaluation of retrofit strategies.</w:t>
      </w:r>
    </w:p>
    <w:p w14:paraId="0EFB4A93" w14:textId="4C44D6BB" w:rsidR="004E1B8F" w:rsidRPr="00DA2DE2" w:rsidRDefault="004E1B8F" w:rsidP="004E1B8F">
      <w:pPr>
        <w:pStyle w:val="Text"/>
        <w:ind w:firstLine="0"/>
        <w:rPr>
          <w:rFonts w:ascii="Arial" w:eastAsia="Times New Roman" w:hAnsi="Arial" w:cs="Arial"/>
          <w:sz w:val="22"/>
          <w:szCs w:val="22"/>
          <w:lang w:val="en-GB"/>
        </w:rPr>
      </w:pPr>
      <w:r w:rsidRPr="00DA2DE2">
        <w:rPr>
          <w:rFonts w:ascii="Arial" w:eastAsia="Times New Roman" w:hAnsi="Arial" w:cs="Arial"/>
          <w:sz w:val="22"/>
          <w:szCs w:val="22"/>
          <w:lang w:val="en-GB"/>
        </w:rPr>
        <w:t xml:space="preserve">Consistent with the damage states identified above, the </w:t>
      </w:r>
      <w:r w:rsidRPr="00F46997">
        <w:rPr>
          <w:rFonts w:ascii="Arial" w:eastAsia="Times New Roman" w:hAnsi="Arial" w:cs="Arial"/>
          <w:sz w:val="22"/>
          <w:szCs w:val="22"/>
          <w:lang w:val="en-GB"/>
        </w:rPr>
        <w:t xml:space="preserve">structural pathology is dominated by long-term deterioration of the tendon anchorages and prestressing tendons (see </w:t>
      </w:r>
      <w:r w:rsidR="007E20A9" w:rsidRPr="00896088">
        <w:rPr>
          <w:rFonts w:ascii="Arial" w:eastAsia="Times New Roman" w:hAnsi="Arial" w:cs="Arial"/>
          <w:sz w:val="22"/>
          <w:szCs w:val="22"/>
          <w:lang w:val="en-GB"/>
        </w:rPr>
        <w:t xml:space="preserve">Supplementary </w:t>
      </w:r>
      <w:r w:rsidRPr="00F46997">
        <w:rPr>
          <w:rFonts w:ascii="Arial" w:eastAsia="Times New Roman" w:hAnsi="Arial" w:cs="Arial"/>
          <w:sz w:val="22"/>
          <w:szCs w:val="22"/>
          <w:lang w:val="en-GB"/>
        </w:rPr>
        <w:t>Fig</w:t>
      </w:r>
      <w:r w:rsidR="007E20A9" w:rsidRPr="00F46997">
        <w:rPr>
          <w:rFonts w:ascii="Arial" w:eastAsia="Times New Roman" w:hAnsi="Arial" w:cs="Arial"/>
          <w:sz w:val="22"/>
          <w:szCs w:val="22"/>
          <w:lang w:val="en-GB"/>
        </w:rPr>
        <w:t>ures</w:t>
      </w:r>
      <w:r w:rsidRPr="00F46997">
        <w:rPr>
          <w:rFonts w:ascii="Arial" w:eastAsia="Times New Roman" w:hAnsi="Arial" w:cs="Arial"/>
          <w:sz w:val="22"/>
          <w:szCs w:val="22"/>
          <w:lang w:val="en-GB"/>
        </w:rPr>
        <w:t xml:space="preserve"> 4 and 5). As-built and as-inspected configurations indicate progressive loss of prestressing</w:t>
      </w:r>
      <w:r w:rsidRPr="00DA2DE2">
        <w:rPr>
          <w:rFonts w:ascii="Arial" w:eastAsia="Times New Roman" w:hAnsi="Arial" w:cs="Arial"/>
          <w:sz w:val="22"/>
          <w:szCs w:val="22"/>
          <w:lang w:val="en-GB"/>
        </w:rPr>
        <w:t xml:space="preserve"> and extensive deterioration at half-joints, resulting in differential deformations of the central simply supported segments between half-joints. The box-girder cantilever geometry (variable depth, concentrated negative moments at pier faces and reliance on staged prestressing) makes these locations particularly vulnerable to tendon corrosion and concrete degradation; nevertheless, the simply supported central beams have limited secondary stress transfer owing to their support condition.</w:t>
      </w:r>
    </w:p>
    <w:p w14:paraId="596897DB" w14:textId="77777777" w:rsidR="004E1B8F" w:rsidRPr="00DA2DE2" w:rsidRDefault="004E1B8F" w:rsidP="004E1B8F">
      <w:pPr>
        <w:spacing w:before="240" w:after="0"/>
        <w:jc w:val="center"/>
        <w:rPr>
          <w:rFonts w:ascii="Arial" w:eastAsia="Times New Roman" w:hAnsi="Arial" w:cs="Arial"/>
          <w:lang w:val="en-GB"/>
        </w:rPr>
      </w:pPr>
      <w:r w:rsidRPr="00DA2DE2">
        <w:rPr>
          <w:rFonts w:ascii="Arial" w:hAnsi="Arial" w:cs="Arial"/>
          <w:noProof/>
          <w:lang w:val="en-GB"/>
        </w:rPr>
        <w:drawing>
          <wp:inline distT="0" distB="0" distL="0" distR="0" wp14:anchorId="73C38A2C" wp14:editId="2F98B5B1">
            <wp:extent cx="5396865" cy="2278479"/>
            <wp:effectExtent l="0" t="0" r="0" b="7620"/>
            <wp:docPr id="9" name="Immagine 9" descr="Picture 1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7457634"/>
                    <pic:cNvPicPr/>
                  </pic:nvPicPr>
                  <pic:blipFill>
                    <a:blip r:embed="rId14">
                      <a:extLst>
                        <a:ext uri="{28A0092B-C50C-407E-A947-70E740481C1C}">
                          <a14:useLocalDpi xmlns:a14="http://schemas.microsoft.com/office/drawing/2010/main" val="0"/>
                        </a:ext>
                      </a:extLst>
                    </a:blip>
                    <a:stretch>
                      <a:fillRect/>
                    </a:stretch>
                  </pic:blipFill>
                  <pic:spPr>
                    <a:xfrm>
                      <a:off x="0" y="0"/>
                      <a:ext cx="5402716" cy="2280949"/>
                    </a:xfrm>
                    <a:prstGeom prst="rect">
                      <a:avLst/>
                    </a:prstGeom>
                  </pic:spPr>
                </pic:pic>
              </a:graphicData>
            </a:graphic>
          </wp:inline>
        </w:drawing>
      </w:r>
    </w:p>
    <w:p w14:paraId="1C969E14" w14:textId="3DA6AE23" w:rsidR="004E1B8F" w:rsidRPr="00DA2DE2" w:rsidRDefault="004E1B8F" w:rsidP="004E1B8F">
      <w:pPr>
        <w:pStyle w:val="FigureCaption"/>
        <w:jc w:val="both"/>
        <w:rPr>
          <w:rFonts w:ascii="Arial" w:eastAsia="Times New Roman" w:hAnsi="Arial" w:cs="Arial"/>
          <w:lang w:val="en-GB"/>
        </w:rPr>
      </w:pPr>
      <w:r w:rsidRPr="00DA2DE2">
        <w:rPr>
          <w:rFonts w:ascii="Arial" w:eastAsia="Times New Roman" w:hAnsi="Arial" w:cs="Arial"/>
          <w:b/>
          <w:bCs/>
          <w:lang w:val="en-GB"/>
        </w:rPr>
        <w:t>Supplementary Figure 3.</w:t>
      </w:r>
      <w:r w:rsidRPr="00DA2DE2">
        <w:rPr>
          <w:rFonts w:ascii="Arial" w:eastAsia="Times New Roman" w:hAnsi="Arial" w:cs="Arial"/>
          <w:lang w:val="en-GB"/>
        </w:rPr>
        <w:t xml:space="preserve"> Schematic (not to scale) showing prestressing cables (red lines) and view of the deck between Piers 23-24</w:t>
      </w:r>
      <w:r w:rsidR="001B2258">
        <w:rPr>
          <w:rFonts w:ascii="Arial" w:eastAsia="Times New Roman" w:hAnsi="Arial" w:cs="Arial"/>
          <w:lang w:val="en-GB"/>
        </w:rPr>
        <w:t xml:space="preserve"> (Produced and owned by Stergios </w:t>
      </w:r>
      <w:proofErr w:type="gramStart"/>
      <w:r w:rsidR="001B2258">
        <w:rPr>
          <w:rFonts w:ascii="Arial" w:eastAsia="Times New Roman" w:hAnsi="Arial" w:cs="Arial"/>
          <w:lang w:val="en-GB"/>
        </w:rPr>
        <w:t>A</w:t>
      </w:r>
      <w:proofErr w:type="gramEnd"/>
      <w:r w:rsidR="001B2258">
        <w:rPr>
          <w:rFonts w:ascii="Arial" w:eastAsia="Times New Roman" w:hAnsi="Arial" w:cs="Arial"/>
          <w:lang w:val="en-GB"/>
        </w:rPr>
        <w:t xml:space="preserve"> Mitoulis).</w:t>
      </w:r>
    </w:p>
    <w:p w14:paraId="593B1FDC" w14:textId="77777777" w:rsidR="004E1B8F" w:rsidRPr="00DA2DE2" w:rsidRDefault="004E1B8F" w:rsidP="004E1B8F">
      <w:pPr>
        <w:spacing w:before="240" w:after="0"/>
        <w:jc w:val="center"/>
        <w:rPr>
          <w:rFonts w:ascii="Arial" w:eastAsia="Times New Roman" w:hAnsi="Arial" w:cs="Arial"/>
          <w:lang w:val="en-GB"/>
        </w:rPr>
      </w:pPr>
      <w:r w:rsidRPr="00DA2DE2">
        <w:rPr>
          <w:rFonts w:ascii="Arial" w:hAnsi="Arial" w:cs="Arial"/>
          <w:noProof/>
          <w:lang w:val="en-GB"/>
        </w:rPr>
        <w:lastRenderedPageBreak/>
        <w:drawing>
          <wp:inline distT="0" distB="0" distL="0" distR="0" wp14:anchorId="107F1CF2" wp14:editId="77863AFD">
            <wp:extent cx="5415726" cy="2674711"/>
            <wp:effectExtent l="0" t="0" r="0" b="0"/>
            <wp:docPr id="10" name="Picture 1" descr="Diagram of a bridge with a def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386" name="Picture 1" descr="Diagram of a bridge with a deflection&#10;&#10;AI-generated content may be incorrect."/>
                    <pic:cNvPicPr/>
                  </pic:nvPicPr>
                  <pic:blipFill rotWithShape="1">
                    <a:blip r:embed="rId15"/>
                    <a:srcRect t="8462"/>
                    <a:stretch>
                      <a:fillRect/>
                    </a:stretch>
                  </pic:blipFill>
                  <pic:spPr bwMode="auto">
                    <a:xfrm>
                      <a:off x="0" y="0"/>
                      <a:ext cx="5436194" cy="2684820"/>
                    </a:xfrm>
                    <a:prstGeom prst="rect">
                      <a:avLst/>
                    </a:prstGeom>
                    <a:ln>
                      <a:noFill/>
                    </a:ln>
                    <a:extLst>
                      <a:ext uri="{53640926-AAD7-44D8-BBD7-CCE9431645EC}">
                        <a14:shadowObscured xmlns:a14="http://schemas.microsoft.com/office/drawing/2010/main"/>
                      </a:ext>
                    </a:extLst>
                  </pic:spPr>
                </pic:pic>
              </a:graphicData>
            </a:graphic>
          </wp:inline>
        </w:drawing>
      </w:r>
    </w:p>
    <w:p w14:paraId="4C421669" w14:textId="3DF70D53" w:rsidR="004E1B8F" w:rsidRPr="00DA2DE2" w:rsidRDefault="004E1B8F" w:rsidP="004E1B8F">
      <w:pPr>
        <w:spacing w:before="240" w:after="240"/>
        <w:jc w:val="both"/>
        <w:rPr>
          <w:rFonts w:ascii="Arial" w:eastAsia="Times New Roman" w:hAnsi="Arial" w:cs="Arial"/>
          <w:sz w:val="20"/>
          <w:szCs w:val="20"/>
          <w:lang w:val="en-GB"/>
        </w:rPr>
      </w:pPr>
      <w:r w:rsidRPr="00DA2DE2">
        <w:rPr>
          <w:rFonts w:ascii="Arial" w:eastAsia="Times New Roman" w:hAnsi="Arial" w:cs="Arial"/>
          <w:b/>
          <w:bCs/>
          <w:lang w:val="en-GB"/>
        </w:rPr>
        <w:t>Supplementary Figure 4</w:t>
      </w:r>
      <w:r w:rsidRPr="00DA2DE2">
        <w:rPr>
          <w:rFonts w:ascii="Arial" w:eastAsia="Times New Roman" w:hAnsi="Arial" w:cs="Arial"/>
          <w:b/>
          <w:bCs/>
          <w:sz w:val="20"/>
          <w:szCs w:val="20"/>
          <w:lang w:val="en-GB"/>
        </w:rPr>
        <w:t>.</w:t>
      </w:r>
      <w:r w:rsidRPr="00DA2DE2">
        <w:rPr>
          <w:rFonts w:ascii="Arial" w:eastAsia="Times New Roman" w:hAnsi="Arial" w:cs="Arial"/>
          <w:sz w:val="20"/>
          <w:szCs w:val="20"/>
          <w:lang w:val="en-GB"/>
        </w:rPr>
        <w:t xml:space="preserve"> Current deteriorated condition of the cantilevers of the bridge after 50 years of service: schematic indicating tendon corrosion hypothesis based on observed cracking (yellow).</w:t>
      </w:r>
      <w:r w:rsidR="001B2258">
        <w:rPr>
          <w:rFonts w:ascii="Arial" w:eastAsia="Times New Roman" w:hAnsi="Arial" w:cs="Arial"/>
          <w:sz w:val="20"/>
          <w:szCs w:val="20"/>
          <w:lang w:val="en-GB"/>
        </w:rPr>
        <w:t xml:space="preserve"> </w:t>
      </w:r>
      <w:r w:rsidR="001B2258" w:rsidRPr="001B2258">
        <w:rPr>
          <w:rFonts w:ascii="Arial" w:eastAsia="Times New Roman" w:hAnsi="Arial" w:cs="Arial"/>
          <w:sz w:val="20"/>
          <w:szCs w:val="20"/>
          <w:lang w:val="en-GB"/>
        </w:rPr>
        <w:t xml:space="preserve">(Produced and owned by Stergios </w:t>
      </w:r>
      <w:proofErr w:type="gramStart"/>
      <w:r w:rsidR="001B2258" w:rsidRPr="001B2258">
        <w:rPr>
          <w:rFonts w:ascii="Arial" w:eastAsia="Times New Roman" w:hAnsi="Arial" w:cs="Arial"/>
          <w:sz w:val="20"/>
          <w:szCs w:val="20"/>
          <w:lang w:val="en-GB"/>
        </w:rPr>
        <w:t>A</w:t>
      </w:r>
      <w:proofErr w:type="gramEnd"/>
      <w:r w:rsidR="001B2258" w:rsidRPr="001B2258">
        <w:rPr>
          <w:rFonts w:ascii="Arial" w:eastAsia="Times New Roman" w:hAnsi="Arial" w:cs="Arial"/>
          <w:sz w:val="20"/>
          <w:szCs w:val="20"/>
          <w:lang w:val="en-GB"/>
        </w:rPr>
        <w:t xml:space="preserve"> Mitoulis).</w:t>
      </w:r>
    </w:p>
    <w:p w14:paraId="1E628BAB" w14:textId="77777777" w:rsidR="004E1B8F" w:rsidRPr="00DA2DE2" w:rsidRDefault="004E1B8F" w:rsidP="004E1B8F">
      <w:pPr>
        <w:spacing w:before="240" w:after="240"/>
        <w:jc w:val="both"/>
        <w:rPr>
          <w:rFonts w:ascii="Arial" w:hAnsi="Arial" w:cs="Arial"/>
          <w:color w:val="000000"/>
          <w:sz w:val="23"/>
          <w:szCs w:val="23"/>
          <w:shd w:val="clear" w:color="auto" w:fill="FCFBFB"/>
          <w:lang w:val="en-GB"/>
        </w:rPr>
      </w:pPr>
      <w:r w:rsidRPr="00DA2DE2">
        <w:rPr>
          <w:rFonts w:ascii="Arial" w:hAnsi="Arial" w:cs="Arial"/>
          <w:color w:val="000000"/>
          <w:sz w:val="23"/>
          <w:szCs w:val="23"/>
          <w:shd w:val="clear" w:color="auto" w:fill="FCFBFB"/>
          <w:lang w:val="en-GB"/>
        </w:rPr>
        <w:t>Given the observed damage, remediation options range from targeted local repairs and external strengthening (e.g., external prestressing, FRP wrapping) to partial or full deck replacement. The next subsection evaluates these retrofitting alternatives in detail.</w:t>
      </w:r>
    </w:p>
    <w:p w14:paraId="4594EA93" w14:textId="07EEA3D8" w:rsidR="004E1B8F" w:rsidRPr="00DA2DE2" w:rsidRDefault="004E1B8F" w:rsidP="004E1B8F">
      <w:pPr>
        <w:pStyle w:val="Heading3"/>
        <w:rPr>
          <w:rFonts w:ascii="Arial" w:hAnsi="Arial" w:cs="Arial"/>
          <w:color w:val="1F1F1F"/>
          <w:lang w:val="en-GB"/>
        </w:rPr>
      </w:pPr>
      <w:r w:rsidRPr="00DA2DE2">
        <w:rPr>
          <w:rFonts w:ascii="Arial" w:hAnsi="Arial" w:cs="Arial"/>
          <w:b/>
          <w:bCs/>
          <w:color w:val="auto"/>
          <w:sz w:val="26"/>
          <w:szCs w:val="26"/>
          <w:lang w:val="en-GB"/>
        </w:rPr>
        <w:t>Retrofitting strategies</w:t>
      </w:r>
    </w:p>
    <w:p w14:paraId="4C543904" w14:textId="00EA967B" w:rsidR="004E1B8F" w:rsidRPr="00DA2DE2" w:rsidRDefault="004E1B8F" w:rsidP="00116794">
      <w:pPr>
        <w:spacing w:before="240" w:after="240"/>
        <w:jc w:val="both"/>
        <w:rPr>
          <w:rFonts w:ascii="Arial" w:eastAsia="Arial" w:hAnsi="Arial" w:cs="Arial"/>
          <w:lang w:val="en-GB"/>
        </w:rPr>
      </w:pPr>
      <w:r w:rsidRPr="00DA2DE2">
        <w:rPr>
          <w:rFonts w:ascii="Arial" w:eastAsia="Times New Roman" w:hAnsi="Arial" w:cs="Arial"/>
          <w:lang w:val="en-GB"/>
        </w:rPr>
        <w:t xml:space="preserve">Developing a robust retrofit strategy for the </w:t>
      </w:r>
      <w:r w:rsidR="00357138">
        <w:rPr>
          <w:rFonts w:ascii="Arial" w:eastAsia="Times New Roman" w:hAnsi="Arial" w:cs="Arial"/>
          <w:lang w:val="en-GB"/>
        </w:rPr>
        <w:t>case study bridge</w:t>
      </w:r>
      <w:r w:rsidRPr="00DA2DE2">
        <w:rPr>
          <w:rFonts w:ascii="Arial" w:eastAsia="Times New Roman" w:hAnsi="Arial" w:cs="Arial"/>
          <w:lang w:val="en-GB"/>
        </w:rPr>
        <w:t xml:space="preserve"> </w:t>
      </w:r>
      <w:r w:rsidRPr="00DA2DE2">
        <w:rPr>
          <w:rFonts w:ascii="Arial" w:eastAsia="Arial" w:hAnsi="Arial" w:cs="Arial"/>
          <w:lang w:val="en-GB"/>
        </w:rPr>
        <w:t xml:space="preserve">requires an integrated assessment that balances technical performance, cost-effectiveness, structural durability, operational continuity, environmental sustainability, and respect for the original design intent. The assessment must combine accurate appraisal of the physical condition with the bridge’s functional role in the transport network, projected service life, feasibility of available technologies and cost–benefit considerations </w:t>
      </w:r>
      <w:r w:rsidR="00A63139" w:rsidRPr="00DA2DE2">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_Ref219357162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7</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 Environmental objectives (e.g. minimizing material waste and embodied carbon and avoiding ecological disturbance) should be incorporated as explicit decision criteria to ensure alignment with sustainable</w:t>
      </w:r>
      <w:r w:rsidRPr="00DA2DE2">
        <w:rPr>
          <w:rFonts w:ascii="Cambria Math" w:eastAsia="Arial" w:hAnsi="Cambria Math" w:cs="Cambria Math"/>
          <w:lang w:val="en-GB"/>
        </w:rPr>
        <w:t>‑</w:t>
      </w:r>
      <w:r w:rsidRPr="00DA2DE2">
        <w:rPr>
          <w:rFonts w:ascii="Arial" w:eastAsia="Arial" w:hAnsi="Arial" w:cs="Arial"/>
          <w:lang w:val="en-GB"/>
        </w:rPr>
        <w:t>development goals</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_Ref219357182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8</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r w:rsidR="00116794">
        <w:rPr>
          <w:rFonts w:ascii="Arial" w:eastAsia="Arial" w:hAnsi="Arial" w:cs="Arial"/>
          <w:lang w:val="en-GB"/>
        </w:rPr>
        <w:t xml:space="preserve"> </w:t>
      </w:r>
      <w:r w:rsidRPr="00DA2DE2">
        <w:rPr>
          <w:rFonts w:ascii="Arial" w:eastAsia="Arial" w:hAnsi="Arial" w:cs="Arial"/>
          <w:lang w:val="en-GB"/>
        </w:rPr>
        <w:t xml:space="preserve">The balanced cantilever beams and Gerber-type girders of the bridge (piers #22–#24) exhibit advanced deterioration, motivating a focused evaluation of interventions that span the full spectrum from minimal repair to full replacement. In contrast, the approach spans display only superficial degradation and are assumed manageable by well-established routine maintenance practices. Therefore, the present analysis concentrates on interventions that address significant loss of capacity and durability in the cantilever section. For systematic evaluation, the proposed interventions are classified into two principal categories: repair and replacement. </w:t>
      </w:r>
    </w:p>
    <w:p w14:paraId="7DE35499" w14:textId="1F1FF499" w:rsidR="004E1B8F" w:rsidRPr="00DA2DE2" w:rsidRDefault="004E1B8F" w:rsidP="004E1B8F">
      <w:pPr>
        <w:spacing w:before="240" w:after="240"/>
        <w:jc w:val="both"/>
        <w:rPr>
          <w:rFonts w:ascii="Arial" w:eastAsia="Arial" w:hAnsi="Arial" w:cs="Arial"/>
          <w:lang w:val="en-GB"/>
        </w:rPr>
      </w:pPr>
      <w:r w:rsidRPr="00116794">
        <w:rPr>
          <w:rFonts w:ascii="Arial" w:eastAsia="Arial" w:hAnsi="Arial" w:cs="Arial"/>
          <w:b/>
          <w:iCs/>
          <w:lang w:val="en-GB"/>
        </w:rPr>
        <w:t>Repair strategies</w:t>
      </w:r>
      <w:r w:rsidRPr="00DA2DE2">
        <w:rPr>
          <w:rFonts w:ascii="Arial" w:eastAsia="Arial" w:hAnsi="Arial" w:cs="Arial"/>
          <w:lang w:val="en-GB"/>
        </w:rPr>
        <w:t xml:space="preserve"> aim to extend the service life of the structure by selectively restoring or strengthening its critical components. These interventions are grounded in the principles of structural conservation, and their effectiveness depends on the reliability of the diagnostic assessment and the robustness of the residual structure. Such approaches typically involve </w:t>
      </w:r>
      <w:proofErr w:type="gramStart"/>
      <w:r w:rsidRPr="00DA2DE2">
        <w:rPr>
          <w:rFonts w:ascii="Arial" w:eastAsia="Arial" w:hAnsi="Arial" w:cs="Arial"/>
          <w:lang w:val="en-GB"/>
        </w:rPr>
        <w:t>less</w:t>
      </w:r>
      <w:proofErr w:type="gramEnd"/>
      <w:r w:rsidRPr="00DA2DE2">
        <w:rPr>
          <w:rFonts w:ascii="Arial" w:eastAsia="Arial" w:hAnsi="Arial" w:cs="Arial"/>
          <w:lang w:val="en-GB"/>
        </w:rPr>
        <w:t xml:space="preserve"> invasive operations and shorter construction periods but may face limitations in terms of achievable performance and long-term resilience</w:t>
      </w:r>
      <w:r w:rsidR="00116794">
        <w:rPr>
          <w:rFonts w:ascii="Arial" w:eastAsia="Arial" w:hAnsi="Arial" w:cs="Arial"/>
          <w:lang w:val="en-GB"/>
        </w:rPr>
        <w:t xml:space="preserve">. </w:t>
      </w:r>
      <w:r w:rsidRPr="00DA2DE2">
        <w:rPr>
          <w:rFonts w:ascii="Arial" w:eastAsia="Arial" w:hAnsi="Arial" w:cs="Arial"/>
          <w:lang w:val="en-GB"/>
        </w:rPr>
        <w:t xml:space="preserve">Minimal intervention measures, consisting of light local repairs combined with continued traffic restrictions, were considered at a preliminary stage. However, this option was not regarded as a suitable repair strategy, as it would only mitigate immediate safety concerns without addressing the underlying structural deficiencies. In addition, the level of uncertainty associated with </w:t>
      </w:r>
      <w:r w:rsidRPr="00DA2DE2">
        <w:rPr>
          <w:rFonts w:ascii="Arial" w:eastAsia="Arial" w:hAnsi="Arial" w:cs="Arial"/>
          <w:lang w:val="en-GB"/>
        </w:rPr>
        <w:lastRenderedPageBreak/>
        <w:t>the residual capacity of key components would limit the reliability and durability of such an approach</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_Ref219357198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9</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r w:rsidR="00116794">
        <w:rPr>
          <w:rFonts w:ascii="Arial" w:eastAsia="Arial" w:hAnsi="Arial" w:cs="Arial"/>
          <w:lang w:val="en-GB"/>
        </w:rPr>
        <w:t xml:space="preserve"> </w:t>
      </w:r>
      <w:r w:rsidRPr="00DA2DE2">
        <w:rPr>
          <w:rFonts w:ascii="Arial" w:eastAsia="Arial" w:hAnsi="Arial" w:cs="Arial"/>
          <w:lang w:val="en-GB"/>
        </w:rPr>
        <w:t>On this basis, the repair scenarios considered in this study were defined through a review of the literature and consultation with bridge engineers who had inspected and assessed the condition of the bridge.</w:t>
      </w:r>
    </w:p>
    <w:p w14:paraId="15316AD2" w14:textId="19A94746" w:rsidR="004E1B8F" w:rsidRPr="00DA2DE2" w:rsidRDefault="004E1B8F" w:rsidP="004E1B8F">
      <w:pPr>
        <w:pStyle w:val="ListParagraph"/>
        <w:numPr>
          <w:ilvl w:val="0"/>
          <w:numId w:val="10"/>
        </w:numPr>
        <w:spacing w:before="240" w:after="240"/>
        <w:ind w:left="142" w:hanging="153"/>
        <w:jc w:val="both"/>
        <w:rPr>
          <w:rFonts w:ascii="Arial" w:eastAsia="Arial" w:hAnsi="Arial" w:cs="Arial"/>
          <w:lang w:val="en-GB"/>
        </w:rPr>
      </w:pPr>
      <w:r w:rsidRPr="00DA2DE2">
        <w:rPr>
          <w:rFonts w:ascii="Arial" w:eastAsia="Arial" w:hAnsi="Arial" w:cs="Arial"/>
          <w:bCs/>
          <w:i/>
          <w:lang w:val="en-GB"/>
        </w:rPr>
        <w:t>Hybrid replacement and external prestressing (Scenario #1)</w:t>
      </w:r>
      <w:r w:rsidRPr="00DA2DE2">
        <w:rPr>
          <w:rFonts w:ascii="Arial" w:eastAsia="Arial" w:hAnsi="Arial" w:cs="Arial"/>
          <w:bCs/>
          <w:lang w:val="en-GB"/>
        </w:rPr>
        <w:t>:</w:t>
      </w:r>
      <w:r w:rsidRPr="00DA2DE2">
        <w:rPr>
          <w:rFonts w:ascii="Arial" w:eastAsia="Arial" w:hAnsi="Arial" w:cs="Arial"/>
          <w:lang w:val="en-GB"/>
        </w:rPr>
        <w:t xml:space="preserve">  preservation of the existing cantilever beams, replacement of Gerber-type prestressed concrete members with steel beams, and external prestressing tendons. This approach restores the global load-bearing mechanism while retaining substantial portions of the original structure and requires careful compatibility verification, particularly at the interface between old and new materials</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_Ref219357216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10</w:t>
      </w:r>
      <w:r w:rsidR="00F46997">
        <w:rPr>
          <w:rFonts w:ascii="Arial" w:eastAsia="Arial" w:hAnsi="Arial" w:cs="Arial"/>
          <w:lang w:val="en-GB"/>
        </w:rPr>
        <w:fldChar w:fldCharType="end"/>
      </w:r>
      <w:r w:rsidR="00F46997">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_Ref219357218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11</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23DBA9DF" w14:textId="6C3EAA94" w:rsidR="004E1B8F" w:rsidRPr="00DA2DE2" w:rsidRDefault="004E1B8F" w:rsidP="004E1B8F">
      <w:pPr>
        <w:pStyle w:val="ListParagraph"/>
        <w:numPr>
          <w:ilvl w:val="0"/>
          <w:numId w:val="10"/>
        </w:numPr>
        <w:spacing w:before="240" w:after="240"/>
        <w:ind w:left="142" w:hanging="153"/>
        <w:jc w:val="both"/>
        <w:rPr>
          <w:rFonts w:ascii="Arial" w:eastAsia="Arial" w:hAnsi="Arial" w:cs="Arial"/>
          <w:lang w:val="en-GB"/>
        </w:rPr>
      </w:pPr>
      <w:r w:rsidRPr="00DA2DE2">
        <w:rPr>
          <w:rFonts w:ascii="Arial" w:eastAsia="Arial" w:hAnsi="Arial" w:cs="Arial"/>
          <w:bCs/>
          <w:i/>
          <w:lang w:val="en-GB"/>
        </w:rPr>
        <w:t>Stay</w:t>
      </w:r>
      <w:r w:rsidRPr="00DA2DE2">
        <w:rPr>
          <w:rFonts w:ascii="Cambria Math" w:eastAsia="Arial" w:hAnsi="Cambria Math" w:cs="Cambria Math"/>
          <w:bCs/>
          <w:i/>
          <w:lang w:val="en-GB"/>
        </w:rPr>
        <w:t>‑</w:t>
      </w:r>
      <w:r w:rsidRPr="00DA2DE2">
        <w:rPr>
          <w:rFonts w:ascii="Arial" w:eastAsia="Arial" w:hAnsi="Arial" w:cs="Arial"/>
          <w:bCs/>
          <w:i/>
          <w:lang w:val="en-GB"/>
        </w:rPr>
        <w:t>cable augmentation (Scenario #2)</w:t>
      </w:r>
      <w:r w:rsidRPr="00DA2DE2">
        <w:rPr>
          <w:rFonts w:ascii="Arial" w:eastAsia="Arial" w:hAnsi="Arial" w:cs="Arial"/>
          <w:lang w:val="en-GB"/>
        </w:rPr>
        <w:t xml:space="preserve">: construction of pylons and stay cables anchored to the main piers to redistribute forces from overstressed </w:t>
      </w:r>
      <w:proofErr w:type="gramStart"/>
      <w:r w:rsidRPr="00DA2DE2">
        <w:rPr>
          <w:rFonts w:ascii="Arial" w:eastAsia="Arial" w:hAnsi="Arial" w:cs="Arial"/>
          <w:lang w:val="en-GB"/>
        </w:rPr>
        <w:t>cantilevers, and</w:t>
      </w:r>
      <w:proofErr w:type="gramEnd"/>
      <w:r w:rsidRPr="00DA2DE2">
        <w:rPr>
          <w:rFonts w:ascii="Arial" w:eastAsia="Arial" w:hAnsi="Arial" w:cs="Arial"/>
          <w:lang w:val="en-GB"/>
        </w:rPr>
        <w:t xml:space="preserve"> facilitate rehabilitation of Gerber joints; partial replacement of Gerber-type members with steel beams. This semi-integral solution changes internal stress flows and increases redundancy</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_Ref219357241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12</w:t>
      </w:r>
      <w:r w:rsidR="00F46997">
        <w:rPr>
          <w:rFonts w:ascii="Arial" w:eastAsia="Arial" w:hAnsi="Arial" w:cs="Arial"/>
          <w:lang w:val="en-GB"/>
        </w:rPr>
        <w:fldChar w:fldCharType="end"/>
      </w:r>
      <w:r w:rsidR="00F46997">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_Ref219357243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13</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3D10909A" w14:textId="3AE398CD" w:rsidR="004E1B8F" w:rsidRPr="00DA2DE2" w:rsidRDefault="004E1B8F" w:rsidP="004E1B8F">
      <w:pPr>
        <w:pStyle w:val="ListParagraph"/>
        <w:numPr>
          <w:ilvl w:val="0"/>
          <w:numId w:val="10"/>
        </w:numPr>
        <w:spacing w:before="240" w:after="240"/>
        <w:ind w:left="142" w:hanging="153"/>
        <w:jc w:val="both"/>
        <w:rPr>
          <w:rFonts w:ascii="Arial" w:eastAsia="Arial" w:hAnsi="Arial" w:cs="Arial"/>
          <w:lang w:val="en-GB"/>
        </w:rPr>
      </w:pPr>
      <w:r w:rsidRPr="00DA2DE2">
        <w:rPr>
          <w:rFonts w:ascii="Arial" w:eastAsia="Arial" w:hAnsi="Arial" w:cs="Arial"/>
          <w:bCs/>
          <w:i/>
          <w:lang w:val="en-GB"/>
        </w:rPr>
        <w:t>External prestressing (Scenario #3)</w:t>
      </w:r>
      <w:r w:rsidRPr="00DA2DE2">
        <w:rPr>
          <w:rFonts w:ascii="Arial" w:eastAsia="Arial" w:hAnsi="Arial" w:cs="Arial"/>
          <w:bCs/>
          <w:lang w:val="en-GB"/>
        </w:rPr>
        <w:t>:</w:t>
      </w:r>
      <w:r w:rsidRPr="00DA2DE2">
        <w:rPr>
          <w:rFonts w:ascii="Arial" w:eastAsia="Arial" w:hAnsi="Arial" w:cs="Arial"/>
          <w:lang w:val="en-GB"/>
        </w:rPr>
        <w:t xml:space="preserve"> Retaining cantilevers and Gerber beams, applying external prestressing and comprehensively rehabilitating slabs and half-joints. This preservation</w:t>
      </w:r>
      <w:r w:rsidRPr="00DA2DE2">
        <w:rPr>
          <w:rFonts w:ascii="Cambria Math" w:eastAsia="Arial" w:hAnsi="Cambria Math" w:cs="Cambria Math"/>
          <w:lang w:val="en-GB"/>
        </w:rPr>
        <w:t>‑</w:t>
      </w:r>
      <w:r w:rsidRPr="00DA2DE2">
        <w:rPr>
          <w:rFonts w:ascii="Arial" w:eastAsia="Arial" w:hAnsi="Arial" w:cs="Arial"/>
          <w:lang w:val="en-GB"/>
        </w:rPr>
        <w:t xml:space="preserve">first option minimizes structural </w:t>
      </w:r>
      <w:proofErr w:type="gramStart"/>
      <w:r w:rsidRPr="00DA2DE2">
        <w:rPr>
          <w:rFonts w:ascii="Arial" w:eastAsia="Arial" w:hAnsi="Arial" w:cs="Arial"/>
          <w:lang w:val="en-GB"/>
        </w:rPr>
        <w:t>discontinuity, but</w:t>
      </w:r>
      <w:proofErr w:type="gramEnd"/>
      <w:r w:rsidRPr="00DA2DE2">
        <w:rPr>
          <w:rFonts w:ascii="Arial" w:eastAsia="Arial" w:hAnsi="Arial" w:cs="Arial"/>
          <w:lang w:val="en-GB"/>
        </w:rPr>
        <w:t xml:space="preserve"> presumes acceptable tendon and anchorage condition</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_Ref219357266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14</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3F882D73" w14:textId="77777777" w:rsidR="004E1B8F" w:rsidRPr="00DA2DE2" w:rsidRDefault="004E1B8F" w:rsidP="004E1B8F">
      <w:pPr>
        <w:spacing w:before="240" w:after="240"/>
        <w:jc w:val="both"/>
        <w:rPr>
          <w:rFonts w:ascii="Arial" w:eastAsia="Arial" w:hAnsi="Arial" w:cs="Arial"/>
          <w:lang w:val="en-GB"/>
        </w:rPr>
      </w:pPr>
      <w:r w:rsidRPr="00116794">
        <w:rPr>
          <w:rFonts w:ascii="Arial" w:eastAsia="Arial" w:hAnsi="Arial" w:cs="Arial"/>
          <w:b/>
          <w:iCs/>
          <w:lang w:val="en-GB"/>
        </w:rPr>
        <w:t xml:space="preserve">Replacement scenarios </w:t>
      </w:r>
      <w:r w:rsidRPr="00DA2DE2">
        <w:rPr>
          <w:rFonts w:ascii="Arial" w:eastAsia="Arial" w:hAnsi="Arial" w:cs="Arial"/>
          <w:lang w:val="en-GB"/>
        </w:rPr>
        <w:t>involve complete removal of the existing deck and reconstruction of a new superstructure. These transformational interventions are appropriate when degradation is widespread or residual capacity is inadequate for current and future demands; they allow full compliance with modern load, seismic and serviceability requirements but demand thorough verification of substructure compatibility, dynamic interaction and construction logistics. Three replacement configurations examined are:</w:t>
      </w:r>
    </w:p>
    <w:p w14:paraId="664475E2" w14:textId="1A305704" w:rsidR="004E1B8F" w:rsidRPr="00DA2DE2" w:rsidRDefault="004E1B8F" w:rsidP="004E1B8F">
      <w:pPr>
        <w:pStyle w:val="ListParagraph"/>
        <w:numPr>
          <w:ilvl w:val="0"/>
          <w:numId w:val="11"/>
        </w:numPr>
        <w:spacing w:before="240" w:after="240"/>
        <w:ind w:left="142" w:hanging="142"/>
        <w:jc w:val="both"/>
        <w:rPr>
          <w:rFonts w:ascii="Arial" w:eastAsia="Arial" w:hAnsi="Arial" w:cs="Arial"/>
          <w:lang w:val="en-GB"/>
        </w:rPr>
      </w:pPr>
      <w:r w:rsidRPr="00DA2DE2">
        <w:rPr>
          <w:rFonts w:ascii="Arial" w:eastAsia="Arial" w:hAnsi="Arial" w:cs="Arial"/>
          <w:bCs/>
          <w:i/>
          <w:lang w:val="en-GB"/>
        </w:rPr>
        <w:t>Conventional prestressed concrete deck (Scenario #4)</w:t>
      </w:r>
      <w:r w:rsidRPr="00DA2DE2">
        <w:rPr>
          <w:rFonts w:ascii="Arial" w:eastAsia="Arial" w:hAnsi="Arial" w:cs="Arial"/>
          <w:bCs/>
          <w:lang w:val="en-GB"/>
        </w:rPr>
        <w:t>:</w:t>
      </w:r>
      <w:r w:rsidRPr="00DA2DE2">
        <w:rPr>
          <w:rFonts w:ascii="Arial" w:eastAsia="Arial" w:hAnsi="Arial" w:cs="Arial"/>
          <w:lang w:val="en-GB"/>
        </w:rPr>
        <w:t xml:space="preserve"> Reconstruction with prestressed concrete beams, replicating the original static scheme, while incorporating modern materials, detailing, and durability improvements. This conservative replacement preserves design continuity and is attractive where long</w:t>
      </w:r>
      <w:r w:rsidRPr="00DA2DE2">
        <w:rPr>
          <w:rFonts w:ascii="Cambria Math" w:eastAsia="Arial" w:hAnsi="Cambria Math" w:cs="Cambria Math"/>
          <w:lang w:val="en-GB"/>
        </w:rPr>
        <w:t>‑</w:t>
      </w:r>
      <w:r w:rsidRPr="00DA2DE2">
        <w:rPr>
          <w:rFonts w:ascii="Arial" w:eastAsia="Arial" w:hAnsi="Arial" w:cs="Arial"/>
          <w:lang w:val="en-GB"/>
        </w:rPr>
        <w:t xml:space="preserve">term durability is prioritized </w:t>
      </w:r>
      <w:r w:rsidR="00A63139" w:rsidRPr="00DA2DE2">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_Ref219357299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15</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6B6B4886" w14:textId="15FFF326" w:rsidR="004E1B8F" w:rsidRPr="00DA2DE2" w:rsidRDefault="004E1B8F" w:rsidP="004E1B8F">
      <w:pPr>
        <w:pStyle w:val="ListParagraph"/>
        <w:numPr>
          <w:ilvl w:val="0"/>
          <w:numId w:val="11"/>
        </w:numPr>
        <w:spacing w:before="240" w:after="240"/>
        <w:ind w:left="142" w:hanging="142"/>
        <w:jc w:val="both"/>
        <w:rPr>
          <w:rFonts w:ascii="Arial" w:eastAsia="Arial" w:hAnsi="Arial" w:cs="Arial"/>
          <w:lang w:val="en-GB"/>
        </w:rPr>
      </w:pPr>
      <w:r w:rsidRPr="00DA2DE2">
        <w:rPr>
          <w:rFonts w:ascii="Arial" w:eastAsia="Arial" w:hAnsi="Arial" w:cs="Arial"/>
          <w:bCs/>
          <w:i/>
          <w:lang w:val="en-GB"/>
        </w:rPr>
        <w:t>Steel–concrete composite deck (Scenario #5)</w:t>
      </w:r>
      <w:r w:rsidRPr="00DA2DE2">
        <w:rPr>
          <w:rFonts w:ascii="Arial" w:eastAsia="Arial" w:hAnsi="Arial" w:cs="Arial"/>
          <w:bCs/>
          <w:lang w:val="en-GB"/>
        </w:rPr>
        <w:t>:</w:t>
      </w:r>
      <w:r w:rsidRPr="00DA2DE2">
        <w:rPr>
          <w:rFonts w:ascii="Arial" w:eastAsia="Arial" w:hAnsi="Arial" w:cs="Arial"/>
          <w:b/>
          <w:bCs/>
          <w:lang w:val="en-GB"/>
        </w:rPr>
        <w:t xml:space="preserve"> </w:t>
      </w:r>
      <w:r w:rsidRPr="00DA2DE2">
        <w:rPr>
          <w:rFonts w:ascii="Arial" w:eastAsia="Arial" w:hAnsi="Arial" w:cs="Arial"/>
          <w:lang w:val="en-GB"/>
        </w:rPr>
        <w:t>Replacing the deck with steel beams and a composite concrete slab to reduce self</w:t>
      </w:r>
      <w:r w:rsidRPr="00DA2DE2">
        <w:rPr>
          <w:rFonts w:ascii="Cambria Math" w:eastAsia="Arial" w:hAnsi="Cambria Math" w:cs="Cambria Math"/>
          <w:lang w:val="en-GB"/>
        </w:rPr>
        <w:t>‑</w:t>
      </w:r>
      <w:r w:rsidRPr="00DA2DE2">
        <w:rPr>
          <w:rFonts w:ascii="Arial" w:eastAsia="Arial" w:hAnsi="Arial" w:cs="Arial"/>
          <w:lang w:val="en-GB"/>
        </w:rPr>
        <w:t>weight, accelerate erection and facilitate inspection and modular maintenance</w:t>
      </w:r>
      <w:r w:rsidR="00A63139" w:rsidRPr="00DA2DE2">
        <w:rPr>
          <w:rFonts w:ascii="Arial" w:eastAsia="Arial" w:hAnsi="Arial" w:cs="Arial"/>
          <w:lang w:val="en-GB"/>
        </w:rPr>
        <w:t xml:space="preserve"> [</w:t>
      </w:r>
      <w:r w:rsidR="00F46997">
        <w:rPr>
          <w:rFonts w:ascii="Arial" w:eastAsia="Arial" w:hAnsi="Arial" w:cs="Arial"/>
          <w:lang w:val="en-GB"/>
        </w:rPr>
        <w:fldChar w:fldCharType="begin"/>
      </w:r>
      <w:r w:rsidR="00F46997">
        <w:rPr>
          <w:rFonts w:ascii="Arial" w:eastAsia="Arial" w:hAnsi="Arial" w:cs="Arial"/>
          <w:lang w:val="en-GB"/>
        </w:rPr>
        <w:instrText xml:space="preserve"> REF _Ref219357323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16</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0DCA2C54" w14:textId="1DEC84BB" w:rsidR="004E1B8F" w:rsidRPr="00DA2DE2" w:rsidRDefault="004E1B8F" w:rsidP="004E1B8F">
      <w:pPr>
        <w:pStyle w:val="ListParagraph"/>
        <w:numPr>
          <w:ilvl w:val="0"/>
          <w:numId w:val="11"/>
        </w:numPr>
        <w:spacing w:before="240" w:after="240"/>
        <w:ind w:left="142" w:hanging="142"/>
        <w:jc w:val="both"/>
        <w:rPr>
          <w:rFonts w:ascii="Arial" w:eastAsia="Arial" w:hAnsi="Arial" w:cs="Arial"/>
          <w:lang w:val="en-GB"/>
        </w:rPr>
      </w:pPr>
      <w:r w:rsidRPr="00DA2DE2">
        <w:rPr>
          <w:rFonts w:ascii="Arial" w:eastAsia="Arial" w:hAnsi="Arial" w:cs="Arial"/>
          <w:bCs/>
          <w:i/>
          <w:lang w:val="en-GB"/>
        </w:rPr>
        <w:t>Prefabricated modular deck with dry joints (Scenario #6)</w:t>
      </w:r>
      <w:r w:rsidRPr="00DA2DE2">
        <w:rPr>
          <w:rFonts w:ascii="Arial" w:eastAsia="Arial" w:hAnsi="Arial" w:cs="Arial"/>
          <w:bCs/>
          <w:lang w:val="en-GB"/>
        </w:rPr>
        <w:t>:</w:t>
      </w:r>
      <w:r w:rsidRPr="00DA2DE2">
        <w:rPr>
          <w:rFonts w:ascii="Arial" w:eastAsia="Arial" w:hAnsi="Arial" w:cs="Arial"/>
          <w:b/>
          <w:bCs/>
          <w:lang w:val="en-GB"/>
        </w:rPr>
        <w:t xml:space="preserve"> </w:t>
      </w:r>
      <w:r w:rsidRPr="00DA2DE2">
        <w:rPr>
          <w:rFonts w:ascii="Arial" w:eastAsia="Arial" w:hAnsi="Arial" w:cs="Arial"/>
          <w:lang w:val="en-GB"/>
        </w:rPr>
        <w:t xml:space="preserve">This option emphasizes rapid installation, limited on-site labour, and future reparability, but requires advanced joint technology and careful durability detailing </w:t>
      </w:r>
      <w:r w:rsidR="00A63139" w:rsidRPr="00DA2DE2">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_Ref219357323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16</w:t>
      </w:r>
      <w:r w:rsidR="00F46997">
        <w:rPr>
          <w:rFonts w:ascii="Arial" w:eastAsia="Arial" w:hAnsi="Arial" w:cs="Arial"/>
          <w:lang w:val="en-GB"/>
        </w:rPr>
        <w:fldChar w:fldCharType="end"/>
      </w:r>
      <w:r w:rsidR="00F46997">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_Ref219357339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17</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w:t>
      </w:r>
    </w:p>
    <w:p w14:paraId="76E236A5" w14:textId="7BE9B62E" w:rsidR="004E1B8F" w:rsidRPr="00DA2DE2" w:rsidRDefault="004E1B8F" w:rsidP="004E1B8F">
      <w:pPr>
        <w:spacing w:before="240" w:after="240"/>
        <w:jc w:val="both"/>
        <w:rPr>
          <w:rFonts w:ascii="Arial" w:eastAsia="Arial" w:hAnsi="Arial" w:cs="Arial"/>
          <w:lang w:val="en-GB"/>
        </w:rPr>
      </w:pPr>
      <w:r w:rsidRPr="00DA2DE2">
        <w:rPr>
          <w:rFonts w:ascii="Arial" w:eastAsia="Arial" w:hAnsi="Arial" w:cs="Arial"/>
          <w:lang w:val="en-GB"/>
        </w:rPr>
        <w:t>From a methodological standpoint, Scenarios 4 to 6 fall into the category of transformational interventions, wherein the existing structure is not only replaced but reimagined through the lens of modern structural engineering practice. Their adoption, however, must be carefully evaluated against constraints such as construction logistics, environmental impact, and compatibility with the existing substructure.</w:t>
      </w:r>
      <w:r w:rsidR="00116794">
        <w:rPr>
          <w:rFonts w:ascii="Arial" w:eastAsia="Arial" w:hAnsi="Arial" w:cs="Arial"/>
          <w:lang w:val="en-GB"/>
        </w:rPr>
        <w:t xml:space="preserve"> </w:t>
      </w:r>
      <w:r w:rsidRPr="00DA2DE2">
        <w:rPr>
          <w:rFonts w:ascii="Arial" w:eastAsia="Arial" w:hAnsi="Arial" w:cs="Arial"/>
          <w:lang w:val="en-GB"/>
        </w:rPr>
        <w:t>The intervention spectrum in this study is characterised by two main orthogonal dimensions (</w:t>
      </w:r>
      <w:r w:rsidR="007E20A9" w:rsidRPr="00DA2DE2">
        <w:rPr>
          <w:rFonts w:ascii="Arial" w:eastAsia="Arial" w:hAnsi="Arial" w:cs="Arial"/>
          <w:lang w:val="en-GB"/>
        </w:rPr>
        <w:t xml:space="preserve">Supplementary </w:t>
      </w:r>
      <w:r w:rsidRPr="00DA2DE2">
        <w:rPr>
          <w:rFonts w:ascii="Arial" w:eastAsia="Arial" w:hAnsi="Arial" w:cs="Arial"/>
          <w:lang w:val="en-GB"/>
        </w:rPr>
        <w:t>Table 1): extent of intervention and degree of system transformation. The extent of intervention reflects the degree of physical modification applied to the structure, ranging from minimal or local repairs to selective component replacement, substantial partial replacement or system modification, and full deck replacement or reconstruction.</w:t>
      </w:r>
      <w:r w:rsidR="00116794">
        <w:rPr>
          <w:rFonts w:ascii="Arial" w:eastAsia="Arial" w:hAnsi="Arial" w:cs="Arial"/>
          <w:lang w:val="en-GB"/>
        </w:rPr>
        <w:t xml:space="preserve"> </w:t>
      </w:r>
      <w:r w:rsidRPr="00DA2DE2">
        <w:rPr>
          <w:rFonts w:ascii="Arial" w:eastAsia="Arial" w:hAnsi="Arial" w:cs="Arial"/>
          <w:lang w:val="en-GB"/>
        </w:rPr>
        <w:t>The degree of system transformation describes the extent to which each retrofit strategy alters the original structural system and construction approach. Lower levels of transformation correspond to conservative solutions that closely follow the original structural configuration, while higher levels indicate strategies involving more substantial modifications of load paths, structural typology, or construction methods.</w:t>
      </w:r>
    </w:p>
    <w:p w14:paraId="5F573DFE" w14:textId="77777777" w:rsidR="004E1B8F" w:rsidRPr="00DA2DE2" w:rsidRDefault="004E1B8F" w:rsidP="004E1B8F">
      <w:pPr>
        <w:spacing w:before="240" w:after="240"/>
        <w:jc w:val="both"/>
        <w:rPr>
          <w:rFonts w:ascii="Arial" w:eastAsia="Arial" w:hAnsi="Arial" w:cs="Arial"/>
          <w:lang w:val="en-GB"/>
        </w:rPr>
      </w:pPr>
      <w:r w:rsidRPr="00DA2DE2">
        <w:rPr>
          <w:rFonts w:ascii="Arial" w:eastAsia="Arial" w:hAnsi="Arial" w:cs="Arial"/>
          <w:lang w:val="en-GB"/>
        </w:rPr>
        <w:lastRenderedPageBreak/>
        <w:t>Minimal interventions, characterised by limited intervention extent and low system transformation, typically restore only partial functionality with reduced cost, short construction duration, and limited traffic disruption, but provide temporary mitigation. At the opposite end of the spectrum, full replacement strategies allow redefinition of load paths, compliance with current design standards, and enhanced durability, but generally entail higher direct costs, embodied carbon, traffic impact, and the need for rigorous verification of substructure compatibility. Intermediate strategies combine preservation of sound existing elements with targeted replacements or auxiliary load paths to reduce demand on damaged components. These approaches aim to balance performance improvement, constructability, and sustainability.</w:t>
      </w:r>
    </w:p>
    <w:p w14:paraId="30F22266" w14:textId="528828A4" w:rsidR="004E1B8F" w:rsidRPr="00DA2DE2" w:rsidRDefault="004E1B8F" w:rsidP="004E1B8F">
      <w:pPr>
        <w:pStyle w:val="FigureCaption"/>
        <w:jc w:val="both"/>
        <w:rPr>
          <w:rFonts w:ascii="Arial" w:eastAsia="Times New Roman" w:hAnsi="Arial" w:cs="Arial"/>
          <w:lang w:val="en-GB"/>
        </w:rPr>
      </w:pPr>
      <w:r w:rsidRPr="00DA2DE2">
        <w:rPr>
          <w:rFonts w:ascii="Arial" w:eastAsia="Times New Roman" w:hAnsi="Arial" w:cs="Arial"/>
          <w:b/>
          <w:bCs/>
          <w:lang w:val="en-GB"/>
        </w:rPr>
        <w:t>Supplementary Table 1.</w:t>
      </w:r>
      <w:r w:rsidRPr="00DA2DE2">
        <w:rPr>
          <w:rFonts w:ascii="Arial" w:eastAsia="Times New Roman" w:hAnsi="Arial" w:cs="Arial"/>
          <w:lang w:val="en-GB"/>
        </w:rPr>
        <w:t xml:space="preserve"> </w:t>
      </w:r>
      <w:r w:rsidRPr="00D96A58">
        <w:rPr>
          <w:rFonts w:ascii="Arial" w:eastAsia="Times New Roman" w:hAnsi="Arial" w:cs="Arial"/>
          <w:b/>
          <w:bCs/>
          <w:lang w:val="en-GB"/>
        </w:rPr>
        <w:t>Retrofit scenarios</w:t>
      </w:r>
    </w:p>
    <w:tbl>
      <w:tblPr>
        <w:tblStyle w:val="TableGrid"/>
        <w:tblW w:w="9628" w:type="dxa"/>
        <w:tblLayout w:type="fixed"/>
        <w:tblLook w:val="04A0" w:firstRow="1" w:lastRow="0" w:firstColumn="1" w:lastColumn="0" w:noHBand="0" w:noVBand="1"/>
      </w:tblPr>
      <w:tblGrid>
        <w:gridCol w:w="1124"/>
        <w:gridCol w:w="1374"/>
        <w:gridCol w:w="1745"/>
        <w:gridCol w:w="1417"/>
        <w:gridCol w:w="1298"/>
        <w:gridCol w:w="1335"/>
        <w:gridCol w:w="1335"/>
      </w:tblGrid>
      <w:tr w:rsidR="004E1B8F" w:rsidRPr="00DA2DE2" w14:paraId="65151412" w14:textId="77777777" w:rsidTr="00BA5B8D">
        <w:trPr>
          <w:trHeight w:val="300"/>
        </w:trPr>
        <w:tc>
          <w:tcPr>
            <w:tcW w:w="1124" w:type="dxa"/>
            <w:tcMar>
              <w:left w:w="108" w:type="dxa"/>
              <w:right w:w="108" w:type="dxa"/>
            </w:tcMar>
          </w:tcPr>
          <w:p w14:paraId="541E76D3"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Scenario</w:t>
            </w:r>
          </w:p>
        </w:tc>
        <w:tc>
          <w:tcPr>
            <w:tcW w:w="1374" w:type="dxa"/>
            <w:tcMar>
              <w:left w:w="108" w:type="dxa"/>
              <w:right w:w="108" w:type="dxa"/>
            </w:tcMar>
          </w:tcPr>
          <w:p w14:paraId="2FC15957"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Type</w:t>
            </w:r>
          </w:p>
        </w:tc>
        <w:tc>
          <w:tcPr>
            <w:tcW w:w="1745" w:type="dxa"/>
            <w:tcMar>
              <w:left w:w="108" w:type="dxa"/>
              <w:right w:w="108" w:type="dxa"/>
            </w:tcMar>
          </w:tcPr>
          <w:p w14:paraId="278D2C88"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Intervention</w:t>
            </w:r>
          </w:p>
        </w:tc>
        <w:tc>
          <w:tcPr>
            <w:tcW w:w="1417" w:type="dxa"/>
            <w:tcMar>
              <w:left w:w="108" w:type="dxa"/>
              <w:right w:w="108" w:type="dxa"/>
            </w:tcMar>
          </w:tcPr>
          <w:p w14:paraId="6DF233A5"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Gerber joints</w:t>
            </w:r>
          </w:p>
        </w:tc>
        <w:tc>
          <w:tcPr>
            <w:tcW w:w="1298" w:type="dxa"/>
            <w:tcMar>
              <w:left w:w="108" w:type="dxa"/>
              <w:right w:w="108" w:type="dxa"/>
            </w:tcMar>
          </w:tcPr>
          <w:p w14:paraId="7FB443C3"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External prestressing</w:t>
            </w:r>
          </w:p>
        </w:tc>
        <w:tc>
          <w:tcPr>
            <w:tcW w:w="1335" w:type="dxa"/>
            <w:tcMar>
              <w:left w:w="108" w:type="dxa"/>
              <w:right w:w="108" w:type="dxa"/>
            </w:tcMar>
          </w:tcPr>
          <w:p w14:paraId="419895BD"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Traffic disruption</w:t>
            </w:r>
          </w:p>
        </w:tc>
        <w:tc>
          <w:tcPr>
            <w:tcW w:w="1335" w:type="dxa"/>
            <w:tcMar>
              <w:left w:w="108" w:type="dxa"/>
              <w:right w:w="108" w:type="dxa"/>
            </w:tcMar>
          </w:tcPr>
          <w:p w14:paraId="15B53DEB"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Degree of system transformation</w:t>
            </w:r>
          </w:p>
        </w:tc>
      </w:tr>
      <w:tr w:rsidR="004E1B8F" w:rsidRPr="00DA2DE2" w14:paraId="2DD9732F" w14:textId="77777777" w:rsidTr="00BA5B8D">
        <w:trPr>
          <w:trHeight w:val="300"/>
        </w:trPr>
        <w:tc>
          <w:tcPr>
            <w:tcW w:w="1124" w:type="dxa"/>
            <w:tcMar>
              <w:left w:w="108" w:type="dxa"/>
              <w:right w:w="108" w:type="dxa"/>
            </w:tcMar>
          </w:tcPr>
          <w:p w14:paraId="74AFDD1D"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#1</w:t>
            </w:r>
          </w:p>
        </w:tc>
        <w:tc>
          <w:tcPr>
            <w:tcW w:w="1374" w:type="dxa"/>
            <w:tcMar>
              <w:left w:w="108" w:type="dxa"/>
              <w:right w:w="108" w:type="dxa"/>
            </w:tcMar>
          </w:tcPr>
          <w:p w14:paraId="19C294ED"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Partial repair</w:t>
            </w:r>
          </w:p>
        </w:tc>
        <w:tc>
          <w:tcPr>
            <w:tcW w:w="1745" w:type="dxa"/>
            <w:tcMar>
              <w:left w:w="108" w:type="dxa"/>
              <w:right w:w="108" w:type="dxa"/>
            </w:tcMar>
          </w:tcPr>
          <w:p w14:paraId="58D81772"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Preserved cantilevers + steel beams</w:t>
            </w:r>
          </w:p>
        </w:tc>
        <w:tc>
          <w:tcPr>
            <w:tcW w:w="1417" w:type="dxa"/>
            <w:tcMar>
              <w:left w:w="108" w:type="dxa"/>
              <w:right w:w="108" w:type="dxa"/>
            </w:tcMar>
          </w:tcPr>
          <w:p w14:paraId="750857F6"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Restored</w:t>
            </w:r>
          </w:p>
        </w:tc>
        <w:tc>
          <w:tcPr>
            <w:tcW w:w="1298" w:type="dxa"/>
            <w:tcMar>
              <w:left w:w="108" w:type="dxa"/>
              <w:right w:w="108" w:type="dxa"/>
            </w:tcMar>
          </w:tcPr>
          <w:p w14:paraId="5C23799E"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Yes</w:t>
            </w:r>
          </w:p>
        </w:tc>
        <w:tc>
          <w:tcPr>
            <w:tcW w:w="1335" w:type="dxa"/>
            <w:tcMar>
              <w:left w:w="108" w:type="dxa"/>
              <w:right w:w="108" w:type="dxa"/>
            </w:tcMar>
          </w:tcPr>
          <w:p w14:paraId="57FD88F9"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c>
          <w:tcPr>
            <w:tcW w:w="1335" w:type="dxa"/>
            <w:tcMar>
              <w:left w:w="108" w:type="dxa"/>
              <w:right w:w="108" w:type="dxa"/>
            </w:tcMar>
          </w:tcPr>
          <w:p w14:paraId="347CABD9"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r>
      <w:tr w:rsidR="004E1B8F" w:rsidRPr="00DA2DE2" w14:paraId="7B26921A" w14:textId="77777777" w:rsidTr="00BA5B8D">
        <w:trPr>
          <w:trHeight w:val="300"/>
        </w:trPr>
        <w:tc>
          <w:tcPr>
            <w:tcW w:w="1124" w:type="dxa"/>
            <w:tcMar>
              <w:left w:w="108" w:type="dxa"/>
              <w:right w:w="108" w:type="dxa"/>
            </w:tcMar>
          </w:tcPr>
          <w:p w14:paraId="0A249344"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#2</w:t>
            </w:r>
          </w:p>
        </w:tc>
        <w:tc>
          <w:tcPr>
            <w:tcW w:w="1374" w:type="dxa"/>
            <w:tcMar>
              <w:left w:w="108" w:type="dxa"/>
              <w:right w:w="108" w:type="dxa"/>
            </w:tcMar>
          </w:tcPr>
          <w:p w14:paraId="38324C3B"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Structural transformation</w:t>
            </w:r>
          </w:p>
        </w:tc>
        <w:tc>
          <w:tcPr>
            <w:tcW w:w="1745" w:type="dxa"/>
            <w:tcMar>
              <w:left w:w="108" w:type="dxa"/>
              <w:right w:w="108" w:type="dxa"/>
            </w:tcMar>
          </w:tcPr>
          <w:p w14:paraId="7CA33392"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Stayed cantilevers + partial replacement</w:t>
            </w:r>
          </w:p>
        </w:tc>
        <w:tc>
          <w:tcPr>
            <w:tcW w:w="1417" w:type="dxa"/>
            <w:tcMar>
              <w:left w:w="108" w:type="dxa"/>
              <w:right w:w="108" w:type="dxa"/>
            </w:tcMar>
          </w:tcPr>
          <w:p w14:paraId="1BFE5476"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Rehabilitated</w:t>
            </w:r>
          </w:p>
        </w:tc>
        <w:tc>
          <w:tcPr>
            <w:tcW w:w="1298" w:type="dxa"/>
            <w:tcMar>
              <w:left w:w="108" w:type="dxa"/>
              <w:right w:w="108" w:type="dxa"/>
            </w:tcMar>
          </w:tcPr>
          <w:p w14:paraId="06FB066B"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No</w:t>
            </w:r>
          </w:p>
        </w:tc>
        <w:tc>
          <w:tcPr>
            <w:tcW w:w="1335" w:type="dxa"/>
            <w:tcMar>
              <w:left w:w="108" w:type="dxa"/>
              <w:right w:w="108" w:type="dxa"/>
            </w:tcMar>
          </w:tcPr>
          <w:p w14:paraId="6731D849"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Moderate</w:t>
            </w:r>
          </w:p>
        </w:tc>
        <w:tc>
          <w:tcPr>
            <w:tcW w:w="1335" w:type="dxa"/>
            <w:tcMar>
              <w:left w:w="108" w:type="dxa"/>
              <w:right w:w="108" w:type="dxa"/>
            </w:tcMar>
          </w:tcPr>
          <w:p w14:paraId="7E43692B"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hAnsi="Arial" w:cs="Arial"/>
                <w:sz w:val="20"/>
                <w:szCs w:val="20"/>
                <w:lang w:val="en-GB"/>
              </w:rPr>
              <w:t>High</w:t>
            </w:r>
          </w:p>
        </w:tc>
      </w:tr>
      <w:tr w:rsidR="004E1B8F" w:rsidRPr="00DA2DE2" w14:paraId="6927B9E2" w14:textId="77777777" w:rsidTr="00BA5B8D">
        <w:trPr>
          <w:trHeight w:val="300"/>
        </w:trPr>
        <w:tc>
          <w:tcPr>
            <w:tcW w:w="1124" w:type="dxa"/>
            <w:tcMar>
              <w:left w:w="108" w:type="dxa"/>
              <w:right w:w="108" w:type="dxa"/>
            </w:tcMar>
          </w:tcPr>
          <w:p w14:paraId="11BFD67A"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#3</w:t>
            </w:r>
          </w:p>
        </w:tc>
        <w:tc>
          <w:tcPr>
            <w:tcW w:w="1374" w:type="dxa"/>
            <w:tcMar>
              <w:left w:w="108" w:type="dxa"/>
              <w:right w:w="108" w:type="dxa"/>
            </w:tcMar>
          </w:tcPr>
          <w:p w14:paraId="0793B082"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Partial repair</w:t>
            </w:r>
          </w:p>
        </w:tc>
        <w:tc>
          <w:tcPr>
            <w:tcW w:w="1745" w:type="dxa"/>
            <w:tcMar>
              <w:left w:w="108" w:type="dxa"/>
              <w:right w:w="108" w:type="dxa"/>
            </w:tcMar>
          </w:tcPr>
          <w:p w14:paraId="47E728D1"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Preserved + externally prestressed</w:t>
            </w:r>
          </w:p>
        </w:tc>
        <w:tc>
          <w:tcPr>
            <w:tcW w:w="1417" w:type="dxa"/>
            <w:tcMar>
              <w:left w:w="108" w:type="dxa"/>
              <w:right w:w="108" w:type="dxa"/>
            </w:tcMar>
          </w:tcPr>
          <w:p w14:paraId="0A15BF9B"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Rehabilitated</w:t>
            </w:r>
          </w:p>
        </w:tc>
        <w:tc>
          <w:tcPr>
            <w:tcW w:w="1298" w:type="dxa"/>
            <w:tcMar>
              <w:left w:w="108" w:type="dxa"/>
              <w:right w:w="108" w:type="dxa"/>
            </w:tcMar>
          </w:tcPr>
          <w:p w14:paraId="7F646370"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Yes</w:t>
            </w:r>
          </w:p>
        </w:tc>
        <w:tc>
          <w:tcPr>
            <w:tcW w:w="1335" w:type="dxa"/>
            <w:tcMar>
              <w:left w:w="108" w:type="dxa"/>
              <w:right w:w="108" w:type="dxa"/>
            </w:tcMar>
          </w:tcPr>
          <w:p w14:paraId="4947C07D"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c>
          <w:tcPr>
            <w:tcW w:w="1335" w:type="dxa"/>
            <w:tcMar>
              <w:left w:w="108" w:type="dxa"/>
              <w:right w:w="108" w:type="dxa"/>
            </w:tcMar>
          </w:tcPr>
          <w:p w14:paraId="60B05E8A"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r>
      <w:tr w:rsidR="004E1B8F" w:rsidRPr="00DA2DE2" w14:paraId="6E440E4E" w14:textId="77777777" w:rsidTr="00BA5B8D">
        <w:trPr>
          <w:trHeight w:val="300"/>
        </w:trPr>
        <w:tc>
          <w:tcPr>
            <w:tcW w:w="1124" w:type="dxa"/>
            <w:tcMar>
              <w:left w:w="108" w:type="dxa"/>
              <w:right w:w="108" w:type="dxa"/>
            </w:tcMar>
          </w:tcPr>
          <w:p w14:paraId="34130691"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#4</w:t>
            </w:r>
          </w:p>
        </w:tc>
        <w:tc>
          <w:tcPr>
            <w:tcW w:w="1374" w:type="dxa"/>
            <w:tcMar>
              <w:left w:w="108" w:type="dxa"/>
              <w:right w:w="108" w:type="dxa"/>
            </w:tcMar>
          </w:tcPr>
          <w:p w14:paraId="58EFBEFE"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Full replacement</w:t>
            </w:r>
          </w:p>
        </w:tc>
        <w:tc>
          <w:tcPr>
            <w:tcW w:w="1745" w:type="dxa"/>
            <w:tcMar>
              <w:left w:w="108" w:type="dxa"/>
              <w:right w:w="108" w:type="dxa"/>
            </w:tcMar>
          </w:tcPr>
          <w:p w14:paraId="007EF9B5"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Full replacement with prestressed concrete</w:t>
            </w:r>
          </w:p>
        </w:tc>
        <w:tc>
          <w:tcPr>
            <w:tcW w:w="1417" w:type="dxa"/>
            <w:tcMar>
              <w:left w:w="108" w:type="dxa"/>
              <w:right w:w="108" w:type="dxa"/>
            </w:tcMar>
          </w:tcPr>
          <w:p w14:paraId="223E49A8"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Replaced</w:t>
            </w:r>
          </w:p>
        </w:tc>
        <w:tc>
          <w:tcPr>
            <w:tcW w:w="1298" w:type="dxa"/>
            <w:tcMar>
              <w:left w:w="108" w:type="dxa"/>
              <w:right w:w="108" w:type="dxa"/>
            </w:tcMar>
          </w:tcPr>
          <w:p w14:paraId="4A9C6EA6"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No</w:t>
            </w:r>
          </w:p>
        </w:tc>
        <w:tc>
          <w:tcPr>
            <w:tcW w:w="1335" w:type="dxa"/>
            <w:tcMar>
              <w:left w:w="108" w:type="dxa"/>
              <w:right w:w="108" w:type="dxa"/>
            </w:tcMar>
          </w:tcPr>
          <w:p w14:paraId="6E4DB99F"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High</w:t>
            </w:r>
          </w:p>
        </w:tc>
        <w:tc>
          <w:tcPr>
            <w:tcW w:w="1335" w:type="dxa"/>
            <w:tcMar>
              <w:left w:w="108" w:type="dxa"/>
              <w:right w:w="108" w:type="dxa"/>
            </w:tcMar>
          </w:tcPr>
          <w:p w14:paraId="36D6ECB8"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 xml:space="preserve">Low </w:t>
            </w:r>
          </w:p>
        </w:tc>
      </w:tr>
      <w:tr w:rsidR="004E1B8F" w:rsidRPr="00DA2DE2" w14:paraId="18CCDA29" w14:textId="77777777" w:rsidTr="00BA5B8D">
        <w:trPr>
          <w:trHeight w:val="300"/>
        </w:trPr>
        <w:tc>
          <w:tcPr>
            <w:tcW w:w="1124" w:type="dxa"/>
            <w:tcMar>
              <w:left w:w="108" w:type="dxa"/>
              <w:right w:w="108" w:type="dxa"/>
            </w:tcMar>
          </w:tcPr>
          <w:p w14:paraId="43E5C0C5"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#5</w:t>
            </w:r>
          </w:p>
        </w:tc>
        <w:tc>
          <w:tcPr>
            <w:tcW w:w="1374" w:type="dxa"/>
            <w:tcMar>
              <w:left w:w="108" w:type="dxa"/>
              <w:right w:w="108" w:type="dxa"/>
            </w:tcMar>
          </w:tcPr>
          <w:p w14:paraId="602117E9"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Full replacement</w:t>
            </w:r>
          </w:p>
        </w:tc>
        <w:tc>
          <w:tcPr>
            <w:tcW w:w="1745" w:type="dxa"/>
            <w:tcMar>
              <w:left w:w="108" w:type="dxa"/>
              <w:right w:w="108" w:type="dxa"/>
            </w:tcMar>
          </w:tcPr>
          <w:p w14:paraId="709F3762"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Steel beams + concrete slab</w:t>
            </w:r>
          </w:p>
        </w:tc>
        <w:tc>
          <w:tcPr>
            <w:tcW w:w="1417" w:type="dxa"/>
            <w:tcMar>
              <w:left w:w="108" w:type="dxa"/>
              <w:right w:w="108" w:type="dxa"/>
            </w:tcMar>
          </w:tcPr>
          <w:p w14:paraId="271CA077"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Replaced</w:t>
            </w:r>
          </w:p>
        </w:tc>
        <w:tc>
          <w:tcPr>
            <w:tcW w:w="1298" w:type="dxa"/>
            <w:tcMar>
              <w:left w:w="108" w:type="dxa"/>
              <w:right w:w="108" w:type="dxa"/>
            </w:tcMar>
          </w:tcPr>
          <w:p w14:paraId="1044C46F"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No</w:t>
            </w:r>
          </w:p>
        </w:tc>
        <w:tc>
          <w:tcPr>
            <w:tcW w:w="1335" w:type="dxa"/>
            <w:tcMar>
              <w:left w:w="108" w:type="dxa"/>
              <w:right w:w="108" w:type="dxa"/>
            </w:tcMar>
          </w:tcPr>
          <w:p w14:paraId="39308993"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High</w:t>
            </w:r>
          </w:p>
        </w:tc>
        <w:tc>
          <w:tcPr>
            <w:tcW w:w="1335" w:type="dxa"/>
            <w:tcMar>
              <w:left w:w="108" w:type="dxa"/>
              <w:right w:w="108" w:type="dxa"/>
            </w:tcMar>
          </w:tcPr>
          <w:p w14:paraId="161AAF89"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r>
      <w:tr w:rsidR="004E1B8F" w:rsidRPr="00DA2DE2" w14:paraId="4B775BE6" w14:textId="77777777" w:rsidTr="00BA5B8D">
        <w:trPr>
          <w:trHeight w:val="300"/>
        </w:trPr>
        <w:tc>
          <w:tcPr>
            <w:tcW w:w="1124" w:type="dxa"/>
            <w:tcMar>
              <w:left w:w="108" w:type="dxa"/>
              <w:right w:w="108" w:type="dxa"/>
            </w:tcMar>
          </w:tcPr>
          <w:p w14:paraId="05DA2400" w14:textId="77777777" w:rsidR="004E1B8F" w:rsidRPr="00DA2DE2" w:rsidRDefault="004E1B8F" w:rsidP="00BA5B8D">
            <w:pPr>
              <w:rPr>
                <w:rFonts w:ascii="Arial" w:eastAsia="Calibri" w:hAnsi="Arial" w:cs="Arial"/>
                <w:b/>
                <w:bCs/>
                <w:sz w:val="20"/>
                <w:szCs w:val="20"/>
                <w:lang w:val="en-GB"/>
              </w:rPr>
            </w:pPr>
            <w:r w:rsidRPr="00DA2DE2">
              <w:rPr>
                <w:rFonts w:ascii="Arial" w:eastAsia="Calibri" w:hAnsi="Arial" w:cs="Arial"/>
                <w:b/>
                <w:bCs/>
                <w:sz w:val="20"/>
                <w:szCs w:val="20"/>
                <w:lang w:val="en-GB"/>
              </w:rPr>
              <w:t>#6</w:t>
            </w:r>
          </w:p>
        </w:tc>
        <w:tc>
          <w:tcPr>
            <w:tcW w:w="1374" w:type="dxa"/>
            <w:tcMar>
              <w:left w:w="108" w:type="dxa"/>
              <w:right w:w="108" w:type="dxa"/>
            </w:tcMar>
          </w:tcPr>
          <w:p w14:paraId="1CA3C3F5"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Full replacement (modular)</w:t>
            </w:r>
          </w:p>
        </w:tc>
        <w:tc>
          <w:tcPr>
            <w:tcW w:w="1745" w:type="dxa"/>
            <w:tcMar>
              <w:left w:w="108" w:type="dxa"/>
              <w:right w:w="108" w:type="dxa"/>
            </w:tcMar>
          </w:tcPr>
          <w:p w14:paraId="51A14B12" w14:textId="77777777" w:rsidR="004E1B8F" w:rsidRPr="00DA2DE2" w:rsidRDefault="004E1B8F" w:rsidP="00BA5B8D">
            <w:pPr>
              <w:rPr>
                <w:rFonts w:ascii="Arial" w:hAnsi="Arial" w:cs="Arial"/>
                <w:sz w:val="20"/>
                <w:szCs w:val="20"/>
                <w:lang w:val="en-GB"/>
              </w:rPr>
            </w:pPr>
            <w:r w:rsidRPr="00DA2DE2">
              <w:rPr>
                <w:rFonts w:ascii="Arial" w:eastAsia="Calibri" w:hAnsi="Arial" w:cs="Arial"/>
                <w:color w:val="000000" w:themeColor="text1"/>
                <w:sz w:val="20"/>
                <w:szCs w:val="20"/>
                <w:lang w:val="en-GB"/>
              </w:rPr>
              <w:t>Prefabricated segments with dry joints</w:t>
            </w:r>
          </w:p>
        </w:tc>
        <w:tc>
          <w:tcPr>
            <w:tcW w:w="1417" w:type="dxa"/>
            <w:tcMar>
              <w:left w:w="108" w:type="dxa"/>
              <w:right w:w="108" w:type="dxa"/>
            </w:tcMar>
          </w:tcPr>
          <w:p w14:paraId="33C9CCCE"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Replaced</w:t>
            </w:r>
          </w:p>
        </w:tc>
        <w:tc>
          <w:tcPr>
            <w:tcW w:w="1298" w:type="dxa"/>
            <w:tcMar>
              <w:left w:w="108" w:type="dxa"/>
              <w:right w:w="108" w:type="dxa"/>
            </w:tcMar>
          </w:tcPr>
          <w:p w14:paraId="5FC2B774"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No</w:t>
            </w:r>
          </w:p>
        </w:tc>
        <w:tc>
          <w:tcPr>
            <w:tcW w:w="1335" w:type="dxa"/>
            <w:tcMar>
              <w:left w:w="108" w:type="dxa"/>
              <w:right w:w="108" w:type="dxa"/>
            </w:tcMar>
          </w:tcPr>
          <w:p w14:paraId="4C04B4F5"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Moderate</w:t>
            </w:r>
          </w:p>
        </w:tc>
        <w:tc>
          <w:tcPr>
            <w:tcW w:w="1335" w:type="dxa"/>
            <w:tcMar>
              <w:left w:w="108" w:type="dxa"/>
              <w:right w:w="108" w:type="dxa"/>
            </w:tcMar>
          </w:tcPr>
          <w:p w14:paraId="6B9EF058" w14:textId="77777777" w:rsidR="004E1B8F" w:rsidRPr="00DA2DE2" w:rsidRDefault="004E1B8F" w:rsidP="00BA5B8D">
            <w:pPr>
              <w:rPr>
                <w:rFonts w:ascii="Arial" w:eastAsia="Calibri" w:hAnsi="Arial" w:cs="Arial"/>
                <w:color w:val="000000" w:themeColor="text1"/>
                <w:sz w:val="20"/>
                <w:szCs w:val="20"/>
                <w:lang w:val="en-GB"/>
              </w:rPr>
            </w:pPr>
            <w:r w:rsidRPr="00DA2DE2">
              <w:rPr>
                <w:rFonts w:ascii="Arial" w:eastAsia="Calibri" w:hAnsi="Arial" w:cs="Arial"/>
                <w:color w:val="000000" w:themeColor="text1"/>
                <w:sz w:val="20"/>
                <w:szCs w:val="20"/>
                <w:lang w:val="en-GB"/>
              </w:rPr>
              <w:t>High</w:t>
            </w:r>
          </w:p>
        </w:tc>
      </w:tr>
    </w:tbl>
    <w:p w14:paraId="2D938276" w14:textId="77777777" w:rsidR="009C1F4B" w:rsidRDefault="009C1F4B" w:rsidP="004E1B8F">
      <w:pPr>
        <w:jc w:val="both"/>
        <w:rPr>
          <w:rFonts w:ascii="Arial" w:hAnsi="Arial" w:cs="Arial"/>
          <w:color w:val="1F1F1F"/>
          <w:lang w:val="en-GB"/>
        </w:rPr>
      </w:pPr>
    </w:p>
    <w:p w14:paraId="47BBB765" w14:textId="4F0E6046" w:rsidR="004E1B8F" w:rsidRPr="00DA2DE2" w:rsidRDefault="004E1B8F" w:rsidP="004E1B8F">
      <w:pPr>
        <w:jc w:val="both"/>
        <w:rPr>
          <w:rFonts w:ascii="Arial" w:hAnsi="Arial" w:cs="Arial"/>
          <w:color w:val="1F1F1F"/>
          <w:lang w:val="en-GB"/>
        </w:rPr>
      </w:pPr>
      <w:r w:rsidRPr="00DA2DE2">
        <w:rPr>
          <w:rFonts w:ascii="Arial" w:hAnsi="Arial" w:cs="Arial"/>
          <w:color w:val="1F1F1F"/>
          <w:lang w:val="en-GB"/>
        </w:rPr>
        <w:t xml:space="preserve">Selecting an optimal retrofit for the </w:t>
      </w:r>
      <w:r w:rsidR="009C1F4B">
        <w:rPr>
          <w:rFonts w:ascii="Arial" w:hAnsi="Arial" w:cs="Arial"/>
          <w:color w:val="1F1F1F"/>
          <w:lang w:val="en-GB"/>
        </w:rPr>
        <w:t>case study b</w:t>
      </w:r>
      <w:r w:rsidRPr="00DA2DE2">
        <w:rPr>
          <w:rFonts w:ascii="Arial" w:hAnsi="Arial" w:cs="Arial"/>
          <w:color w:val="1F1F1F"/>
          <w:lang w:val="en-GB"/>
        </w:rPr>
        <w:t>ridge requires weighing the trade</w:t>
      </w:r>
      <w:r w:rsidRPr="00DA2DE2">
        <w:rPr>
          <w:rFonts w:ascii="Cambria Math" w:hAnsi="Cambria Math" w:cs="Cambria Math"/>
          <w:color w:val="1F1F1F"/>
          <w:lang w:val="en-GB"/>
        </w:rPr>
        <w:t>‑</w:t>
      </w:r>
      <w:r w:rsidRPr="00DA2DE2">
        <w:rPr>
          <w:rFonts w:ascii="Arial" w:hAnsi="Arial" w:cs="Arial"/>
          <w:color w:val="1F1F1F"/>
          <w:lang w:val="en-GB"/>
        </w:rPr>
        <w:t>offs between transformational replacement (which permits full system redefinition and code compliance but demands major intervention and substructure compatibility) and conservative repair or hybrid measures (which conserve existing fabric, reduce disruption and waste but depend on reliable diagnostics and careful integration). A final decision should follow a rigorous, multidisciplinary appraisal that quantifies structural performance, life cycle costs, constructability, and environmental and operational impacts.</w:t>
      </w:r>
    </w:p>
    <w:p w14:paraId="077774B0" w14:textId="33AB1C7B" w:rsidR="004E1B8F" w:rsidRPr="00DA2DE2" w:rsidRDefault="004E1B8F" w:rsidP="004E1B8F">
      <w:pPr>
        <w:pStyle w:val="Heading3"/>
        <w:rPr>
          <w:rFonts w:ascii="Arial" w:hAnsi="Arial" w:cs="Arial"/>
          <w:color w:val="1F1F1F"/>
          <w:lang w:val="en-GB"/>
        </w:rPr>
      </w:pPr>
      <w:r w:rsidRPr="00DA2DE2">
        <w:rPr>
          <w:rFonts w:ascii="Arial" w:hAnsi="Arial" w:cs="Arial"/>
          <w:b/>
          <w:bCs/>
          <w:color w:val="auto"/>
          <w:sz w:val="26"/>
          <w:szCs w:val="26"/>
          <w:lang w:val="en-GB"/>
        </w:rPr>
        <w:t>Retrofit strategies: material and performance outlook</w:t>
      </w:r>
    </w:p>
    <w:p w14:paraId="0CC432FF" w14:textId="53A3AAE0" w:rsidR="004E1B8F" w:rsidRPr="00DA2DE2" w:rsidRDefault="004E1B8F" w:rsidP="004E1B8F">
      <w:pPr>
        <w:spacing w:line="257" w:lineRule="auto"/>
        <w:jc w:val="both"/>
        <w:rPr>
          <w:rFonts w:ascii="Arial" w:eastAsia="Arial" w:hAnsi="Arial" w:cs="Arial"/>
          <w:color w:val="1F1F1F"/>
          <w:lang w:val="en-GB"/>
        </w:rPr>
      </w:pPr>
      <w:r w:rsidRPr="00DA2DE2">
        <w:rPr>
          <w:rFonts w:ascii="Arial" w:hAnsi="Arial" w:cs="Arial"/>
          <w:color w:val="1F1F1F"/>
          <w:lang w:val="en-GB"/>
        </w:rPr>
        <w:t>Material quantities for each scenario (</w:t>
      </w:r>
      <w:r w:rsidRPr="00DA2DE2">
        <w:rPr>
          <w:rFonts w:ascii="Arial" w:eastAsia="Arial" w:hAnsi="Arial" w:cs="Arial"/>
          <w:color w:val="1F1F1F"/>
          <w:lang w:val="en-GB"/>
        </w:rPr>
        <w:t>concrete, reinforcement steel, prestressing tendons, and bituminous pavement layers) were estimated for a representative 100 m span using as</w:t>
      </w:r>
      <w:r w:rsidRPr="00DA2DE2">
        <w:rPr>
          <w:rFonts w:ascii="Cambria Math" w:eastAsia="Arial" w:hAnsi="Cambria Math" w:cs="Cambria Math"/>
          <w:color w:val="1F1F1F"/>
          <w:lang w:val="en-GB"/>
        </w:rPr>
        <w:t>‑</w:t>
      </w:r>
      <w:r w:rsidRPr="00DA2DE2">
        <w:rPr>
          <w:rFonts w:ascii="Arial" w:eastAsia="Arial" w:hAnsi="Arial" w:cs="Arial"/>
          <w:color w:val="1F1F1F"/>
          <w:lang w:val="en-GB"/>
        </w:rPr>
        <w:t xml:space="preserve">built geometry and standard material densities in accordance with Eurocode 2, fib Model Code 2010, and EN 1504 for concrete repair practices; results are summarized in </w:t>
      </w:r>
      <w:r w:rsidR="007E20A9" w:rsidRPr="00DA2DE2">
        <w:rPr>
          <w:rFonts w:ascii="Arial" w:eastAsia="Arial" w:hAnsi="Arial" w:cs="Arial"/>
          <w:lang w:val="en-GB"/>
        </w:rPr>
        <w:t xml:space="preserve">Supplementary </w:t>
      </w:r>
      <w:r w:rsidRPr="00DA2DE2">
        <w:rPr>
          <w:rFonts w:ascii="Arial" w:eastAsia="Arial" w:hAnsi="Arial" w:cs="Arial"/>
          <w:color w:val="1F1F1F"/>
          <w:lang w:val="en-GB"/>
        </w:rPr>
        <w:t>Table 2.</w:t>
      </w:r>
    </w:p>
    <w:p w14:paraId="5DE516CF" w14:textId="3E3D0E58" w:rsidR="004E1B8F" w:rsidRPr="00D96A58" w:rsidRDefault="004E1B8F" w:rsidP="004E1B8F">
      <w:pPr>
        <w:spacing w:line="257" w:lineRule="auto"/>
        <w:jc w:val="both"/>
        <w:rPr>
          <w:rFonts w:ascii="Arial" w:eastAsia="Arial" w:hAnsi="Arial" w:cs="Arial"/>
          <w:b/>
          <w:bCs/>
          <w:color w:val="1F1F1F"/>
          <w:sz w:val="20"/>
          <w:szCs w:val="20"/>
          <w:lang w:val="en-GB"/>
        </w:rPr>
      </w:pPr>
      <w:r w:rsidRPr="00DA2DE2">
        <w:rPr>
          <w:rFonts w:ascii="Arial" w:eastAsia="Times New Roman" w:hAnsi="Arial" w:cs="Arial"/>
          <w:b/>
          <w:bCs/>
          <w:lang w:val="en-GB"/>
        </w:rPr>
        <w:t xml:space="preserve">Supplementary </w:t>
      </w:r>
      <w:r w:rsidRPr="00DA2DE2">
        <w:rPr>
          <w:rFonts w:ascii="Arial" w:eastAsia="Arial" w:hAnsi="Arial" w:cs="Arial"/>
          <w:b/>
          <w:bCs/>
          <w:sz w:val="20"/>
          <w:szCs w:val="20"/>
          <w:lang w:val="en-GB"/>
        </w:rPr>
        <w:t>Table 2.</w:t>
      </w:r>
      <w:r w:rsidRPr="00DA2DE2">
        <w:rPr>
          <w:rFonts w:ascii="Arial" w:eastAsia="Arial" w:hAnsi="Arial" w:cs="Arial"/>
          <w:sz w:val="20"/>
          <w:szCs w:val="20"/>
          <w:lang w:val="en-GB"/>
        </w:rPr>
        <w:t xml:space="preserve"> </w:t>
      </w:r>
      <w:r w:rsidRPr="00D96A58">
        <w:rPr>
          <w:rFonts w:ascii="Arial" w:eastAsia="Arial" w:hAnsi="Arial" w:cs="Arial"/>
          <w:b/>
          <w:bCs/>
          <w:color w:val="1F1F1F"/>
          <w:sz w:val="20"/>
          <w:szCs w:val="20"/>
          <w:lang w:val="en-GB"/>
        </w:rPr>
        <w:t xml:space="preserve">The summary of material estimations for recovery scenarios #1 </w:t>
      </w:r>
      <w:r w:rsidR="00D96A58">
        <w:rPr>
          <w:rFonts w:ascii="Arial" w:eastAsia="Arial" w:hAnsi="Arial" w:cs="Arial"/>
          <w:b/>
          <w:bCs/>
          <w:color w:val="1F1F1F"/>
          <w:sz w:val="20"/>
          <w:szCs w:val="20"/>
          <w:lang w:val="en-GB"/>
        </w:rPr>
        <w:t>to</w:t>
      </w:r>
      <w:r w:rsidRPr="00D96A58">
        <w:rPr>
          <w:rFonts w:ascii="Arial" w:eastAsia="Arial" w:hAnsi="Arial" w:cs="Arial"/>
          <w:b/>
          <w:bCs/>
          <w:color w:val="1F1F1F"/>
          <w:sz w:val="20"/>
          <w:szCs w:val="20"/>
          <w:lang w:val="en-GB"/>
        </w:rPr>
        <w:t xml:space="preserve"> #6</w:t>
      </w:r>
    </w:p>
    <w:tbl>
      <w:tblPr>
        <w:tblStyle w:val="TableGrid"/>
        <w:tblW w:w="0" w:type="auto"/>
        <w:tblLook w:val="04A0" w:firstRow="1" w:lastRow="0" w:firstColumn="1" w:lastColumn="0" w:noHBand="0" w:noVBand="1"/>
      </w:tblPr>
      <w:tblGrid>
        <w:gridCol w:w="1061"/>
        <w:gridCol w:w="1622"/>
        <w:gridCol w:w="1879"/>
        <w:gridCol w:w="2374"/>
        <w:gridCol w:w="2682"/>
      </w:tblGrid>
      <w:tr w:rsidR="004E1B8F" w:rsidRPr="00DA2DE2" w14:paraId="558594A3"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A8E98D"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Scenario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14A4B5"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Total Concrete (m³)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FF8F78"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Steel (t)</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2FAEA9"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Prestressing (t)</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4C487C"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Key Notes</w:t>
            </w:r>
          </w:p>
        </w:tc>
      </w:tr>
      <w:tr w:rsidR="004E1B8F" w:rsidRPr="00DA2DE2" w14:paraId="0B347DCF"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A41805"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3A3363"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264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D21FF3" w14:textId="5CD35BEA"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312 (Steel), 31.2 (</w:t>
            </w:r>
            <w:r w:rsidR="00D96A58">
              <w:rPr>
                <w:rFonts w:ascii="Arial" w:eastAsia="Arial" w:hAnsi="Arial" w:cs="Arial"/>
                <w:sz w:val="20"/>
                <w:szCs w:val="20"/>
                <w:lang w:val="en-GB"/>
              </w:rPr>
              <w:t>Rebars</w:t>
            </w:r>
            <w:r w:rsidRPr="00DA2DE2">
              <w:rPr>
                <w:rFonts w:ascii="Arial" w:eastAsia="Arial" w:hAnsi="Arial" w:cs="Arial"/>
                <w:sz w:val="20"/>
                <w:szCs w:val="20"/>
                <w:lang w:val="en-GB"/>
              </w:rPr>
              <w:t>)</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20A175"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3.6</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DEBE39"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Hybrid retrofit</w:t>
            </w:r>
          </w:p>
        </w:tc>
      </w:tr>
      <w:tr w:rsidR="004E1B8F" w:rsidRPr="00DA2DE2" w14:paraId="1D7E6481"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CB18C1"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lastRenderedPageBreak/>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81AAE9"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508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867DCB" w14:textId="252299A9"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312 + 95.38 (</w:t>
            </w:r>
            <w:r w:rsidR="00D96A58">
              <w:rPr>
                <w:rFonts w:ascii="Arial" w:eastAsia="Arial" w:hAnsi="Arial" w:cs="Arial"/>
                <w:sz w:val="20"/>
                <w:szCs w:val="20"/>
                <w:lang w:val="en-GB"/>
              </w:rPr>
              <w:t>Rebars</w:t>
            </w:r>
            <w:r w:rsidRPr="00DA2DE2">
              <w:rPr>
                <w:rFonts w:ascii="Arial" w:eastAsia="Arial" w:hAnsi="Arial" w:cs="Arial"/>
                <w:sz w:val="20"/>
                <w:szCs w:val="20"/>
                <w:lang w:val="en-GB"/>
              </w:rPr>
              <w:t>)</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94A3B9"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32 (stays)</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59B4EB"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Partial replacement</w:t>
            </w:r>
          </w:p>
        </w:tc>
      </w:tr>
      <w:tr w:rsidR="004E1B8F" w:rsidRPr="00DA2DE2" w14:paraId="0262F814"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E26722"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9B34A7"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3FD86F" w14:textId="77777777"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7.85 + 3.78 (tendons)</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5F1E80"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3.78</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21D7DC"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Low material use</w:t>
            </w:r>
          </w:p>
        </w:tc>
      </w:tr>
      <w:tr w:rsidR="004E1B8F" w:rsidRPr="00DA2DE2" w14:paraId="3AEB1CDD"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D3D2FC"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51DE79"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1052.7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D09907" w14:textId="77777777"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31.2 (B450C)</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8B8FEA"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32.87</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1CCCD7"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Original design replicated</w:t>
            </w:r>
          </w:p>
        </w:tc>
      </w:tr>
      <w:tr w:rsidR="004E1B8F" w:rsidRPr="00DA2DE2" w14:paraId="1A60E189"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BF0C12"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3EFAD0"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264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28C318" w14:textId="77777777"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780</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D15F23"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3B9F73"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Fast construction</w:t>
            </w:r>
          </w:p>
        </w:tc>
      </w:tr>
      <w:tr w:rsidR="004E1B8F" w:rsidRPr="00DA2DE2" w14:paraId="1B793A3A" w14:textId="77777777" w:rsidTr="004E1B8F">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B907AF" w14:textId="77777777" w:rsidR="004E1B8F" w:rsidRPr="00DA2DE2" w:rsidRDefault="004E1B8F" w:rsidP="004E1B8F">
            <w:pPr>
              <w:jc w:val="both"/>
              <w:rPr>
                <w:rFonts w:ascii="Arial" w:eastAsia="Arial" w:hAnsi="Arial" w:cs="Arial"/>
                <w:b/>
                <w:bCs/>
                <w:sz w:val="20"/>
                <w:szCs w:val="20"/>
                <w:lang w:val="en-GB"/>
              </w:rPr>
            </w:pPr>
            <w:r w:rsidRPr="00DA2DE2">
              <w:rPr>
                <w:rFonts w:ascii="Arial" w:eastAsia="Arial" w:hAnsi="Arial" w:cs="Arial"/>
                <w:b/>
                <w:bCs/>
                <w:sz w:val="20"/>
                <w:szCs w:val="20"/>
                <w:lang w:val="en-GB"/>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687FEC"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520 (C50/60)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002ED0" w14:textId="77777777" w:rsidR="004E1B8F" w:rsidRPr="00DA2DE2" w:rsidRDefault="004E1B8F" w:rsidP="00D96A58">
            <w:pPr>
              <w:rPr>
                <w:rFonts w:ascii="Arial" w:eastAsia="Arial" w:hAnsi="Arial" w:cs="Arial"/>
                <w:sz w:val="20"/>
                <w:szCs w:val="20"/>
                <w:lang w:val="en-GB"/>
              </w:rPr>
            </w:pPr>
            <w:r w:rsidRPr="00DA2DE2">
              <w:rPr>
                <w:rFonts w:ascii="Arial" w:eastAsia="Arial" w:hAnsi="Arial" w:cs="Arial"/>
                <w:sz w:val="20"/>
                <w:szCs w:val="20"/>
                <w:lang w:val="en-GB"/>
              </w:rPr>
              <w:t>78</w:t>
            </w:r>
          </w:p>
        </w:tc>
        <w:tc>
          <w:tcPr>
            <w:tcW w:w="23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10D69A"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w:t>
            </w:r>
          </w:p>
        </w:tc>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05B838" w14:textId="77777777" w:rsidR="004E1B8F" w:rsidRPr="00DA2DE2" w:rsidRDefault="004E1B8F" w:rsidP="004E1B8F">
            <w:pPr>
              <w:jc w:val="both"/>
              <w:rPr>
                <w:rFonts w:ascii="Arial" w:eastAsia="Arial" w:hAnsi="Arial" w:cs="Arial"/>
                <w:sz w:val="20"/>
                <w:szCs w:val="20"/>
                <w:lang w:val="en-GB"/>
              </w:rPr>
            </w:pPr>
            <w:r w:rsidRPr="00DA2DE2">
              <w:rPr>
                <w:rFonts w:ascii="Arial" w:eastAsia="Arial" w:hAnsi="Arial" w:cs="Arial"/>
                <w:sz w:val="20"/>
                <w:szCs w:val="20"/>
                <w:lang w:val="en-GB"/>
              </w:rPr>
              <w:t>Modular, dry jointed</w:t>
            </w:r>
          </w:p>
        </w:tc>
      </w:tr>
    </w:tbl>
    <w:p w14:paraId="14BB7C8B" w14:textId="3B6DC096" w:rsidR="004E1B8F" w:rsidRPr="00DA2DE2" w:rsidRDefault="004E1B8F" w:rsidP="004E1B8F">
      <w:pPr>
        <w:spacing w:before="240" w:after="0" w:line="257" w:lineRule="auto"/>
        <w:jc w:val="both"/>
        <w:rPr>
          <w:rFonts w:ascii="Arial" w:eastAsia="Arial" w:hAnsi="Arial" w:cs="Arial"/>
          <w:color w:val="1F1F1F"/>
          <w:lang w:val="en-GB"/>
        </w:rPr>
      </w:pPr>
      <w:r w:rsidRPr="00DA2DE2">
        <w:rPr>
          <w:rFonts w:ascii="Arial" w:eastAsia="Arial" w:hAnsi="Arial" w:cs="Arial"/>
          <w:color w:val="1F1F1F"/>
          <w:lang w:val="en-GB"/>
        </w:rPr>
        <w:t xml:space="preserve">Scenario #3 shows the lowest raw material demand, preserving most of the existing structural mass and targeting only critical repairs or strengthening actions. In contrast, Scenario #4 and Scenario #5 involve complete deck replacement and therefore the highest material demand (over 1,000 m³ of concrete or 780 t of steel), with significantly larger associated embodied carbon. While Scenario 6 also involves full deck reconstruction, its modular construction strategy using precast dry-jointed segments reduces on-site formwork, waste, and curing time, offering a more efficient material deployment, but necessitates rigorous joint design and factory quality control. </w:t>
      </w:r>
    </w:p>
    <w:p w14:paraId="77A5A02F" w14:textId="653B0F83" w:rsidR="004E1B8F" w:rsidRPr="00DA2DE2" w:rsidRDefault="004E1B8F" w:rsidP="004E1B8F">
      <w:pPr>
        <w:spacing w:after="0" w:line="257" w:lineRule="auto"/>
        <w:jc w:val="both"/>
        <w:rPr>
          <w:rFonts w:ascii="Arial" w:eastAsia="Arial" w:hAnsi="Arial" w:cs="Arial"/>
          <w:color w:val="1F1F1F"/>
          <w:lang w:val="en-GB"/>
        </w:rPr>
      </w:pPr>
      <w:r w:rsidRPr="00DA2DE2">
        <w:rPr>
          <w:rFonts w:ascii="Arial" w:eastAsia="Arial" w:hAnsi="Arial" w:cs="Arial"/>
          <w:color w:val="1F1F1F"/>
          <w:lang w:val="en-GB"/>
        </w:rPr>
        <w:t>Steel-intensive approaches (Scenarios #1, #2, and #5) permit rapid erection and facilitate future disassembly and recycling but also raise life cycle concerns for corrosion protection and embodied emissions. External prestressing (Scenarios #1</w:t>
      </w:r>
      <w:r w:rsidR="00D96A58">
        <w:rPr>
          <w:rFonts w:ascii="Arial" w:eastAsia="Arial" w:hAnsi="Arial" w:cs="Arial"/>
          <w:color w:val="1F1F1F"/>
          <w:lang w:val="en-GB"/>
        </w:rPr>
        <w:t xml:space="preserve"> to </w:t>
      </w:r>
      <w:r w:rsidRPr="00DA2DE2">
        <w:rPr>
          <w:rFonts w:ascii="Arial" w:eastAsia="Arial" w:hAnsi="Arial" w:cs="Arial"/>
          <w:color w:val="1F1F1F"/>
          <w:lang w:val="en-GB"/>
        </w:rPr>
        <w:t>#3) offers efficient capacity restoration with moderate material input, yet it requires careful detailing, corrosion protection of tendons, and frequent inspection of anchorage zones.</w:t>
      </w:r>
    </w:p>
    <w:p w14:paraId="27FF140D" w14:textId="5A03B18C" w:rsidR="004E1B8F" w:rsidRPr="00DA2DE2" w:rsidRDefault="004E1B8F" w:rsidP="004E1B8F">
      <w:pPr>
        <w:spacing w:after="0" w:line="257" w:lineRule="auto"/>
        <w:jc w:val="both"/>
        <w:rPr>
          <w:rFonts w:ascii="Arial" w:eastAsia="Arial" w:hAnsi="Arial" w:cs="Arial"/>
          <w:color w:val="1F1F1F"/>
          <w:lang w:val="en-GB"/>
        </w:rPr>
      </w:pPr>
      <w:r w:rsidRPr="00DA2DE2">
        <w:rPr>
          <w:rFonts w:ascii="Arial" w:eastAsia="Arial" w:hAnsi="Arial" w:cs="Arial"/>
          <w:color w:val="1F1F1F"/>
          <w:lang w:val="en-GB"/>
        </w:rPr>
        <w:t>Performance projections (subject to diagnostic uncertainty) indicate that full replacement scenarios (#4</w:t>
      </w:r>
      <w:r w:rsidR="00D96A58">
        <w:rPr>
          <w:rFonts w:ascii="Arial" w:eastAsia="Arial" w:hAnsi="Arial" w:cs="Arial"/>
          <w:color w:val="1F1F1F"/>
          <w:lang w:val="en-GB"/>
        </w:rPr>
        <w:t xml:space="preserve"> to </w:t>
      </w:r>
      <w:r w:rsidRPr="00DA2DE2">
        <w:rPr>
          <w:rFonts w:ascii="Arial" w:eastAsia="Arial" w:hAnsi="Arial" w:cs="Arial"/>
          <w:color w:val="1F1F1F"/>
          <w:lang w:val="en-GB"/>
        </w:rPr>
        <w:t xml:space="preserve">#6) restore full design capacity and provide the longest residual service life under standard maintenance. Scenario #3 yields an estimated 40–60% capacity recovery (based on expert judgement) suitable for moderated traffic, while minimal intervention (Scenario </w:t>
      </w:r>
      <w:r w:rsidR="00D96A58" w:rsidRPr="00DA2DE2">
        <w:rPr>
          <w:rFonts w:ascii="Arial" w:eastAsia="Arial" w:hAnsi="Arial" w:cs="Arial"/>
          <w:color w:val="1F1F1F"/>
          <w:lang w:val="en-GB"/>
        </w:rPr>
        <w:t>#</w:t>
      </w:r>
      <w:r w:rsidR="00D96A58">
        <w:rPr>
          <w:rFonts w:ascii="Arial" w:eastAsia="Arial" w:hAnsi="Arial" w:cs="Arial"/>
          <w:color w:val="1F1F1F"/>
          <w:lang w:val="en-GB"/>
        </w:rPr>
        <w:t>1</w:t>
      </w:r>
      <w:r w:rsidRPr="00DA2DE2">
        <w:rPr>
          <w:rFonts w:ascii="Arial" w:eastAsia="Arial" w:hAnsi="Arial" w:cs="Arial"/>
          <w:color w:val="1F1F1F"/>
          <w:lang w:val="en-GB"/>
        </w:rPr>
        <w:t xml:space="preserve">) reduces capacity substantially and therefore shifts burden to ongoing maintenance and operational restrictions. </w:t>
      </w:r>
    </w:p>
    <w:p w14:paraId="7FB0FCA1" w14:textId="4099F74D" w:rsidR="004E1B8F" w:rsidRPr="00DA2DE2" w:rsidRDefault="004E1B8F" w:rsidP="004E1B8F">
      <w:pPr>
        <w:spacing w:after="0" w:line="257" w:lineRule="auto"/>
        <w:jc w:val="both"/>
        <w:rPr>
          <w:rFonts w:ascii="Arial" w:eastAsia="Arial" w:hAnsi="Arial" w:cs="Arial"/>
          <w:color w:val="1F1F1F"/>
          <w:lang w:val="en-GB"/>
        </w:rPr>
      </w:pPr>
      <w:r w:rsidRPr="00DA2DE2">
        <w:rPr>
          <w:rFonts w:ascii="Arial" w:eastAsia="Arial" w:hAnsi="Arial" w:cs="Arial"/>
          <w:color w:val="1F1F1F"/>
          <w:lang w:val="en-GB"/>
        </w:rPr>
        <w:t>Full</w:t>
      </w:r>
      <w:r w:rsidRPr="00DA2DE2">
        <w:rPr>
          <w:rFonts w:ascii="Cambria Math" w:eastAsia="Arial" w:hAnsi="Cambria Math" w:cs="Cambria Math"/>
          <w:color w:val="1F1F1F"/>
          <w:lang w:val="en-GB"/>
        </w:rPr>
        <w:t>‑</w:t>
      </w:r>
      <w:r w:rsidRPr="00DA2DE2">
        <w:rPr>
          <w:rFonts w:ascii="Arial" w:eastAsia="Arial" w:hAnsi="Arial" w:cs="Arial"/>
          <w:color w:val="1F1F1F"/>
          <w:lang w:val="en-GB"/>
        </w:rPr>
        <w:t>replacement scenarios (#4</w:t>
      </w:r>
      <w:r w:rsidR="00D96A58">
        <w:rPr>
          <w:rFonts w:ascii="Arial" w:eastAsia="Arial" w:hAnsi="Arial" w:cs="Arial"/>
          <w:color w:val="1F1F1F"/>
          <w:lang w:val="en-GB"/>
        </w:rPr>
        <w:t xml:space="preserve"> and </w:t>
      </w:r>
      <w:r w:rsidRPr="00DA2DE2">
        <w:rPr>
          <w:rFonts w:ascii="Arial" w:eastAsia="Arial" w:hAnsi="Arial" w:cs="Arial"/>
          <w:color w:val="1F1F1F"/>
          <w:lang w:val="en-GB"/>
        </w:rPr>
        <w:t xml:space="preserve">#5) deliver the greatest durability and restored </w:t>
      </w:r>
      <w:proofErr w:type="gramStart"/>
      <w:r w:rsidRPr="00DA2DE2">
        <w:rPr>
          <w:rFonts w:ascii="Arial" w:eastAsia="Arial" w:hAnsi="Arial" w:cs="Arial"/>
          <w:color w:val="1F1F1F"/>
          <w:lang w:val="en-GB"/>
        </w:rPr>
        <w:t>capacity, but</w:t>
      </w:r>
      <w:proofErr w:type="gramEnd"/>
      <w:r w:rsidRPr="00DA2DE2">
        <w:rPr>
          <w:rFonts w:ascii="Arial" w:eastAsia="Arial" w:hAnsi="Arial" w:cs="Arial"/>
          <w:color w:val="1F1F1F"/>
          <w:lang w:val="en-GB"/>
        </w:rPr>
        <w:t xml:space="preserve"> incur high embodied emissions and extended construction downtime; modular prefabrication (Scenario #6) can reduce on</w:t>
      </w:r>
      <w:r w:rsidRPr="00DA2DE2">
        <w:rPr>
          <w:rFonts w:ascii="Cambria Math" w:eastAsia="Arial" w:hAnsi="Cambria Math" w:cs="Cambria Math"/>
          <w:color w:val="1F1F1F"/>
          <w:lang w:val="en-GB"/>
        </w:rPr>
        <w:t>‑</w:t>
      </w:r>
      <w:r w:rsidRPr="00DA2DE2">
        <w:rPr>
          <w:rFonts w:ascii="Arial" w:eastAsia="Arial" w:hAnsi="Arial" w:cs="Arial"/>
          <w:color w:val="1F1F1F"/>
          <w:lang w:val="en-GB"/>
        </w:rPr>
        <w:t>site time, waste and curing emissions yet requires rigorous joint detailing and factory quality control. Hybrid solutions (e.g., stay</w:t>
      </w:r>
      <w:r w:rsidRPr="00DA2DE2">
        <w:rPr>
          <w:rFonts w:ascii="Cambria Math" w:eastAsia="Arial" w:hAnsi="Cambria Math" w:cs="Cambria Math"/>
          <w:color w:val="1F1F1F"/>
          <w:lang w:val="en-GB"/>
        </w:rPr>
        <w:t>‑</w:t>
      </w:r>
      <w:r w:rsidRPr="00DA2DE2">
        <w:rPr>
          <w:rFonts w:ascii="Arial" w:eastAsia="Arial" w:hAnsi="Arial" w:cs="Arial"/>
          <w:color w:val="1F1F1F"/>
          <w:lang w:val="en-GB"/>
        </w:rPr>
        <w:t>cable augmentation, Scenario #2) balance preservation and renewal, reducing demolition waste while significantly improving performance, but introduce anchorage complexity and elevated monitoring/maintenance demands—especially in seismic or high</w:t>
      </w:r>
      <w:r w:rsidRPr="00DA2DE2">
        <w:rPr>
          <w:rFonts w:ascii="Cambria Math" w:eastAsia="Arial" w:hAnsi="Cambria Math" w:cs="Cambria Math"/>
          <w:color w:val="1F1F1F"/>
          <w:lang w:val="en-GB"/>
        </w:rPr>
        <w:t>‑</w:t>
      </w:r>
      <w:r w:rsidRPr="00DA2DE2">
        <w:rPr>
          <w:rFonts w:ascii="Arial" w:eastAsia="Arial" w:hAnsi="Arial" w:cs="Arial"/>
          <w:color w:val="1F1F1F"/>
          <w:lang w:val="en-GB"/>
        </w:rPr>
        <w:t>fatigue contexts. Preservation</w:t>
      </w:r>
      <w:r w:rsidRPr="00DA2DE2">
        <w:rPr>
          <w:rFonts w:ascii="Cambria Math" w:eastAsia="Arial" w:hAnsi="Cambria Math" w:cs="Cambria Math"/>
          <w:color w:val="1F1F1F"/>
          <w:lang w:val="en-GB"/>
        </w:rPr>
        <w:t>‑</w:t>
      </w:r>
      <w:r w:rsidRPr="00DA2DE2">
        <w:rPr>
          <w:rFonts w:ascii="Arial" w:eastAsia="Arial" w:hAnsi="Arial" w:cs="Arial"/>
          <w:color w:val="1F1F1F"/>
          <w:lang w:val="en-GB"/>
        </w:rPr>
        <w:t>heavy approaches (#2, #5) carry higher uncertainty due to material ageing and historical damage and therefore demand targeted inspection and condition</w:t>
      </w:r>
      <w:r w:rsidRPr="00DA2DE2">
        <w:rPr>
          <w:rFonts w:ascii="Cambria Math" w:eastAsia="Arial" w:hAnsi="Cambria Math" w:cs="Cambria Math"/>
          <w:color w:val="1F1F1F"/>
          <w:lang w:val="en-GB"/>
        </w:rPr>
        <w:t>‑</w:t>
      </w:r>
      <w:r w:rsidRPr="00DA2DE2">
        <w:rPr>
          <w:rFonts w:ascii="Arial" w:eastAsia="Arial" w:hAnsi="Arial" w:cs="Arial"/>
          <w:color w:val="1F1F1F"/>
          <w:lang w:val="en-GB"/>
        </w:rPr>
        <w:t>based design; by contrast, full replacements simplify future upgrades and reduce uncertainty but increase upfront environmental and economic impacts. These considerations feed directly into the forthcoming life cycle analyses and MCDA, which will include indirect system effects (detours, user costs, energy for post</w:t>
      </w:r>
      <w:r w:rsidRPr="00DA2DE2">
        <w:rPr>
          <w:rFonts w:ascii="Cambria Math" w:eastAsia="Arial" w:hAnsi="Cambria Math" w:cs="Cambria Math"/>
          <w:color w:val="1F1F1F"/>
          <w:lang w:val="en-GB"/>
        </w:rPr>
        <w:t>‑</w:t>
      </w:r>
      <w:r w:rsidRPr="00DA2DE2">
        <w:rPr>
          <w:rFonts w:ascii="Arial" w:eastAsia="Arial" w:hAnsi="Arial" w:cs="Arial"/>
          <w:color w:val="1F1F1F"/>
          <w:lang w:val="en-GB"/>
        </w:rPr>
        <w:t>tensioning and maintenance) to produce a holistic ranking of options.</w:t>
      </w:r>
    </w:p>
    <w:p w14:paraId="24A0384F" w14:textId="319CFA87" w:rsidR="004E1B8F" w:rsidRPr="00DA2DE2" w:rsidRDefault="004E1B8F">
      <w:pPr>
        <w:rPr>
          <w:rFonts w:ascii="Arial" w:eastAsia="Times New Roman" w:hAnsi="Arial" w:cs="Arial"/>
          <w:b/>
          <w:bCs/>
          <w:sz w:val="26"/>
          <w:szCs w:val="26"/>
          <w:lang w:val="en-GB" w:eastAsia="it-IT"/>
        </w:rPr>
      </w:pPr>
      <w:r w:rsidRPr="00DA2DE2">
        <w:rPr>
          <w:rFonts w:ascii="Arial" w:eastAsia="Times New Roman" w:hAnsi="Arial" w:cs="Arial"/>
          <w:b/>
          <w:bCs/>
          <w:sz w:val="26"/>
          <w:szCs w:val="26"/>
          <w:lang w:val="en-GB" w:eastAsia="it-IT"/>
        </w:rPr>
        <w:br w:type="page"/>
      </w:r>
    </w:p>
    <w:p w14:paraId="20A6991A" w14:textId="4AB13853" w:rsidR="00D80CFE" w:rsidRPr="00DA2DE2" w:rsidRDefault="00AB6E0F" w:rsidP="00F24F60">
      <w:pPr>
        <w:spacing w:before="100" w:beforeAutospacing="1" w:after="100" w:afterAutospacing="1" w:line="240" w:lineRule="auto"/>
        <w:jc w:val="both"/>
        <w:outlineLvl w:val="2"/>
        <w:rPr>
          <w:rFonts w:ascii="Arial" w:eastAsia="Times New Roman" w:hAnsi="Arial" w:cs="Arial"/>
          <w:b/>
          <w:bCs/>
          <w:lang w:val="en-GB" w:eastAsia="it-IT"/>
        </w:rPr>
      </w:pPr>
      <w:r w:rsidRPr="00DA2DE2">
        <w:rPr>
          <w:rFonts w:ascii="Arial" w:eastAsia="Times New Roman" w:hAnsi="Arial" w:cs="Arial"/>
          <w:b/>
          <w:bCs/>
          <w:sz w:val="26"/>
          <w:szCs w:val="26"/>
          <w:lang w:val="en-GB" w:eastAsia="it-IT"/>
        </w:rPr>
        <w:lastRenderedPageBreak/>
        <w:t xml:space="preserve">Supplementary Note </w:t>
      </w:r>
      <w:r w:rsidR="00FB3716" w:rsidRPr="00DA2DE2">
        <w:rPr>
          <w:rFonts w:ascii="Arial" w:eastAsia="Times New Roman" w:hAnsi="Arial" w:cs="Arial"/>
          <w:b/>
          <w:bCs/>
          <w:sz w:val="26"/>
          <w:szCs w:val="26"/>
          <w:lang w:val="en-GB" w:eastAsia="it-IT"/>
        </w:rPr>
        <w:t>2</w:t>
      </w:r>
      <w:r w:rsidR="00D80CFE" w:rsidRPr="00DA2DE2">
        <w:rPr>
          <w:rFonts w:ascii="Arial" w:eastAsia="Times New Roman" w:hAnsi="Arial" w:cs="Arial"/>
          <w:b/>
          <w:bCs/>
          <w:sz w:val="26"/>
          <w:szCs w:val="26"/>
          <w:lang w:val="en-GB" w:eastAsia="it-IT"/>
        </w:rPr>
        <w:t xml:space="preserve">. </w:t>
      </w:r>
      <w:r w:rsidR="00D80CFE" w:rsidRPr="00DA2DE2">
        <w:rPr>
          <w:rFonts w:ascii="Arial" w:hAnsi="Arial" w:cs="Arial"/>
          <w:b/>
          <w:bCs/>
          <w:sz w:val="26"/>
          <w:szCs w:val="26"/>
          <w:lang w:val="en-GB"/>
        </w:rPr>
        <w:t>Expert elicitation via structured questionnaire</w:t>
      </w:r>
    </w:p>
    <w:p w14:paraId="324C484C" w14:textId="692CA7F4" w:rsidR="00D80CFE" w:rsidRPr="00AD328C" w:rsidRDefault="00D80CFE" w:rsidP="00F24F60">
      <w:pPr>
        <w:pStyle w:val="Heading4"/>
        <w:rPr>
          <w:rFonts w:ascii="Arial" w:hAnsi="Arial" w:cs="Arial"/>
          <w:i w:val="0"/>
          <w:iCs w:val="0"/>
          <w:color w:val="1F1F1F"/>
          <w:lang w:val="en-GB"/>
        </w:rPr>
      </w:pPr>
      <w:r w:rsidRPr="00AD328C">
        <w:rPr>
          <w:rFonts w:ascii="Arial" w:hAnsi="Arial" w:cs="Arial"/>
          <w:b/>
          <w:bCs/>
          <w:i w:val="0"/>
          <w:iCs w:val="0"/>
          <w:color w:val="auto"/>
          <w:sz w:val="26"/>
          <w:szCs w:val="26"/>
          <w:lang w:val="en-GB"/>
        </w:rPr>
        <w:t>Description of the questionnaire</w:t>
      </w:r>
    </w:p>
    <w:p w14:paraId="337E5AE2" w14:textId="11566F7D" w:rsidR="00D80CFE" w:rsidRPr="00DA2DE2" w:rsidRDefault="00D80CFE" w:rsidP="00D80CFE">
      <w:pPr>
        <w:spacing w:before="240" w:after="240"/>
        <w:jc w:val="both"/>
        <w:rPr>
          <w:rFonts w:ascii="Arial" w:eastAsia="Times New Roman" w:hAnsi="Arial" w:cs="Arial"/>
          <w:color w:val="000000" w:themeColor="text1"/>
          <w:lang w:val="en-GB"/>
        </w:rPr>
      </w:pPr>
      <w:r w:rsidRPr="00DA2DE2">
        <w:rPr>
          <w:rFonts w:ascii="Arial" w:hAnsi="Arial" w:cs="Arial"/>
          <w:color w:val="1F1F1F"/>
          <w:lang w:val="en-GB"/>
        </w:rPr>
        <w:t>A</w:t>
      </w:r>
      <w:r w:rsidRPr="00DA2DE2">
        <w:rPr>
          <w:rFonts w:ascii="Arial" w:eastAsia="Times New Roman" w:hAnsi="Arial" w:cs="Arial"/>
          <w:color w:val="000000" w:themeColor="text1"/>
          <w:lang w:val="en-GB"/>
        </w:rPr>
        <w:t xml:space="preserve"> structured expert questionnaire was deployed globally between July 2024 and May 2025 to collect informed judgments on restoration strategies for the </w:t>
      </w:r>
      <w:proofErr w:type="spellStart"/>
      <w:r w:rsidRPr="00DA2DE2">
        <w:rPr>
          <w:rFonts w:ascii="Arial" w:eastAsia="Times New Roman" w:hAnsi="Arial" w:cs="Arial"/>
          <w:color w:val="000000" w:themeColor="text1"/>
          <w:lang w:val="en-GB"/>
        </w:rPr>
        <w:t>Polyfytos</w:t>
      </w:r>
      <w:proofErr w:type="spellEnd"/>
      <w:r w:rsidRPr="00DA2DE2">
        <w:rPr>
          <w:rFonts w:ascii="Arial" w:eastAsia="Times New Roman" w:hAnsi="Arial" w:cs="Arial"/>
          <w:color w:val="000000" w:themeColor="text1"/>
          <w:lang w:val="en-GB"/>
        </w:rPr>
        <w:t xml:space="preserve"> </w:t>
      </w:r>
      <w:r w:rsidR="00AD328C">
        <w:rPr>
          <w:rFonts w:ascii="Arial" w:eastAsia="Times New Roman" w:hAnsi="Arial" w:cs="Arial"/>
          <w:color w:val="000000" w:themeColor="text1"/>
          <w:lang w:val="en-GB"/>
        </w:rPr>
        <w:t>b</w:t>
      </w:r>
      <w:r w:rsidRPr="00DA2DE2">
        <w:rPr>
          <w:rFonts w:ascii="Arial" w:eastAsia="Times New Roman" w:hAnsi="Arial" w:cs="Arial"/>
          <w:color w:val="000000" w:themeColor="text1"/>
          <w:lang w:val="en-GB"/>
        </w:rPr>
        <w:t xml:space="preserve">ridge. Over 50 international specialists were invited; ten responses were received from practitioners and academics based in the UK, Italy, Spain, Chile, the United Arab Emirates, and China, provided responses.  Respondents represented contracting, consultancy, academia, and policy, with substantive experience in bridge design, construction, inspection, maintenance, and strengthening. Seven completed responses - selected for completeness and seniority (&gt;10 years’ relevant experience) - </w:t>
      </w:r>
      <w:r w:rsidRPr="00DA2DE2">
        <w:rPr>
          <w:rFonts w:ascii="Arial" w:eastAsia="-webkit-standard" w:hAnsi="Arial" w:cs="Arial"/>
          <w:color w:val="000000" w:themeColor="text1"/>
          <w:lang w:val="en-GB"/>
        </w:rPr>
        <w:t xml:space="preserve">were included in the analysis. </w:t>
      </w:r>
      <w:r w:rsidRPr="00DA2DE2">
        <w:rPr>
          <w:rFonts w:ascii="Arial" w:eastAsia="Times New Roman" w:hAnsi="Arial" w:cs="Arial"/>
          <w:color w:val="000000" w:themeColor="text1"/>
          <w:lang w:val="en-GB"/>
        </w:rPr>
        <w:t>Participation was voluntary and anonymized; no personal data were retained. Respondents indicated their domain expertise and received a briefing package (explanatory video and 32-slide PDF) that described the bridge condition and the proposed retrofit strategies (</w:t>
      </w:r>
      <w:r w:rsidR="00D646F9" w:rsidRPr="00DA2DE2">
        <w:rPr>
          <w:rFonts w:ascii="Arial" w:eastAsia="Times New Roman" w:hAnsi="Arial" w:cs="Arial"/>
          <w:color w:val="000000" w:themeColor="text1"/>
          <w:lang w:val="en-GB"/>
        </w:rPr>
        <w:t>Supplementary Note 1</w:t>
      </w:r>
      <w:r w:rsidRPr="00DA2DE2">
        <w:rPr>
          <w:rFonts w:ascii="Arial" w:eastAsia="Times New Roman" w:hAnsi="Arial" w:cs="Arial"/>
          <w:color w:val="000000" w:themeColor="text1"/>
          <w:lang w:val="en-GB"/>
        </w:rPr>
        <w:t>).</w:t>
      </w:r>
    </w:p>
    <w:p w14:paraId="117170B0" w14:textId="5167CC06" w:rsidR="00D80CFE" w:rsidRPr="00DA2DE2" w:rsidRDefault="00D80CFE" w:rsidP="00D80CFE">
      <w:pPr>
        <w:spacing w:before="240" w:after="240"/>
        <w:jc w:val="both"/>
        <w:rPr>
          <w:rFonts w:ascii="Arial" w:eastAsia="-webkit-standard" w:hAnsi="Arial" w:cs="Arial"/>
          <w:color w:val="000000" w:themeColor="text1"/>
          <w:lang w:val="en-GB"/>
        </w:rPr>
      </w:pPr>
      <w:r w:rsidRPr="00DA2DE2">
        <w:rPr>
          <w:rFonts w:ascii="Arial" w:eastAsia="Times New Roman" w:hAnsi="Arial" w:cs="Arial"/>
          <w:color w:val="000000" w:themeColor="text1"/>
          <w:lang w:val="en-GB"/>
        </w:rPr>
        <w:t>The questionnaire combined open-ended and quantitative questions designed to capture operational, technical and scheduling judgements. Key items solicited alternative solutions, estimates of preparatory administrative lead times, durations for demolition over sensitive environments, assessments of operational continuity for full</w:t>
      </w:r>
      <w:r w:rsidRPr="00DA2DE2">
        <w:rPr>
          <w:rFonts w:ascii="Cambria Math" w:eastAsia="Times New Roman" w:hAnsi="Cambria Math" w:cs="Cambria Math"/>
          <w:color w:val="000000" w:themeColor="text1"/>
          <w:lang w:val="en-GB"/>
        </w:rPr>
        <w:t>‑</w:t>
      </w:r>
      <w:r w:rsidRPr="00DA2DE2">
        <w:rPr>
          <w:rFonts w:ascii="Arial" w:eastAsia="Times New Roman" w:hAnsi="Arial" w:cs="Arial"/>
          <w:color w:val="000000" w:themeColor="text1"/>
          <w:lang w:val="en-GB"/>
        </w:rPr>
        <w:t>replacement scenarios, detailed task</w:t>
      </w:r>
      <w:r w:rsidRPr="00DA2DE2">
        <w:rPr>
          <w:rFonts w:ascii="Cambria Math" w:eastAsia="Times New Roman" w:hAnsi="Cambria Math" w:cs="Cambria Math"/>
          <w:color w:val="000000" w:themeColor="text1"/>
          <w:lang w:val="en-GB"/>
        </w:rPr>
        <w:t>‑</w:t>
      </w:r>
      <w:r w:rsidRPr="00DA2DE2">
        <w:rPr>
          <w:rFonts w:ascii="Arial" w:eastAsia="Times New Roman" w:hAnsi="Arial" w:cs="Arial"/>
          <w:color w:val="000000" w:themeColor="text1"/>
          <w:lang w:val="en-GB"/>
        </w:rPr>
        <w:t>wise durations for each intervention scenario, and post</w:t>
      </w:r>
      <w:r w:rsidRPr="00DA2DE2">
        <w:rPr>
          <w:rFonts w:ascii="Cambria Math" w:eastAsia="Times New Roman" w:hAnsi="Cambria Math" w:cs="Cambria Math"/>
          <w:color w:val="000000" w:themeColor="text1"/>
          <w:lang w:val="en-GB"/>
        </w:rPr>
        <w:t>‑</w:t>
      </w:r>
      <w:r w:rsidRPr="00DA2DE2">
        <w:rPr>
          <w:rFonts w:ascii="Arial" w:eastAsia="Times New Roman" w:hAnsi="Arial" w:cs="Arial"/>
          <w:color w:val="000000" w:themeColor="text1"/>
          <w:lang w:val="en-GB"/>
        </w:rPr>
        <w:t>works administrative delays prior to reopening. Respondents entered numeric estimates, selected predefined options, provided free</w:t>
      </w:r>
      <w:r w:rsidRPr="00DA2DE2">
        <w:rPr>
          <w:rFonts w:ascii="Cambria Math" w:eastAsia="Times New Roman" w:hAnsi="Cambria Math" w:cs="Cambria Math"/>
          <w:color w:val="000000" w:themeColor="text1"/>
          <w:lang w:val="en-GB"/>
        </w:rPr>
        <w:t>‑</w:t>
      </w:r>
      <w:r w:rsidRPr="00DA2DE2">
        <w:rPr>
          <w:rFonts w:ascii="Arial" w:eastAsia="Times New Roman" w:hAnsi="Arial" w:cs="Arial"/>
          <w:color w:val="000000" w:themeColor="text1"/>
          <w:lang w:val="en-GB"/>
        </w:rPr>
        <w:t xml:space="preserve">text comments and could upload supporting files. The detailed questionnaire is provided online </w:t>
      </w:r>
      <w:hyperlink r:id="rId16" w:history="1">
        <w:r w:rsidRPr="00DA2DE2">
          <w:rPr>
            <w:rStyle w:val="Hyperlink"/>
            <w:rFonts w:ascii="Arial" w:eastAsia="Times New Roman" w:hAnsi="Arial" w:cs="Arial"/>
            <w:lang w:val="en-GB"/>
          </w:rPr>
          <w:t>https://eu.jotform.com/assign/2409</w:t>
        </w:r>
        <w:r w:rsidRPr="00DA2DE2">
          <w:rPr>
            <w:rStyle w:val="Hyperlink"/>
            <w:rFonts w:ascii="Arial" w:eastAsia="Times New Roman" w:hAnsi="Arial" w:cs="Arial"/>
            <w:lang w:val="en-GB"/>
          </w:rPr>
          <w:t>1</w:t>
        </w:r>
        <w:r w:rsidRPr="00DA2DE2">
          <w:rPr>
            <w:rStyle w:val="Hyperlink"/>
            <w:rFonts w:ascii="Arial" w:eastAsia="Times New Roman" w:hAnsi="Arial" w:cs="Arial"/>
            <w:lang w:val="en-GB"/>
          </w:rPr>
          <w:t>4112382044/240931517853055</w:t>
        </w:r>
      </w:hyperlink>
      <w:r w:rsidRPr="00DA2DE2">
        <w:rPr>
          <w:rFonts w:ascii="Arial" w:eastAsia="Times New Roman" w:hAnsi="Arial" w:cs="Arial"/>
          <w:color w:val="000000" w:themeColor="text1"/>
          <w:lang w:val="en-GB"/>
        </w:rPr>
        <w:t xml:space="preserve">. </w:t>
      </w:r>
      <w:r w:rsidRPr="00DA2DE2">
        <w:rPr>
          <w:rFonts w:ascii="Arial" w:eastAsia="-webkit-standard" w:hAnsi="Arial" w:cs="Arial"/>
          <w:color w:val="000000" w:themeColor="text1"/>
          <w:lang w:val="en-GB"/>
        </w:rPr>
        <w:t>The collected data enabled cross</w:t>
      </w:r>
      <w:r w:rsidRPr="00DA2DE2">
        <w:rPr>
          <w:rFonts w:ascii="Cambria Math" w:eastAsia="-webkit-standard" w:hAnsi="Cambria Math" w:cs="Cambria Math"/>
          <w:color w:val="000000" w:themeColor="text1"/>
          <w:lang w:val="en-GB"/>
        </w:rPr>
        <w:t>‑</w:t>
      </w:r>
      <w:r w:rsidRPr="00DA2DE2">
        <w:rPr>
          <w:rFonts w:ascii="Arial" w:eastAsia="-webkit-standard" w:hAnsi="Arial" w:cs="Arial"/>
          <w:color w:val="000000" w:themeColor="text1"/>
          <w:lang w:val="en-GB"/>
        </w:rPr>
        <w:t>case comparison of feasibility, schedule risk and operational impact across the proposed retrofit and replacement strategies.</w:t>
      </w:r>
    </w:p>
    <w:p w14:paraId="47FCC895" w14:textId="71343CBD" w:rsidR="00D80CFE" w:rsidRPr="0096699A" w:rsidRDefault="00D80CFE" w:rsidP="00F24F60">
      <w:pPr>
        <w:pStyle w:val="Heading4"/>
        <w:rPr>
          <w:rFonts w:ascii="Arial" w:hAnsi="Arial" w:cs="Arial"/>
          <w:i w:val="0"/>
          <w:iCs w:val="0"/>
          <w:color w:val="1F1F1F"/>
          <w:lang w:val="en-GB"/>
        </w:rPr>
      </w:pPr>
      <w:r w:rsidRPr="0096699A">
        <w:rPr>
          <w:rFonts w:ascii="Arial" w:hAnsi="Arial" w:cs="Arial"/>
          <w:b/>
          <w:bCs/>
          <w:i w:val="0"/>
          <w:iCs w:val="0"/>
          <w:color w:val="auto"/>
          <w:sz w:val="26"/>
          <w:szCs w:val="26"/>
          <w:lang w:val="en-GB"/>
        </w:rPr>
        <w:t>Summary of expert responses</w:t>
      </w:r>
    </w:p>
    <w:p w14:paraId="47A7E242" w14:textId="42F12C78" w:rsidR="00D80CFE" w:rsidRPr="00DA2DE2" w:rsidRDefault="00D80CFE" w:rsidP="00D80CFE">
      <w:pPr>
        <w:spacing w:before="240" w:after="240"/>
        <w:jc w:val="both"/>
        <w:rPr>
          <w:rFonts w:ascii="Arial" w:eastAsia="Arial" w:hAnsi="Arial" w:cs="Arial"/>
          <w:b/>
          <w:u w:val="single"/>
          <w:lang w:val="en-GB"/>
        </w:rPr>
      </w:pPr>
      <w:r w:rsidRPr="00DA2DE2">
        <w:rPr>
          <w:rFonts w:ascii="Arial" w:eastAsia="Arial" w:hAnsi="Arial" w:cs="Arial"/>
          <w:b/>
          <w:u w:val="single"/>
          <w:lang w:val="en-GB"/>
        </w:rPr>
        <w:t>Q</w:t>
      </w:r>
      <w:r w:rsidR="00E6455C" w:rsidRPr="00DA2DE2">
        <w:rPr>
          <w:rFonts w:ascii="Arial" w:eastAsia="Arial" w:hAnsi="Arial" w:cs="Arial"/>
          <w:b/>
          <w:u w:val="single"/>
          <w:lang w:val="en-GB"/>
        </w:rPr>
        <w:t xml:space="preserve">uestion </w:t>
      </w:r>
      <w:r w:rsidRPr="00DA2DE2">
        <w:rPr>
          <w:rFonts w:ascii="Arial" w:eastAsia="Arial" w:hAnsi="Arial" w:cs="Arial"/>
          <w:b/>
          <w:u w:val="single"/>
          <w:lang w:val="en-GB"/>
        </w:rPr>
        <w:t>1: Alternative intervention strategies</w:t>
      </w:r>
    </w:p>
    <w:p w14:paraId="73E98AB2" w14:textId="675F4B99" w:rsidR="00D80CFE" w:rsidRPr="00DA2DE2" w:rsidRDefault="00D80CFE" w:rsidP="00D80CFE">
      <w:pPr>
        <w:spacing w:before="240" w:after="240"/>
        <w:jc w:val="both"/>
        <w:rPr>
          <w:rFonts w:ascii="Arial" w:hAnsi="Arial" w:cs="Arial"/>
          <w:lang w:val="en-GB"/>
        </w:rPr>
      </w:pPr>
      <w:r w:rsidRPr="00DA2DE2">
        <w:rPr>
          <w:rFonts w:ascii="Arial" w:eastAsia="Arial" w:hAnsi="Arial" w:cs="Arial"/>
          <w:lang w:val="en-GB"/>
        </w:rPr>
        <w:t>Experts were also invited to propose alternative intervention strategies based on their professional judgment. Their open</w:t>
      </w:r>
      <w:r w:rsidRPr="00DA2DE2">
        <w:rPr>
          <w:rFonts w:ascii="Cambria Math" w:eastAsia="Arial" w:hAnsi="Cambria Math" w:cs="Cambria Math"/>
          <w:lang w:val="en-GB"/>
        </w:rPr>
        <w:t>‑</w:t>
      </w:r>
      <w:r w:rsidRPr="00DA2DE2">
        <w:rPr>
          <w:rFonts w:ascii="Arial" w:eastAsia="Arial" w:hAnsi="Arial" w:cs="Arial"/>
          <w:lang w:val="en-GB"/>
        </w:rPr>
        <w:t>ended responses illuminate current professional practice and reveal common themes and diverse engineering perspectives on complex bridge deterioration. Four experts independently recommended the Fiber-Reinforced Polymers (FRP) for localized strengthening at half-joints and cantilevers, mentioning low weight, high tensile strength, and minimal added load, while concerns were focused on bond durability and staged application to control stress redistribution. One respondent proposed combining FRP or steel plating with external prestressing to ensure deflection control, while another indicated FRP suitability conditional on the extend of tendon degradation. Two experts suggested more extensive selective interventions: a staged approach combining FRP with propping and the potential later full deck replacement by a steel–concrete composite system; and an in</w:t>
      </w:r>
      <w:r w:rsidRPr="00DA2DE2">
        <w:rPr>
          <w:rFonts w:ascii="Cambria Math" w:eastAsia="Arial" w:hAnsi="Cambria Math" w:cs="Cambria Math"/>
          <w:lang w:val="en-GB"/>
        </w:rPr>
        <w:t>‑</w:t>
      </w:r>
      <w:r w:rsidRPr="00DA2DE2">
        <w:rPr>
          <w:rFonts w:ascii="Arial" w:eastAsia="Arial" w:hAnsi="Arial" w:cs="Arial"/>
          <w:lang w:val="en-GB"/>
        </w:rPr>
        <w:t>situ continuity restoration by staged removal of half-joints, followed by stitching and external prestressing, supported by extensive temporary works.</w:t>
      </w:r>
      <w:r w:rsidR="0096699A">
        <w:rPr>
          <w:rFonts w:ascii="Arial" w:eastAsia="Arial" w:hAnsi="Arial" w:cs="Arial"/>
          <w:lang w:val="en-GB"/>
        </w:rPr>
        <w:t xml:space="preserve"> </w:t>
      </w:r>
      <w:r w:rsidRPr="00DA2DE2">
        <w:rPr>
          <w:rFonts w:ascii="Arial" w:eastAsia="Arial" w:hAnsi="Arial" w:cs="Arial"/>
          <w:lang w:val="en-GB"/>
        </w:rPr>
        <w:t>One expert favoured transformational replacement</w:t>
      </w:r>
      <w:r w:rsidR="0046771D" w:rsidRPr="00DA2DE2">
        <w:rPr>
          <w:rFonts w:ascii="Arial" w:eastAsia="Arial" w:hAnsi="Arial" w:cs="Arial"/>
          <w:lang w:val="en-GB"/>
        </w:rPr>
        <w:t xml:space="preserve">, </w:t>
      </w:r>
      <w:r w:rsidRPr="00DA2DE2">
        <w:rPr>
          <w:rFonts w:ascii="Arial" w:eastAsia="Arial" w:hAnsi="Arial" w:cs="Arial"/>
          <w:lang w:val="en-GB"/>
        </w:rPr>
        <w:t>substituting Gerber/drop-in system with modern balanced-cantilever spans to maximize prefabrication, allow barge-based erection, and eliminate half</w:t>
      </w:r>
      <w:r w:rsidRPr="00DA2DE2">
        <w:rPr>
          <w:rFonts w:ascii="Cambria Math" w:eastAsia="Arial" w:hAnsi="Cambria Math" w:cs="Cambria Math"/>
          <w:lang w:val="en-GB"/>
        </w:rPr>
        <w:t>‑</w:t>
      </w:r>
      <w:r w:rsidRPr="00DA2DE2">
        <w:rPr>
          <w:rFonts w:ascii="Arial" w:eastAsia="Arial" w:hAnsi="Arial" w:cs="Arial"/>
          <w:lang w:val="en-GB"/>
        </w:rPr>
        <w:t>joint</w:t>
      </w:r>
      <w:r w:rsidRPr="00DA2DE2">
        <w:rPr>
          <w:rFonts w:ascii="Cambria Math" w:eastAsia="Arial" w:hAnsi="Cambria Math" w:cs="Cambria Math"/>
          <w:lang w:val="en-GB"/>
        </w:rPr>
        <w:t>‑</w:t>
      </w:r>
      <w:r w:rsidRPr="00DA2DE2">
        <w:rPr>
          <w:rFonts w:ascii="Arial" w:eastAsia="Arial" w:hAnsi="Arial" w:cs="Arial"/>
          <w:lang w:val="en-GB"/>
        </w:rPr>
        <w:t xml:space="preserve">related maintenance and seismic vulnerabilities (drawing from recent international examples of e.g., the </w:t>
      </w:r>
      <w:proofErr w:type="spellStart"/>
      <w:r w:rsidRPr="00DA2DE2">
        <w:rPr>
          <w:rFonts w:ascii="Arial" w:eastAsia="Arial" w:hAnsi="Arial" w:cs="Arial"/>
          <w:lang w:val="en-GB"/>
        </w:rPr>
        <w:t>Mtentu</w:t>
      </w:r>
      <w:proofErr w:type="spellEnd"/>
      <w:r w:rsidRPr="00DA2DE2">
        <w:rPr>
          <w:rFonts w:ascii="Arial" w:eastAsia="Arial" w:hAnsi="Arial" w:cs="Arial"/>
          <w:lang w:val="en-GB"/>
        </w:rPr>
        <w:t xml:space="preserve"> Bridge in South Africa </w:t>
      </w:r>
      <w:r w:rsidR="00A63139" w:rsidRPr="00DA2DE2">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_Ref219357447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18</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 Aesthetics, community continuity, and long-term resilience were highlighted as co-benefits. If right-of-way and budget allow, the expert even suggested building the new bridge next to the existing one.</w:t>
      </w:r>
    </w:p>
    <w:p w14:paraId="617ABEAE" w14:textId="77777777" w:rsidR="00D80CFE" w:rsidRPr="00DA2DE2" w:rsidRDefault="00D80CFE" w:rsidP="00D80CFE">
      <w:pPr>
        <w:spacing w:before="240" w:after="240"/>
        <w:jc w:val="both"/>
        <w:rPr>
          <w:rFonts w:ascii="Arial" w:eastAsia="Arial" w:hAnsi="Arial" w:cs="Arial"/>
          <w:lang w:val="en-GB"/>
        </w:rPr>
      </w:pPr>
      <w:r w:rsidRPr="00DA2DE2">
        <w:rPr>
          <w:rFonts w:ascii="Arial" w:eastAsia="Arial" w:hAnsi="Arial" w:cs="Arial"/>
          <w:lang w:val="en-GB"/>
        </w:rPr>
        <w:t>In summary, there is notable convergence on FRP and external prestressing as pragmatic, low</w:t>
      </w:r>
      <w:r w:rsidRPr="00DA2DE2">
        <w:rPr>
          <w:rFonts w:ascii="Cambria Math" w:eastAsia="Arial" w:hAnsi="Cambria Math" w:cs="Cambria Math"/>
          <w:lang w:val="en-GB"/>
        </w:rPr>
        <w:t>‑</w:t>
      </w:r>
      <w:r w:rsidRPr="00DA2DE2">
        <w:rPr>
          <w:rFonts w:ascii="Arial" w:eastAsia="Arial" w:hAnsi="Arial" w:cs="Arial"/>
          <w:lang w:val="en-GB"/>
        </w:rPr>
        <w:t xml:space="preserve">disruption measures, while transformational replacement is advocated in cases where budget, </w:t>
      </w:r>
      <w:r w:rsidRPr="00DA2DE2">
        <w:rPr>
          <w:rFonts w:ascii="Arial" w:eastAsia="Arial" w:hAnsi="Arial" w:cs="Arial"/>
          <w:lang w:val="en-GB"/>
        </w:rPr>
        <w:lastRenderedPageBreak/>
        <w:t>access and long</w:t>
      </w:r>
      <w:r w:rsidRPr="00DA2DE2">
        <w:rPr>
          <w:rFonts w:ascii="Cambria Math" w:eastAsia="Arial" w:hAnsi="Cambria Math" w:cs="Cambria Math"/>
          <w:lang w:val="en-GB"/>
        </w:rPr>
        <w:t>‑</w:t>
      </w:r>
      <w:r w:rsidRPr="00DA2DE2">
        <w:rPr>
          <w:rFonts w:ascii="Arial" w:eastAsia="Arial" w:hAnsi="Arial" w:cs="Arial"/>
          <w:lang w:val="en-GB"/>
        </w:rPr>
        <w:t>term resilience objectives justify greater intervention. These qualitative judgments complement the quantitative scenario appraisal and indicate that decision frameworks should couple technical performance metrics with context</w:t>
      </w:r>
      <w:r w:rsidRPr="00DA2DE2">
        <w:rPr>
          <w:rFonts w:ascii="Cambria Math" w:eastAsia="Arial" w:hAnsi="Cambria Math" w:cs="Cambria Math"/>
          <w:lang w:val="en-GB"/>
        </w:rPr>
        <w:t>‑</w:t>
      </w:r>
      <w:r w:rsidRPr="00DA2DE2">
        <w:rPr>
          <w:rFonts w:ascii="Arial" w:eastAsia="Arial" w:hAnsi="Arial" w:cs="Arial"/>
          <w:lang w:val="en-GB"/>
        </w:rPr>
        <w:t>sensitive implementation criteria.</w:t>
      </w:r>
    </w:p>
    <w:p w14:paraId="3CF20855" w14:textId="132F3831" w:rsidR="00D80CFE" w:rsidRPr="00DA2DE2" w:rsidRDefault="00E6455C" w:rsidP="00D80CFE">
      <w:pPr>
        <w:jc w:val="both"/>
        <w:rPr>
          <w:rFonts w:ascii="Arial" w:eastAsia="Arial" w:hAnsi="Arial" w:cs="Arial"/>
          <w:b/>
          <w:u w:val="single"/>
          <w:lang w:val="en-GB"/>
        </w:rPr>
      </w:pPr>
      <w:r w:rsidRPr="00DA2DE2">
        <w:rPr>
          <w:rFonts w:ascii="Arial" w:eastAsia="Arial" w:hAnsi="Arial" w:cs="Arial"/>
          <w:b/>
          <w:u w:val="single"/>
          <w:lang w:val="en-GB"/>
        </w:rPr>
        <w:t xml:space="preserve">Question </w:t>
      </w:r>
      <w:r w:rsidR="00D80CFE" w:rsidRPr="00DA2DE2">
        <w:rPr>
          <w:rFonts w:ascii="Arial" w:eastAsia="Arial" w:hAnsi="Arial" w:cs="Arial"/>
          <w:b/>
          <w:u w:val="single"/>
          <w:lang w:val="en-GB"/>
        </w:rPr>
        <w:t>2: Pre-intervention planning activities</w:t>
      </w:r>
    </w:p>
    <w:p w14:paraId="3E0D7408" w14:textId="257B07F0" w:rsidR="00D80CFE" w:rsidRPr="00DA2DE2" w:rsidRDefault="00D80CFE" w:rsidP="00D80CFE">
      <w:pPr>
        <w:spacing w:before="240" w:after="240"/>
        <w:jc w:val="both"/>
        <w:rPr>
          <w:rFonts w:ascii="Arial" w:eastAsia="Arial" w:hAnsi="Arial" w:cs="Arial"/>
          <w:lang w:val="en-GB"/>
        </w:rPr>
      </w:pPr>
      <w:r w:rsidRPr="00DA2DE2">
        <w:rPr>
          <w:rFonts w:ascii="Arial" w:eastAsia="Arial" w:hAnsi="Arial" w:cs="Arial"/>
          <w:lang w:val="en-GB"/>
        </w:rPr>
        <w:t xml:space="preserve">To assess the experts’ expectations regarding pre-intervention planning activities for the </w:t>
      </w:r>
      <w:r w:rsidR="009C1F4B">
        <w:rPr>
          <w:rFonts w:ascii="Arial" w:eastAsia="Arial" w:hAnsi="Arial" w:cs="Arial"/>
          <w:lang w:val="en-GB"/>
        </w:rPr>
        <w:t>case study</w:t>
      </w:r>
      <w:r w:rsidRPr="00DA2DE2">
        <w:rPr>
          <w:rFonts w:ascii="Arial" w:eastAsia="Arial" w:hAnsi="Arial" w:cs="Arial"/>
          <w:lang w:val="en-GB"/>
        </w:rPr>
        <w:t xml:space="preserve"> </w:t>
      </w:r>
      <w:r w:rsidR="009C1F4B">
        <w:rPr>
          <w:rFonts w:ascii="Arial" w:eastAsia="Arial" w:hAnsi="Arial" w:cs="Arial"/>
          <w:lang w:val="en-GB"/>
        </w:rPr>
        <w:t>b</w:t>
      </w:r>
      <w:r w:rsidRPr="00DA2DE2">
        <w:rPr>
          <w:rFonts w:ascii="Arial" w:eastAsia="Arial" w:hAnsi="Arial" w:cs="Arial"/>
          <w:lang w:val="en-GB"/>
        </w:rPr>
        <w:t>ridge, the survey included a question on whether the following actions would realistically be completed before any full bridge closure for retrofit works: (1) tender and designer appointment; (2) preliminary technical and economic feasibility assessment; (3) final design and execution planning. Five of seven experts indicated (1) and (2), would typically be completed pre-closure. Only two expected full completion of (3) prior to closure, four anticipated partial completion with staged traffic restrictions, and one expected no completion.</w:t>
      </w:r>
      <w:r w:rsidR="0096699A">
        <w:rPr>
          <w:rFonts w:ascii="Arial" w:eastAsia="Arial" w:hAnsi="Arial" w:cs="Arial"/>
          <w:lang w:val="en-GB"/>
        </w:rPr>
        <w:t xml:space="preserve"> </w:t>
      </w:r>
      <w:r w:rsidRPr="00DA2DE2">
        <w:rPr>
          <w:rFonts w:ascii="Arial" w:eastAsia="Arial" w:hAnsi="Arial" w:cs="Arial"/>
          <w:lang w:val="en-GB"/>
        </w:rPr>
        <w:t xml:space="preserve">Experts were asked to estimate the expected duration of each phase in calendar days and to provide any relevant observations. Several respondents emphasized that planning would likely occur </w:t>
      </w:r>
      <w:r w:rsidRPr="00DA2DE2">
        <w:rPr>
          <w:rFonts w:ascii="Arial" w:eastAsia="Arial" w:hAnsi="Arial" w:cs="Arial"/>
          <w:bCs/>
          <w:lang w:val="en-GB"/>
        </w:rPr>
        <w:t>in parallel with partial bridge usage</w:t>
      </w:r>
      <w:r w:rsidRPr="00DA2DE2">
        <w:rPr>
          <w:rFonts w:ascii="Arial" w:eastAsia="Arial" w:hAnsi="Arial" w:cs="Arial"/>
          <w:lang w:val="en-GB"/>
        </w:rPr>
        <w:t xml:space="preserve">, under traffic restrictions, rather than following a complete closure. This reflects a strong inclination toward </w:t>
      </w:r>
      <w:r w:rsidRPr="00DA2DE2">
        <w:rPr>
          <w:rFonts w:ascii="Arial" w:eastAsia="Arial" w:hAnsi="Arial" w:cs="Arial"/>
          <w:bCs/>
          <w:lang w:val="en-GB"/>
        </w:rPr>
        <w:t>serviceability retention</w:t>
      </w:r>
      <w:r w:rsidRPr="00DA2DE2">
        <w:rPr>
          <w:rFonts w:ascii="Arial" w:eastAsia="Arial" w:hAnsi="Arial" w:cs="Arial"/>
          <w:lang w:val="en-GB"/>
        </w:rPr>
        <w:t xml:space="preserve"> and staged implementation as part of resilience-oriented strategy. The durations (in days) estimated by the experts for the three preparatory phases are summarized in the </w:t>
      </w:r>
      <w:r w:rsidR="00B660B5" w:rsidRPr="00DA2DE2">
        <w:rPr>
          <w:rFonts w:ascii="Arial" w:eastAsia="Arial" w:hAnsi="Arial" w:cs="Arial"/>
          <w:lang w:val="en-GB"/>
        </w:rPr>
        <w:t xml:space="preserve">Supplementary </w:t>
      </w:r>
      <w:r w:rsidRPr="00DA2DE2">
        <w:rPr>
          <w:rFonts w:ascii="Arial" w:eastAsia="Arial" w:hAnsi="Arial" w:cs="Arial"/>
          <w:lang w:val="en-GB"/>
        </w:rPr>
        <w:t xml:space="preserve">Table </w:t>
      </w:r>
      <w:r w:rsidR="00B660B5" w:rsidRPr="00DA2DE2">
        <w:rPr>
          <w:rFonts w:ascii="Arial" w:eastAsia="Arial" w:hAnsi="Arial" w:cs="Arial"/>
          <w:lang w:val="en-GB"/>
        </w:rPr>
        <w:t>3</w:t>
      </w:r>
      <w:r w:rsidRPr="00DA2DE2">
        <w:rPr>
          <w:rFonts w:ascii="Arial" w:eastAsia="Arial" w:hAnsi="Arial" w:cs="Arial"/>
          <w:lang w:val="en-GB"/>
        </w:rPr>
        <w:t xml:space="preserve">, presenting the mean, median, minimum, maximum, standard deviation </w:t>
      </w:r>
      <w:r w:rsidR="001377CB" w:rsidRPr="00DA2DE2">
        <w:rPr>
          <w:rFonts w:ascii="Arial" w:eastAsia="Arial" w:hAnsi="Arial" w:cs="Arial"/>
          <w:lang w:val="en-GB"/>
        </w:rPr>
        <w:t xml:space="preserve">(Std Dev) </w:t>
      </w:r>
      <w:r w:rsidRPr="00DA2DE2">
        <w:rPr>
          <w:rFonts w:ascii="Arial" w:eastAsia="Arial" w:hAnsi="Arial" w:cs="Arial"/>
          <w:lang w:val="en-GB"/>
        </w:rPr>
        <w:t xml:space="preserve">and interquartile range (IQR) based on the </w:t>
      </w:r>
      <w:r w:rsidR="002D64C2" w:rsidRPr="00DA2DE2">
        <w:rPr>
          <w:rFonts w:ascii="Arial" w:eastAsia="Arial" w:hAnsi="Arial" w:cs="Arial"/>
          <w:lang w:val="en-GB"/>
        </w:rPr>
        <w:t xml:space="preserve">collected </w:t>
      </w:r>
      <w:r w:rsidRPr="00DA2DE2">
        <w:rPr>
          <w:rFonts w:ascii="Arial" w:eastAsia="Arial" w:hAnsi="Arial" w:cs="Arial"/>
          <w:lang w:val="en-GB"/>
        </w:rPr>
        <w:t>responses.</w:t>
      </w:r>
    </w:p>
    <w:p w14:paraId="25291C71" w14:textId="10600F6E" w:rsidR="00D80CFE" w:rsidRPr="00DA2DE2" w:rsidRDefault="00AB6E0F" w:rsidP="0096699A">
      <w:pPr>
        <w:pStyle w:val="FigureCaption"/>
        <w:jc w:val="left"/>
        <w:rPr>
          <w:rFonts w:ascii="Arial" w:eastAsia="Times New Roman" w:hAnsi="Arial" w:cs="Arial"/>
          <w:lang w:val="en-GB"/>
        </w:rPr>
      </w:pPr>
      <w:r w:rsidRPr="00DA2DE2">
        <w:rPr>
          <w:rFonts w:ascii="Arial" w:eastAsia="Times New Roman" w:hAnsi="Arial" w:cs="Arial"/>
          <w:b/>
          <w:bCs/>
          <w:lang w:val="en-GB"/>
        </w:rPr>
        <w:t xml:space="preserve">Supplementary </w:t>
      </w:r>
      <w:r w:rsidR="00D80CFE" w:rsidRPr="00DA2DE2">
        <w:rPr>
          <w:rFonts w:ascii="Arial" w:eastAsia="Times New Roman" w:hAnsi="Arial" w:cs="Arial"/>
          <w:b/>
          <w:bCs/>
          <w:lang w:val="en-GB"/>
        </w:rPr>
        <w:t xml:space="preserve">Table </w:t>
      </w:r>
      <w:r w:rsidR="00B660B5" w:rsidRPr="00DA2DE2">
        <w:rPr>
          <w:rFonts w:ascii="Arial" w:eastAsia="Times New Roman" w:hAnsi="Arial" w:cs="Arial"/>
          <w:b/>
          <w:bCs/>
          <w:lang w:val="en-GB"/>
        </w:rPr>
        <w:t>3</w:t>
      </w:r>
      <w:r w:rsidR="00D80CFE" w:rsidRPr="00DA2DE2">
        <w:rPr>
          <w:rFonts w:ascii="Arial" w:eastAsia="Times New Roman" w:hAnsi="Arial" w:cs="Arial"/>
          <w:b/>
          <w:bCs/>
          <w:lang w:val="en-GB"/>
        </w:rPr>
        <w:t>.</w:t>
      </w:r>
      <w:r w:rsidR="00D80CFE" w:rsidRPr="00DA2DE2">
        <w:rPr>
          <w:rFonts w:ascii="Arial" w:eastAsia="Times New Roman" w:hAnsi="Arial" w:cs="Arial"/>
          <w:lang w:val="en-GB"/>
        </w:rPr>
        <w:t xml:space="preserve"> Expert-estimated durations (days) for the three preparatory phases.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4507"/>
        <w:gridCol w:w="728"/>
        <w:gridCol w:w="905"/>
        <w:gridCol w:w="561"/>
        <w:gridCol w:w="606"/>
        <w:gridCol w:w="961"/>
        <w:gridCol w:w="572"/>
      </w:tblGrid>
      <w:tr w:rsidR="00D80CFE" w:rsidRPr="00DA2DE2" w14:paraId="57235CD5" w14:textId="77777777" w:rsidTr="0096699A">
        <w:trPr>
          <w:trHeight w:val="300"/>
          <w:jc w:val="center"/>
        </w:trPr>
        <w:tc>
          <w:tcPr>
            <w:tcW w:w="4507" w:type="dxa"/>
            <w:vAlign w:val="center"/>
          </w:tcPr>
          <w:p w14:paraId="3534E41B"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Phase</w:t>
            </w:r>
          </w:p>
        </w:tc>
        <w:tc>
          <w:tcPr>
            <w:tcW w:w="728" w:type="dxa"/>
            <w:vAlign w:val="center"/>
          </w:tcPr>
          <w:p w14:paraId="491FBD78"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Mean</w:t>
            </w:r>
          </w:p>
        </w:tc>
        <w:tc>
          <w:tcPr>
            <w:tcW w:w="905" w:type="dxa"/>
            <w:vAlign w:val="center"/>
          </w:tcPr>
          <w:p w14:paraId="61B48061"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Median</w:t>
            </w:r>
          </w:p>
        </w:tc>
        <w:tc>
          <w:tcPr>
            <w:tcW w:w="561" w:type="dxa"/>
            <w:vAlign w:val="center"/>
          </w:tcPr>
          <w:p w14:paraId="64ADF6A2"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Min</w:t>
            </w:r>
          </w:p>
        </w:tc>
        <w:tc>
          <w:tcPr>
            <w:tcW w:w="606" w:type="dxa"/>
            <w:vAlign w:val="center"/>
          </w:tcPr>
          <w:p w14:paraId="00DB8630"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Max</w:t>
            </w:r>
          </w:p>
        </w:tc>
        <w:tc>
          <w:tcPr>
            <w:tcW w:w="961" w:type="dxa"/>
            <w:vAlign w:val="center"/>
          </w:tcPr>
          <w:p w14:paraId="00B7910B"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Std Dev</w:t>
            </w:r>
          </w:p>
        </w:tc>
        <w:tc>
          <w:tcPr>
            <w:tcW w:w="572" w:type="dxa"/>
            <w:vAlign w:val="center"/>
          </w:tcPr>
          <w:p w14:paraId="1D440FEB"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IQR</w:t>
            </w:r>
          </w:p>
        </w:tc>
      </w:tr>
      <w:tr w:rsidR="00D80CFE" w:rsidRPr="00DA2DE2" w14:paraId="628E4A70" w14:textId="77777777" w:rsidTr="0096699A">
        <w:trPr>
          <w:trHeight w:val="300"/>
          <w:jc w:val="center"/>
        </w:trPr>
        <w:tc>
          <w:tcPr>
            <w:tcW w:w="4507" w:type="dxa"/>
            <w:vAlign w:val="center"/>
          </w:tcPr>
          <w:p w14:paraId="02AD3A40"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Tender and designer appointment</w:t>
            </w:r>
          </w:p>
        </w:tc>
        <w:tc>
          <w:tcPr>
            <w:tcW w:w="728" w:type="dxa"/>
            <w:vAlign w:val="center"/>
          </w:tcPr>
          <w:p w14:paraId="4AA06365"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67.3</w:t>
            </w:r>
          </w:p>
        </w:tc>
        <w:tc>
          <w:tcPr>
            <w:tcW w:w="905" w:type="dxa"/>
            <w:vAlign w:val="center"/>
          </w:tcPr>
          <w:p w14:paraId="0611F1B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561" w:type="dxa"/>
            <w:vAlign w:val="center"/>
          </w:tcPr>
          <w:p w14:paraId="7973942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21</w:t>
            </w:r>
          </w:p>
        </w:tc>
        <w:tc>
          <w:tcPr>
            <w:tcW w:w="606" w:type="dxa"/>
            <w:vAlign w:val="center"/>
          </w:tcPr>
          <w:p w14:paraId="6208B59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120</w:t>
            </w:r>
          </w:p>
        </w:tc>
        <w:tc>
          <w:tcPr>
            <w:tcW w:w="961" w:type="dxa"/>
            <w:vAlign w:val="center"/>
          </w:tcPr>
          <w:p w14:paraId="032AB4D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39.3</w:t>
            </w:r>
          </w:p>
        </w:tc>
        <w:tc>
          <w:tcPr>
            <w:tcW w:w="572" w:type="dxa"/>
            <w:vAlign w:val="center"/>
          </w:tcPr>
          <w:p w14:paraId="1867D62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r>
      <w:tr w:rsidR="00D80CFE" w:rsidRPr="00DA2DE2" w14:paraId="61459EE8" w14:textId="77777777" w:rsidTr="0096699A">
        <w:trPr>
          <w:trHeight w:val="300"/>
          <w:jc w:val="center"/>
        </w:trPr>
        <w:tc>
          <w:tcPr>
            <w:tcW w:w="4507" w:type="dxa"/>
            <w:vAlign w:val="center"/>
          </w:tcPr>
          <w:p w14:paraId="07CAA01B"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Technical &amp; economic feasibility assessment</w:t>
            </w:r>
          </w:p>
        </w:tc>
        <w:tc>
          <w:tcPr>
            <w:tcW w:w="728" w:type="dxa"/>
            <w:vAlign w:val="center"/>
          </w:tcPr>
          <w:p w14:paraId="036CD12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98.6</w:t>
            </w:r>
          </w:p>
        </w:tc>
        <w:tc>
          <w:tcPr>
            <w:tcW w:w="905" w:type="dxa"/>
            <w:vAlign w:val="center"/>
          </w:tcPr>
          <w:p w14:paraId="009F7DA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561" w:type="dxa"/>
            <w:vAlign w:val="center"/>
          </w:tcPr>
          <w:p w14:paraId="01A394D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606" w:type="dxa"/>
            <w:vAlign w:val="center"/>
          </w:tcPr>
          <w:p w14:paraId="7B9269B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180</w:t>
            </w:r>
          </w:p>
        </w:tc>
        <w:tc>
          <w:tcPr>
            <w:tcW w:w="961" w:type="dxa"/>
            <w:vAlign w:val="center"/>
          </w:tcPr>
          <w:p w14:paraId="3AEE030E"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70.8</w:t>
            </w:r>
          </w:p>
        </w:tc>
        <w:tc>
          <w:tcPr>
            <w:tcW w:w="572" w:type="dxa"/>
            <w:vAlign w:val="center"/>
          </w:tcPr>
          <w:p w14:paraId="57F80787"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135</w:t>
            </w:r>
          </w:p>
        </w:tc>
      </w:tr>
      <w:tr w:rsidR="00D80CFE" w:rsidRPr="00DA2DE2" w14:paraId="10955630" w14:textId="77777777" w:rsidTr="0096699A">
        <w:trPr>
          <w:trHeight w:val="300"/>
          <w:jc w:val="center"/>
        </w:trPr>
        <w:tc>
          <w:tcPr>
            <w:tcW w:w="4507" w:type="dxa"/>
            <w:vAlign w:val="center"/>
          </w:tcPr>
          <w:p w14:paraId="46EE1474"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Final design and execution planning</w:t>
            </w:r>
          </w:p>
        </w:tc>
        <w:tc>
          <w:tcPr>
            <w:tcW w:w="728" w:type="dxa"/>
            <w:vAlign w:val="center"/>
          </w:tcPr>
          <w:p w14:paraId="36938EBE"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188.6</w:t>
            </w:r>
          </w:p>
        </w:tc>
        <w:tc>
          <w:tcPr>
            <w:tcW w:w="905" w:type="dxa"/>
            <w:vAlign w:val="center"/>
          </w:tcPr>
          <w:p w14:paraId="55D7D86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180</w:t>
            </w:r>
          </w:p>
        </w:tc>
        <w:tc>
          <w:tcPr>
            <w:tcW w:w="561" w:type="dxa"/>
            <w:vAlign w:val="center"/>
          </w:tcPr>
          <w:p w14:paraId="5494D468"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c>
          <w:tcPr>
            <w:tcW w:w="606" w:type="dxa"/>
            <w:vAlign w:val="center"/>
          </w:tcPr>
          <w:p w14:paraId="6CA58B7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360</w:t>
            </w:r>
          </w:p>
        </w:tc>
        <w:tc>
          <w:tcPr>
            <w:tcW w:w="961" w:type="dxa"/>
            <w:vAlign w:val="center"/>
          </w:tcPr>
          <w:p w14:paraId="25E3834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106.4</w:t>
            </w:r>
          </w:p>
        </w:tc>
        <w:tc>
          <w:tcPr>
            <w:tcW w:w="572" w:type="dxa"/>
            <w:vAlign w:val="center"/>
          </w:tcPr>
          <w:p w14:paraId="243140F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120</w:t>
            </w:r>
          </w:p>
        </w:tc>
      </w:tr>
    </w:tbl>
    <w:p w14:paraId="4C1833D9" w14:textId="177FE322" w:rsidR="00D80CFE" w:rsidRPr="00DA2DE2" w:rsidRDefault="00D80CFE" w:rsidP="00D80CFE">
      <w:pPr>
        <w:spacing w:before="240" w:after="240"/>
        <w:jc w:val="both"/>
        <w:rPr>
          <w:rFonts w:ascii="Arial" w:eastAsia="Arial" w:hAnsi="Arial" w:cs="Arial"/>
          <w:lang w:val="en-GB"/>
        </w:rPr>
      </w:pPr>
      <w:r w:rsidRPr="00DA2DE2">
        <w:rPr>
          <w:rFonts w:ascii="Arial" w:eastAsia="Arial" w:hAnsi="Arial" w:cs="Arial"/>
          <w:lang w:val="en-GB"/>
        </w:rPr>
        <w:t xml:space="preserve">As expected, the final design phase is the most time-consuming, with high variability. The large IQR for both feasibility and design </w:t>
      </w:r>
      <w:proofErr w:type="gramStart"/>
      <w:r w:rsidRPr="00DA2DE2">
        <w:rPr>
          <w:rFonts w:ascii="Arial" w:eastAsia="Arial" w:hAnsi="Arial" w:cs="Arial"/>
          <w:lang w:val="en-GB"/>
        </w:rPr>
        <w:t>reflects</w:t>
      </w:r>
      <w:proofErr w:type="gramEnd"/>
      <w:r w:rsidRPr="00DA2DE2">
        <w:rPr>
          <w:rFonts w:ascii="Arial" w:eastAsia="Arial" w:hAnsi="Arial" w:cs="Arial"/>
          <w:lang w:val="en-GB"/>
        </w:rPr>
        <w:t xml:space="preserve"> different assumptions about procurement complexity, regulatory requirements, and design-bid-build dynamics. Experts consistently emphasised that </w:t>
      </w:r>
      <w:r w:rsidRPr="00DA2DE2">
        <w:rPr>
          <w:rFonts w:ascii="Arial" w:eastAsia="Arial" w:hAnsi="Arial" w:cs="Arial"/>
          <w:bCs/>
          <w:lang w:val="en-GB"/>
        </w:rPr>
        <w:t>planning will likely proceed in parallel with limited bridge use</w:t>
      </w:r>
      <w:r w:rsidRPr="00DA2DE2">
        <w:rPr>
          <w:rFonts w:ascii="Arial" w:eastAsia="Arial" w:hAnsi="Arial" w:cs="Arial"/>
          <w:lang w:val="en-GB"/>
        </w:rPr>
        <w:t xml:space="preserve"> rather than following full closure, since full closures are undesirable from a resilience perspective. </w:t>
      </w:r>
      <w:r w:rsidRPr="00DA2DE2">
        <w:rPr>
          <w:rFonts w:ascii="Arial" w:hAnsi="Arial" w:cs="Arial"/>
          <w:lang w:val="en-GB"/>
        </w:rPr>
        <w:t>One</w:t>
      </w:r>
      <w:r w:rsidRPr="00DA2DE2">
        <w:rPr>
          <w:lang w:val="en-GB"/>
        </w:rPr>
        <w:t xml:space="preserve"> </w:t>
      </w:r>
      <w:r w:rsidRPr="00DA2DE2">
        <w:rPr>
          <w:rFonts w:ascii="Arial" w:hAnsi="Arial" w:cs="Arial"/>
          <w:lang w:val="en-GB"/>
        </w:rPr>
        <w:t xml:space="preserve">respondent recommended a formal </w:t>
      </w:r>
      <w:r w:rsidRPr="00DA2DE2">
        <w:rPr>
          <w:rFonts w:ascii="Arial" w:hAnsi="Arial" w:cs="Arial"/>
          <w:bCs/>
          <w:lang w:val="en-GB"/>
        </w:rPr>
        <w:t>comprehensive optioneering stage</w:t>
      </w:r>
      <w:r w:rsidRPr="00DA2DE2">
        <w:rPr>
          <w:rFonts w:ascii="Arial" w:hAnsi="Arial" w:cs="Arial"/>
          <w:lang w:val="en-GB"/>
        </w:rPr>
        <w:t xml:space="preserve"> during the feasibility phase to balance technical, economic, and aesthetic criteria before committing to a solution.</w:t>
      </w:r>
      <w:r w:rsidRPr="00DA2DE2">
        <w:rPr>
          <w:rFonts w:ascii="Arial" w:eastAsia="Arial" w:hAnsi="Arial" w:cs="Arial"/>
          <w:lang w:val="en-GB"/>
        </w:rPr>
        <w:t xml:space="preserve"> Another advocated </w:t>
      </w:r>
      <w:r w:rsidRPr="00DA2DE2">
        <w:rPr>
          <w:rFonts w:ascii="Arial" w:eastAsia="Arial" w:hAnsi="Arial" w:cs="Arial"/>
          <w:bCs/>
          <w:lang w:val="en-GB"/>
        </w:rPr>
        <w:t>ECI</w:t>
      </w:r>
      <w:r w:rsidR="00B660B5" w:rsidRPr="00DA2DE2">
        <w:rPr>
          <w:rFonts w:ascii="Arial" w:eastAsia="Arial" w:hAnsi="Arial" w:cs="Arial"/>
          <w:bCs/>
          <w:lang w:val="en-GB"/>
        </w:rPr>
        <w:t xml:space="preserve"> (Early Contractors Involvement</w:t>
      </w:r>
      <w:r w:rsidRPr="00DA2DE2">
        <w:rPr>
          <w:rFonts w:ascii="Arial" w:eastAsia="Arial" w:hAnsi="Arial" w:cs="Arial"/>
          <w:bCs/>
          <w:lang w:val="en-GB"/>
        </w:rPr>
        <w:t>) principles</w:t>
      </w:r>
      <w:r w:rsidRPr="00DA2DE2">
        <w:rPr>
          <w:rFonts w:ascii="Arial" w:eastAsia="Arial" w:hAnsi="Arial" w:cs="Arial"/>
          <w:lang w:val="en-GB"/>
        </w:rPr>
        <w:t xml:space="preserve"> </w:t>
      </w:r>
      <w:r w:rsidR="00A63139" w:rsidRPr="00DA2DE2">
        <w:rPr>
          <w:rFonts w:ascii="Arial" w:eastAsia="Arial" w:hAnsi="Arial" w:cs="Arial"/>
          <w:lang w:val="en-GB"/>
        </w:rPr>
        <w:t>[</w:t>
      </w:r>
      <w:r w:rsidR="00F46997">
        <w:rPr>
          <w:rFonts w:ascii="Arial" w:eastAsia="Arial" w:hAnsi="Arial" w:cs="Arial"/>
          <w:lang w:val="en-GB"/>
        </w:rPr>
        <w:fldChar w:fldCharType="begin"/>
      </w:r>
      <w:r w:rsidR="00F46997">
        <w:rPr>
          <w:rFonts w:ascii="Arial" w:eastAsia="Arial" w:hAnsi="Arial" w:cs="Arial"/>
          <w:lang w:val="en-GB"/>
        </w:rPr>
        <w:instrText xml:space="preserve"> REF _Ref219357473 \r \h </w:instrText>
      </w:r>
      <w:r w:rsidR="00F46997">
        <w:rPr>
          <w:rFonts w:ascii="Arial" w:eastAsia="Arial" w:hAnsi="Arial" w:cs="Arial"/>
          <w:lang w:val="en-GB"/>
        </w:rPr>
      </w:r>
      <w:r w:rsidR="00F46997">
        <w:rPr>
          <w:rFonts w:ascii="Arial" w:eastAsia="Arial" w:hAnsi="Arial" w:cs="Arial"/>
          <w:lang w:val="en-GB"/>
        </w:rPr>
        <w:fldChar w:fldCharType="separate"/>
      </w:r>
      <w:r w:rsidR="00D515C8">
        <w:rPr>
          <w:rFonts w:ascii="Arial" w:eastAsia="Arial" w:hAnsi="Arial" w:cs="Arial"/>
          <w:lang w:val="en-GB"/>
        </w:rPr>
        <w:t>19</w:t>
      </w:r>
      <w:r w:rsidR="00F46997">
        <w:rPr>
          <w:rFonts w:ascii="Arial" w:eastAsia="Arial" w:hAnsi="Arial" w:cs="Arial"/>
          <w:lang w:val="en-GB"/>
        </w:rPr>
        <w:fldChar w:fldCharType="end"/>
      </w:r>
      <w:r w:rsidR="00A63139" w:rsidRPr="00DA2DE2">
        <w:rPr>
          <w:rFonts w:ascii="Arial" w:eastAsia="Arial" w:hAnsi="Arial" w:cs="Arial"/>
          <w:lang w:val="en-GB"/>
        </w:rPr>
        <w:t>]</w:t>
      </w:r>
      <w:r w:rsidRPr="00DA2DE2">
        <w:rPr>
          <w:rFonts w:ascii="Arial" w:eastAsia="Arial" w:hAnsi="Arial" w:cs="Arial"/>
          <w:lang w:val="en-GB"/>
        </w:rPr>
        <w:t xml:space="preserve"> to enhance constructability and schedule realism. Finally, one expert noted that their proposed durations reflect </w:t>
      </w:r>
      <w:r w:rsidRPr="00DA2DE2">
        <w:rPr>
          <w:rFonts w:ascii="Arial" w:eastAsia="Arial" w:hAnsi="Arial" w:cs="Arial"/>
          <w:bCs/>
          <w:lang w:val="en-GB"/>
        </w:rPr>
        <w:t>minimum realistic values</w:t>
      </w:r>
      <w:r w:rsidRPr="00DA2DE2">
        <w:rPr>
          <w:rFonts w:ascii="Arial" w:eastAsia="Arial" w:hAnsi="Arial" w:cs="Arial"/>
          <w:lang w:val="en-GB"/>
        </w:rPr>
        <w:t>, assuming prior internal assessments and procurement specifications had already been initiated by the authorities.</w:t>
      </w:r>
    </w:p>
    <w:p w14:paraId="5789DF73" w14:textId="20EABB44" w:rsidR="00D80CFE" w:rsidRPr="00DA2DE2" w:rsidRDefault="00E6455C" w:rsidP="00D80CFE">
      <w:pPr>
        <w:jc w:val="both"/>
        <w:rPr>
          <w:rFonts w:ascii="Arial" w:eastAsia="Arial" w:hAnsi="Arial" w:cs="Arial"/>
          <w:b/>
          <w:u w:val="single"/>
          <w:lang w:val="en-GB"/>
        </w:rPr>
      </w:pPr>
      <w:r w:rsidRPr="00DA2DE2">
        <w:rPr>
          <w:rFonts w:ascii="Arial" w:eastAsia="Arial" w:hAnsi="Arial" w:cs="Arial"/>
          <w:b/>
          <w:u w:val="single"/>
          <w:lang w:val="en-GB"/>
        </w:rPr>
        <w:t xml:space="preserve">Question </w:t>
      </w:r>
      <w:r w:rsidR="00D80CFE" w:rsidRPr="00DA2DE2">
        <w:rPr>
          <w:rFonts w:ascii="Arial" w:eastAsia="Arial" w:hAnsi="Arial" w:cs="Arial"/>
          <w:b/>
          <w:u w:val="single"/>
          <w:lang w:val="en-GB"/>
        </w:rPr>
        <w:t>3: Expected duration of demolition and debris removal</w:t>
      </w:r>
    </w:p>
    <w:p w14:paraId="5F4E33E4" w14:textId="7BEC4791" w:rsidR="00D80CFE" w:rsidRPr="00DA2DE2" w:rsidRDefault="00D80CFE" w:rsidP="00D80CFE">
      <w:pPr>
        <w:spacing w:before="240" w:after="240"/>
        <w:jc w:val="both"/>
        <w:rPr>
          <w:rFonts w:ascii="Arial" w:eastAsia="Arial" w:hAnsi="Arial" w:cs="Arial"/>
          <w:lang w:val="en-GB"/>
        </w:rPr>
      </w:pPr>
      <w:r w:rsidRPr="00DA2DE2">
        <w:rPr>
          <w:rFonts w:ascii="Arial" w:eastAsia="Arial" w:hAnsi="Arial" w:cs="Arial"/>
          <w:lang w:val="en-GB"/>
        </w:rPr>
        <w:t xml:space="preserve">To assess the operational implications of potential deconstruction strategies for the </w:t>
      </w:r>
      <w:r w:rsidR="009C1F4B">
        <w:rPr>
          <w:rFonts w:ascii="Arial" w:eastAsia="Arial" w:hAnsi="Arial" w:cs="Arial"/>
          <w:lang w:val="en-GB"/>
        </w:rPr>
        <w:t>b</w:t>
      </w:r>
      <w:r w:rsidRPr="00DA2DE2">
        <w:rPr>
          <w:rFonts w:ascii="Arial" w:eastAsia="Arial" w:hAnsi="Arial" w:cs="Arial"/>
          <w:lang w:val="en-GB"/>
        </w:rPr>
        <w:t>ridge, experts were asked to estimate the expected duration of demolition and debris removal in for two scopes linked to the replacement options (</w:t>
      </w:r>
      <w:r w:rsidR="00D646F9" w:rsidRPr="00DA2DE2">
        <w:rPr>
          <w:rFonts w:ascii="Arial" w:eastAsia="Arial" w:hAnsi="Arial" w:cs="Arial"/>
          <w:lang w:val="en-GB"/>
        </w:rPr>
        <w:t>Supplementary Note 1</w:t>
      </w:r>
      <w:r w:rsidRPr="00DA2DE2">
        <w:rPr>
          <w:rFonts w:ascii="Arial" w:eastAsia="Arial" w:hAnsi="Arial" w:cs="Arial"/>
          <w:lang w:val="en-GB"/>
        </w:rPr>
        <w:t xml:space="preserve">). </w:t>
      </w:r>
      <w:r w:rsidRPr="00DA2DE2">
        <w:rPr>
          <w:rFonts w:ascii="Arial" w:eastAsia="Arial" w:hAnsi="Arial" w:cs="Arial"/>
          <w:bCs/>
          <w:lang w:val="en-GB"/>
        </w:rPr>
        <w:t>Removal 1</w:t>
      </w:r>
      <w:r w:rsidRPr="00DA2DE2">
        <w:rPr>
          <w:rFonts w:ascii="Arial" w:eastAsia="Arial" w:hAnsi="Arial" w:cs="Arial"/>
          <w:lang w:val="en-GB"/>
        </w:rPr>
        <w:t xml:space="preserve"> covers demolition of four 40 m Gerber spans (three precast prestressed beams each) while retaining the balanced cantilevers. </w:t>
      </w:r>
      <w:r w:rsidRPr="00DA2DE2">
        <w:rPr>
          <w:rFonts w:ascii="Arial" w:eastAsia="Arial" w:hAnsi="Arial" w:cs="Arial"/>
          <w:bCs/>
          <w:lang w:val="en-GB"/>
        </w:rPr>
        <w:t>Removal 2</w:t>
      </w:r>
      <w:r w:rsidRPr="00DA2DE2">
        <w:rPr>
          <w:rFonts w:ascii="Arial" w:eastAsia="Arial" w:hAnsi="Arial" w:cs="Arial"/>
          <w:lang w:val="en-GB"/>
        </w:rPr>
        <w:t xml:space="preserve"> covers full demolition of both the six 30 m cantilevers and the four 40 m Gerber spans. Estimates excluded design time and accounted for the site’s environmental sensitivity (lake/river), which constrains access and debris handling.</w:t>
      </w:r>
      <w:r w:rsidRPr="00DA2DE2">
        <w:rPr>
          <w:rFonts w:ascii="Arial" w:hAnsi="Arial" w:cs="Arial"/>
          <w:lang w:val="en-GB"/>
        </w:rPr>
        <w:t xml:space="preserve"> </w:t>
      </w:r>
      <w:r w:rsidRPr="00DA2DE2">
        <w:rPr>
          <w:rFonts w:ascii="Arial" w:eastAsia="Arial" w:hAnsi="Arial" w:cs="Arial"/>
          <w:lang w:val="en-GB"/>
        </w:rPr>
        <w:t xml:space="preserve">All estimates were required to exclude design time and consider the environmental sensitivity of the site (i.e., over a lake), which constrains accessibility and debris management options. </w:t>
      </w:r>
      <w:r w:rsidR="00B660B5" w:rsidRPr="00DA2DE2">
        <w:rPr>
          <w:rFonts w:ascii="Arial" w:eastAsia="Arial" w:hAnsi="Arial" w:cs="Arial"/>
          <w:lang w:val="en-GB"/>
        </w:rPr>
        <w:t xml:space="preserve">Supplementary </w:t>
      </w:r>
      <w:r w:rsidRPr="00DA2DE2">
        <w:rPr>
          <w:rFonts w:ascii="Arial" w:eastAsia="Arial" w:hAnsi="Arial" w:cs="Arial"/>
          <w:lang w:val="en-GB"/>
        </w:rPr>
        <w:t xml:space="preserve">Table </w:t>
      </w:r>
      <w:r w:rsidR="00B660B5" w:rsidRPr="00DA2DE2">
        <w:rPr>
          <w:rFonts w:ascii="Arial" w:eastAsia="Arial" w:hAnsi="Arial" w:cs="Arial"/>
          <w:lang w:val="en-GB"/>
        </w:rPr>
        <w:t>4</w:t>
      </w:r>
      <w:r w:rsidRPr="00DA2DE2">
        <w:rPr>
          <w:rFonts w:ascii="Arial" w:eastAsia="Arial" w:hAnsi="Arial" w:cs="Arial"/>
          <w:lang w:val="en-GB"/>
        </w:rPr>
        <w:t xml:space="preserve"> summarizes the statistical distribution of the expert responses (in calendar days):</w:t>
      </w:r>
    </w:p>
    <w:p w14:paraId="562987FF" w14:textId="0FF0E11F" w:rsidR="00D80CFE" w:rsidRPr="00DA2DE2" w:rsidRDefault="00AB6E0F" w:rsidP="00D80CFE">
      <w:pPr>
        <w:pStyle w:val="FigureCaption"/>
        <w:jc w:val="both"/>
        <w:rPr>
          <w:rFonts w:ascii="Arial" w:eastAsia="Times New Roman" w:hAnsi="Arial" w:cs="Arial"/>
          <w:lang w:val="en-GB"/>
        </w:rPr>
      </w:pPr>
      <w:r w:rsidRPr="00DA2DE2">
        <w:rPr>
          <w:rFonts w:ascii="Arial" w:eastAsia="Times New Roman" w:hAnsi="Arial" w:cs="Arial"/>
          <w:b/>
          <w:bCs/>
          <w:lang w:val="en-GB"/>
        </w:rPr>
        <w:lastRenderedPageBreak/>
        <w:t xml:space="preserve">Supplementary Table </w:t>
      </w:r>
      <w:r w:rsidR="00B660B5" w:rsidRPr="00DA2DE2">
        <w:rPr>
          <w:rFonts w:ascii="Arial" w:eastAsia="Times New Roman" w:hAnsi="Arial" w:cs="Arial"/>
          <w:b/>
          <w:bCs/>
          <w:lang w:val="en-GB"/>
        </w:rPr>
        <w:t>4</w:t>
      </w:r>
      <w:r w:rsidR="00D80CFE" w:rsidRPr="00DA2DE2">
        <w:rPr>
          <w:rFonts w:ascii="Arial" w:eastAsia="Times New Roman" w:hAnsi="Arial" w:cs="Arial"/>
          <w:b/>
          <w:bCs/>
          <w:lang w:val="en-GB"/>
        </w:rPr>
        <w:t>.</w:t>
      </w:r>
      <w:r w:rsidR="00D80CFE" w:rsidRPr="00DA2DE2">
        <w:rPr>
          <w:rFonts w:ascii="Arial" w:eastAsia="Times New Roman" w:hAnsi="Arial" w:cs="Arial"/>
          <w:lang w:val="en-GB"/>
        </w:rPr>
        <w:t xml:space="preserve"> Statistical distribution of expert responses (calendar days) for the two removal types.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4410"/>
        <w:gridCol w:w="2609"/>
        <w:gridCol w:w="2609"/>
      </w:tblGrid>
      <w:tr w:rsidR="00D80CFE" w:rsidRPr="00DA2DE2" w14:paraId="3D87E939" w14:textId="77777777" w:rsidTr="0096699A">
        <w:trPr>
          <w:trHeight w:val="300"/>
        </w:trPr>
        <w:tc>
          <w:tcPr>
            <w:tcW w:w="2290" w:type="pct"/>
            <w:vAlign w:val="center"/>
          </w:tcPr>
          <w:p w14:paraId="12531722"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Metric</w:t>
            </w:r>
          </w:p>
        </w:tc>
        <w:tc>
          <w:tcPr>
            <w:tcW w:w="1355" w:type="pct"/>
            <w:vAlign w:val="center"/>
          </w:tcPr>
          <w:p w14:paraId="18AB307F"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Removal 1</w:t>
            </w:r>
          </w:p>
        </w:tc>
        <w:tc>
          <w:tcPr>
            <w:tcW w:w="1355" w:type="pct"/>
            <w:vAlign w:val="center"/>
          </w:tcPr>
          <w:p w14:paraId="7A703400"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Removal 2</w:t>
            </w:r>
          </w:p>
        </w:tc>
      </w:tr>
      <w:tr w:rsidR="00D80CFE" w:rsidRPr="00DA2DE2" w14:paraId="4C478747" w14:textId="77777777" w:rsidTr="0096699A">
        <w:trPr>
          <w:trHeight w:val="300"/>
        </w:trPr>
        <w:tc>
          <w:tcPr>
            <w:tcW w:w="2290" w:type="pct"/>
            <w:vAlign w:val="center"/>
          </w:tcPr>
          <w:p w14:paraId="220B080D"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Mean</w:t>
            </w:r>
          </w:p>
        </w:tc>
        <w:tc>
          <w:tcPr>
            <w:tcW w:w="1355" w:type="pct"/>
            <w:vAlign w:val="center"/>
          </w:tcPr>
          <w:p w14:paraId="1C40941F" w14:textId="5E910522"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55.</w:t>
            </w:r>
            <w:r w:rsidR="002D64C2" w:rsidRPr="00DA2DE2">
              <w:rPr>
                <w:rFonts w:ascii="Arial" w:hAnsi="Arial" w:cs="Arial"/>
                <w:sz w:val="20"/>
                <w:szCs w:val="20"/>
                <w:lang w:val="en-GB"/>
              </w:rPr>
              <w:t>9</w:t>
            </w:r>
          </w:p>
        </w:tc>
        <w:tc>
          <w:tcPr>
            <w:tcW w:w="1355" w:type="pct"/>
            <w:vAlign w:val="center"/>
          </w:tcPr>
          <w:p w14:paraId="747F21FB" w14:textId="7C7EDDF0"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113.</w:t>
            </w:r>
            <w:r w:rsidR="002D64C2" w:rsidRPr="00DA2DE2">
              <w:rPr>
                <w:rFonts w:ascii="Arial" w:hAnsi="Arial" w:cs="Arial"/>
                <w:sz w:val="20"/>
                <w:szCs w:val="20"/>
                <w:lang w:val="en-GB"/>
              </w:rPr>
              <w:t>6</w:t>
            </w:r>
          </w:p>
        </w:tc>
      </w:tr>
      <w:tr w:rsidR="00D80CFE" w:rsidRPr="00DA2DE2" w14:paraId="6196672B" w14:textId="77777777" w:rsidTr="0096699A">
        <w:trPr>
          <w:trHeight w:val="300"/>
        </w:trPr>
        <w:tc>
          <w:tcPr>
            <w:tcW w:w="2290" w:type="pct"/>
            <w:vAlign w:val="center"/>
          </w:tcPr>
          <w:p w14:paraId="6F1D9A9D"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Standard Deviation</w:t>
            </w:r>
          </w:p>
        </w:tc>
        <w:tc>
          <w:tcPr>
            <w:tcW w:w="1355" w:type="pct"/>
            <w:vAlign w:val="center"/>
          </w:tcPr>
          <w:p w14:paraId="5DC1617C" w14:textId="2A15324E"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59</w:t>
            </w:r>
          </w:p>
        </w:tc>
        <w:tc>
          <w:tcPr>
            <w:tcW w:w="1355" w:type="pct"/>
            <w:vAlign w:val="center"/>
          </w:tcPr>
          <w:p w14:paraId="5EC5B3FA" w14:textId="0A37A664"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88.</w:t>
            </w:r>
            <w:r w:rsidR="002D64C2" w:rsidRPr="00DA2DE2">
              <w:rPr>
                <w:rFonts w:ascii="Arial" w:hAnsi="Arial" w:cs="Arial"/>
                <w:sz w:val="20"/>
                <w:szCs w:val="20"/>
                <w:lang w:val="en-GB"/>
              </w:rPr>
              <w:t>2</w:t>
            </w:r>
          </w:p>
        </w:tc>
      </w:tr>
      <w:tr w:rsidR="00D80CFE" w:rsidRPr="00DA2DE2" w14:paraId="4705040D" w14:textId="77777777" w:rsidTr="0096699A">
        <w:trPr>
          <w:trHeight w:val="300"/>
        </w:trPr>
        <w:tc>
          <w:tcPr>
            <w:tcW w:w="2290" w:type="pct"/>
            <w:vAlign w:val="center"/>
          </w:tcPr>
          <w:p w14:paraId="6200C54B"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Minimum</w:t>
            </w:r>
          </w:p>
        </w:tc>
        <w:tc>
          <w:tcPr>
            <w:tcW w:w="1355" w:type="pct"/>
            <w:vAlign w:val="center"/>
          </w:tcPr>
          <w:p w14:paraId="529DC4E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7</w:t>
            </w:r>
          </w:p>
        </w:tc>
        <w:tc>
          <w:tcPr>
            <w:tcW w:w="1355" w:type="pct"/>
            <w:vAlign w:val="center"/>
          </w:tcPr>
          <w:p w14:paraId="0998D3E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25</w:t>
            </w:r>
          </w:p>
        </w:tc>
      </w:tr>
      <w:tr w:rsidR="00D80CFE" w:rsidRPr="00DA2DE2" w14:paraId="4B6D4DDC" w14:textId="77777777" w:rsidTr="0096699A">
        <w:trPr>
          <w:trHeight w:val="300"/>
        </w:trPr>
        <w:tc>
          <w:tcPr>
            <w:tcW w:w="2290" w:type="pct"/>
            <w:vAlign w:val="center"/>
          </w:tcPr>
          <w:p w14:paraId="26795219"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1st Quartile (Q1)</w:t>
            </w:r>
          </w:p>
        </w:tc>
        <w:tc>
          <w:tcPr>
            <w:tcW w:w="1355" w:type="pct"/>
            <w:vAlign w:val="center"/>
          </w:tcPr>
          <w:p w14:paraId="174F47B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17</w:t>
            </w:r>
          </w:p>
        </w:tc>
        <w:tc>
          <w:tcPr>
            <w:tcW w:w="1355" w:type="pct"/>
            <w:vAlign w:val="center"/>
          </w:tcPr>
          <w:p w14:paraId="577F585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75</w:t>
            </w:r>
          </w:p>
        </w:tc>
      </w:tr>
      <w:tr w:rsidR="00D80CFE" w:rsidRPr="00DA2DE2" w14:paraId="6122F939" w14:textId="77777777" w:rsidTr="0096699A">
        <w:trPr>
          <w:trHeight w:val="300"/>
        </w:trPr>
        <w:tc>
          <w:tcPr>
            <w:tcW w:w="2290" w:type="pct"/>
            <w:vAlign w:val="center"/>
          </w:tcPr>
          <w:p w14:paraId="3B50D09B"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Median (Q2)</w:t>
            </w:r>
          </w:p>
        </w:tc>
        <w:tc>
          <w:tcPr>
            <w:tcW w:w="1355" w:type="pct"/>
            <w:vAlign w:val="center"/>
          </w:tcPr>
          <w:p w14:paraId="265FA26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50</w:t>
            </w:r>
          </w:p>
        </w:tc>
        <w:tc>
          <w:tcPr>
            <w:tcW w:w="1355" w:type="pct"/>
            <w:vAlign w:val="center"/>
          </w:tcPr>
          <w:p w14:paraId="3DE6FA7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r>
      <w:tr w:rsidR="00D80CFE" w:rsidRPr="00DA2DE2" w14:paraId="2169AC7B" w14:textId="77777777" w:rsidTr="0096699A">
        <w:trPr>
          <w:trHeight w:val="300"/>
        </w:trPr>
        <w:tc>
          <w:tcPr>
            <w:tcW w:w="2290" w:type="pct"/>
            <w:vAlign w:val="center"/>
          </w:tcPr>
          <w:p w14:paraId="15BFEBAE"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3rd Quartile (Q3)</w:t>
            </w:r>
          </w:p>
        </w:tc>
        <w:tc>
          <w:tcPr>
            <w:tcW w:w="1355" w:type="pct"/>
            <w:vAlign w:val="center"/>
          </w:tcPr>
          <w:p w14:paraId="7EC1423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c>
          <w:tcPr>
            <w:tcW w:w="1355" w:type="pct"/>
            <w:vAlign w:val="center"/>
          </w:tcPr>
          <w:p w14:paraId="5716D156"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115</w:t>
            </w:r>
          </w:p>
        </w:tc>
      </w:tr>
      <w:tr w:rsidR="00D80CFE" w:rsidRPr="00DA2DE2" w14:paraId="04446886" w14:textId="77777777" w:rsidTr="0096699A">
        <w:trPr>
          <w:trHeight w:val="300"/>
        </w:trPr>
        <w:tc>
          <w:tcPr>
            <w:tcW w:w="2290" w:type="pct"/>
            <w:vAlign w:val="center"/>
          </w:tcPr>
          <w:p w14:paraId="6E0AB529" w14:textId="77777777"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Maximum</w:t>
            </w:r>
          </w:p>
        </w:tc>
        <w:tc>
          <w:tcPr>
            <w:tcW w:w="1355" w:type="pct"/>
            <w:vAlign w:val="center"/>
          </w:tcPr>
          <w:p w14:paraId="2BD4D4D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180</w:t>
            </w:r>
          </w:p>
        </w:tc>
        <w:tc>
          <w:tcPr>
            <w:tcW w:w="1355" w:type="pct"/>
            <w:vAlign w:val="center"/>
          </w:tcPr>
          <w:p w14:paraId="1EF6FC9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300</w:t>
            </w:r>
          </w:p>
        </w:tc>
      </w:tr>
      <w:tr w:rsidR="00D80CFE" w:rsidRPr="00DA2DE2" w14:paraId="19507012" w14:textId="77777777" w:rsidTr="0096699A">
        <w:trPr>
          <w:trHeight w:val="300"/>
        </w:trPr>
        <w:tc>
          <w:tcPr>
            <w:tcW w:w="2290" w:type="pct"/>
            <w:vAlign w:val="center"/>
          </w:tcPr>
          <w:p w14:paraId="4F6A9D58" w14:textId="4737C8A5" w:rsidR="00D80CFE" w:rsidRPr="0096699A" w:rsidRDefault="00D80CFE" w:rsidP="001A6EFB">
            <w:pPr>
              <w:spacing w:after="0"/>
              <w:jc w:val="both"/>
              <w:rPr>
                <w:rFonts w:ascii="Arial" w:hAnsi="Arial" w:cs="Arial"/>
                <w:bCs/>
                <w:sz w:val="20"/>
                <w:szCs w:val="20"/>
                <w:lang w:val="en-GB"/>
              </w:rPr>
            </w:pPr>
            <w:r w:rsidRPr="0096699A">
              <w:rPr>
                <w:rFonts w:ascii="Arial" w:hAnsi="Arial" w:cs="Arial"/>
                <w:bCs/>
                <w:sz w:val="20"/>
                <w:szCs w:val="20"/>
                <w:lang w:val="en-GB"/>
              </w:rPr>
              <w:t>Interquartile Range</w:t>
            </w:r>
            <w:r w:rsidR="002D64C2" w:rsidRPr="0096699A">
              <w:rPr>
                <w:rFonts w:ascii="Arial" w:hAnsi="Arial" w:cs="Arial"/>
                <w:bCs/>
                <w:sz w:val="20"/>
                <w:szCs w:val="20"/>
                <w:lang w:val="en-GB"/>
              </w:rPr>
              <w:t xml:space="preserve"> (IQR)</w:t>
            </w:r>
          </w:p>
        </w:tc>
        <w:tc>
          <w:tcPr>
            <w:tcW w:w="1355" w:type="pct"/>
            <w:vAlign w:val="center"/>
          </w:tcPr>
          <w:p w14:paraId="4823097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43</w:t>
            </w:r>
          </w:p>
        </w:tc>
        <w:tc>
          <w:tcPr>
            <w:tcW w:w="1355" w:type="pct"/>
            <w:vAlign w:val="center"/>
          </w:tcPr>
          <w:p w14:paraId="032E110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40</w:t>
            </w:r>
          </w:p>
        </w:tc>
      </w:tr>
    </w:tbl>
    <w:p w14:paraId="68DA2FA2" w14:textId="0929F57B" w:rsidR="00D80CFE" w:rsidRPr="00DA2DE2" w:rsidRDefault="00D80CFE" w:rsidP="00D80CFE">
      <w:pPr>
        <w:spacing w:before="240" w:after="240"/>
        <w:jc w:val="both"/>
        <w:rPr>
          <w:rFonts w:ascii="Arial" w:hAnsi="Arial" w:cs="Arial"/>
          <w:lang w:val="en-GB"/>
        </w:rPr>
      </w:pPr>
      <w:r w:rsidRPr="00DA2DE2">
        <w:rPr>
          <w:rFonts w:ascii="Arial" w:eastAsia="Arial" w:hAnsi="Arial" w:cs="Arial"/>
          <w:lang w:val="en-GB"/>
        </w:rPr>
        <w:t xml:space="preserve">Despite the more extensive scope of </w:t>
      </w:r>
      <w:r w:rsidRPr="00DA2DE2">
        <w:rPr>
          <w:rFonts w:ascii="Arial" w:eastAsia="Arial" w:hAnsi="Arial" w:cs="Arial"/>
          <w:iCs/>
          <w:lang w:val="en-GB"/>
        </w:rPr>
        <w:t>Removal 2</w:t>
      </w:r>
      <w:r w:rsidRPr="00DA2DE2">
        <w:rPr>
          <w:rFonts w:ascii="Arial" w:eastAsia="Arial" w:hAnsi="Arial" w:cs="Arial"/>
          <w:lang w:val="en-GB"/>
        </w:rPr>
        <w:t>, the IQR values for both scenarios are of similar magnitude, indicating a comparable level of inter-expert agreement on central values, but potentially reflecting different perceptions of site constraints or demolition techniques.</w:t>
      </w:r>
      <w:r w:rsidR="0096699A">
        <w:rPr>
          <w:rFonts w:ascii="Arial" w:eastAsia="Arial" w:hAnsi="Arial" w:cs="Arial"/>
          <w:lang w:val="en-GB"/>
        </w:rPr>
        <w:t xml:space="preserve"> </w:t>
      </w:r>
      <w:r w:rsidRPr="00DA2DE2">
        <w:rPr>
          <w:rFonts w:ascii="Arial" w:eastAsia="Arial" w:hAnsi="Arial" w:cs="Arial"/>
          <w:lang w:val="en-GB"/>
        </w:rPr>
        <w:t>Respondents also supplied methodological notes that explain inter</w:t>
      </w:r>
      <w:r w:rsidRPr="00DA2DE2">
        <w:rPr>
          <w:rFonts w:ascii="Cambria Math" w:eastAsia="Arial" w:hAnsi="Cambria Math" w:cs="Cambria Math"/>
          <w:lang w:val="en-GB"/>
        </w:rPr>
        <w:t>‑</w:t>
      </w:r>
      <w:r w:rsidRPr="00DA2DE2">
        <w:rPr>
          <w:rFonts w:ascii="Arial" w:eastAsia="Arial" w:hAnsi="Arial" w:cs="Arial"/>
          <w:lang w:val="en-GB"/>
        </w:rPr>
        <w:t xml:space="preserve">expert variation. One expert assumed a </w:t>
      </w:r>
      <w:r w:rsidRPr="00DA2DE2">
        <w:rPr>
          <w:rFonts w:ascii="Arial" w:eastAsia="Arial" w:hAnsi="Arial" w:cs="Arial"/>
          <w:bCs/>
          <w:lang w:val="en-GB"/>
        </w:rPr>
        <w:t>sequential (non</w:t>
      </w:r>
      <w:r w:rsidRPr="00DA2DE2">
        <w:rPr>
          <w:rFonts w:ascii="Cambria Math" w:eastAsia="Arial" w:hAnsi="Cambria Math" w:cs="Cambria Math"/>
          <w:bCs/>
          <w:lang w:val="en-GB"/>
        </w:rPr>
        <w:t>‑</w:t>
      </w:r>
      <w:r w:rsidRPr="00DA2DE2">
        <w:rPr>
          <w:rFonts w:ascii="Arial" w:eastAsia="Arial" w:hAnsi="Arial" w:cs="Arial"/>
          <w:bCs/>
          <w:lang w:val="en-GB"/>
        </w:rPr>
        <w:t>parallel) span removal strategy</w:t>
      </w:r>
      <w:r w:rsidRPr="00DA2DE2">
        <w:rPr>
          <w:rFonts w:ascii="Arial" w:eastAsia="Arial" w:hAnsi="Arial" w:cs="Arial"/>
          <w:lang w:val="en-GB"/>
        </w:rPr>
        <w:t xml:space="preserve"> and </w:t>
      </w:r>
      <w:r w:rsidRPr="00DA2DE2">
        <w:rPr>
          <w:rFonts w:ascii="Arial" w:eastAsia="Arial" w:hAnsi="Arial" w:cs="Arial"/>
          <w:bCs/>
          <w:lang w:val="en-GB"/>
        </w:rPr>
        <w:t>excluded piers</w:t>
      </w:r>
      <w:r w:rsidRPr="00DA2DE2">
        <w:rPr>
          <w:rFonts w:ascii="Arial" w:eastAsia="Arial" w:hAnsi="Arial" w:cs="Arial"/>
          <w:lang w:val="en-GB"/>
        </w:rPr>
        <w:t xml:space="preserve"> from the demolition. Another proposed </w:t>
      </w:r>
      <w:r w:rsidRPr="00DA2DE2">
        <w:rPr>
          <w:rFonts w:ascii="Arial" w:eastAsia="Arial" w:hAnsi="Arial" w:cs="Arial"/>
          <w:bCs/>
          <w:lang w:val="en-GB"/>
        </w:rPr>
        <w:t>reverse-sequencing strategy</w:t>
      </w:r>
      <w:r w:rsidRPr="00DA2DE2">
        <w:rPr>
          <w:rFonts w:ascii="Arial" w:eastAsia="Arial" w:hAnsi="Arial" w:cs="Arial"/>
          <w:lang w:val="en-GB"/>
        </w:rPr>
        <w:t xml:space="preserve">, aligned with original construction steps, estimating </w:t>
      </w:r>
      <w:r w:rsidRPr="00DA2DE2">
        <w:rPr>
          <w:rFonts w:ascii="Arial" w:eastAsia="Arial" w:hAnsi="Arial" w:cs="Arial"/>
          <w:bCs/>
          <w:lang w:val="en-GB"/>
        </w:rPr>
        <w:t>25 days per Gerber span</w:t>
      </w:r>
      <w:r w:rsidRPr="00DA2DE2">
        <w:rPr>
          <w:rFonts w:ascii="Arial" w:eastAsia="Arial" w:hAnsi="Arial" w:cs="Arial"/>
          <w:lang w:val="en-GB"/>
        </w:rPr>
        <w:t xml:space="preserve">, </w:t>
      </w:r>
      <w:r w:rsidRPr="00DA2DE2">
        <w:rPr>
          <w:rFonts w:ascii="Arial" w:eastAsia="Arial" w:hAnsi="Arial" w:cs="Arial"/>
          <w:bCs/>
          <w:lang w:val="en-GB"/>
        </w:rPr>
        <w:t>15 days per cantilever</w:t>
      </w:r>
      <w:r w:rsidRPr="00DA2DE2">
        <w:rPr>
          <w:rFonts w:ascii="Arial" w:eastAsia="Arial" w:hAnsi="Arial" w:cs="Arial"/>
          <w:lang w:val="en-GB"/>
        </w:rPr>
        <w:t xml:space="preserve">, and </w:t>
      </w:r>
      <w:r w:rsidRPr="00DA2DE2">
        <w:rPr>
          <w:rFonts w:ascii="Arial" w:eastAsia="Arial" w:hAnsi="Arial" w:cs="Arial"/>
          <w:bCs/>
          <w:lang w:val="en-GB"/>
        </w:rPr>
        <w:t>35 days for preliminary site operations</w:t>
      </w:r>
      <w:r w:rsidRPr="00DA2DE2">
        <w:rPr>
          <w:rFonts w:ascii="Arial" w:eastAsia="Arial" w:hAnsi="Arial" w:cs="Arial"/>
          <w:lang w:val="en-GB"/>
        </w:rPr>
        <w:t>, with no use of explosives. A third expert cautioned that their estimates were purely indicative and not based on demolition planning expertise.</w:t>
      </w:r>
      <w:r w:rsidR="0096699A">
        <w:rPr>
          <w:rFonts w:ascii="Arial" w:eastAsia="Arial" w:hAnsi="Arial" w:cs="Arial"/>
          <w:lang w:val="en-GB"/>
        </w:rPr>
        <w:t xml:space="preserve"> </w:t>
      </w:r>
      <w:r w:rsidRPr="00DA2DE2">
        <w:rPr>
          <w:rFonts w:ascii="Arial" w:eastAsia="Arial" w:hAnsi="Arial" w:cs="Arial"/>
          <w:lang w:val="en-GB"/>
        </w:rPr>
        <w:t xml:space="preserve">The observed IQR, 43 days for </w:t>
      </w:r>
      <w:r w:rsidRPr="00DA2DE2">
        <w:rPr>
          <w:rFonts w:ascii="Arial" w:eastAsia="Arial" w:hAnsi="Arial" w:cs="Arial"/>
          <w:iCs/>
          <w:lang w:val="en-GB"/>
        </w:rPr>
        <w:t>Removal 1</w:t>
      </w:r>
      <w:r w:rsidRPr="00DA2DE2">
        <w:rPr>
          <w:rFonts w:ascii="Arial" w:eastAsia="Arial" w:hAnsi="Arial" w:cs="Arial"/>
          <w:lang w:val="en-GB"/>
        </w:rPr>
        <w:t xml:space="preserve"> and 40 days for </w:t>
      </w:r>
      <w:r w:rsidRPr="00DA2DE2">
        <w:rPr>
          <w:rFonts w:ascii="Arial" w:eastAsia="Arial" w:hAnsi="Arial" w:cs="Arial"/>
          <w:iCs/>
          <w:lang w:val="en-GB"/>
        </w:rPr>
        <w:t>Removal 2</w:t>
      </w:r>
      <w:r w:rsidRPr="00DA2DE2">
        <w:rPr>
          <w:rFonts w:ascii="Arial" w:eastAsia="Arial" w:hAnsi="Arial" w:cs="Arial"/>
          <w:lang w:val="en-GB"/>
        </w:rPr>
        <w:t xml:space="preserve">, are </w:t>
      </w:r>
      <w:r w:rsidRPr="00DA2DE2">
        <w:rPr>
          <w:rFonts w:ascii="Arial" w:eastAsia="Arial" w:hAnsi="Arial" w:cs="Arial"/>
          <w:bCs/>
          <w:lang w:val="en-GB"/>
        </w:rPr>
        <w:t>lower than initially assumed</w:t>
      </w:r>
      <w:r w:rsidRPr="00DA2DE2">
        <w:rPr>
          <w:rFonts w:ascii="Arial" w:eastAsia="Arial" w:hAnsi="Arial" w:cs="Arial"/>
          <w:lang w:val="en-GB"/>
        </w:rPr>
        <w:t xml:space="preserve"> and suggest that </w:t>
      </w:r>
      <w:r w:rsidRPr="00DA2DE2">
        <w:rPr>
          <w:rFonts w:ascii="Arial" w:eastAsia="Arial" w:hAnsi="Arial" w:cs="Arial"/>
          <w:bCs/>
          <w:lang w:val="en-GB"/>
        </w:rPr>
        <w:t xml:space="preserve">the most of expert </w:t>
      </w:r>
      <w:proofErr w:type="gramStart"/>
      <w:r w:rsidRPr="00DA2DE2">
        <w:rPr>
          <w:rFonts w:ascii="Arial" w:eastAsia="Arial" w:hAnsi="Arial" w:cs="Arial"/>
          <w:bCs/>
          <w:lang w:val="en-GB"/>
        </w:rPr>
        <w:t>estimates</w:t>
      </w:r>
      <w:proofErr w:type="gramEnd"/>
      <w:r w:rsidRPr="00DA2DE2">
        <w:rPr>
          <w:rFonts w:ascii="Arial" w:eastAsia="Arial" w:hAnsi="Arial" w:cs="Arial"/>
          <w:bCs/>
          <w:lang w:val="en-GB"/>
        </w:rPr>
        <w:t xml:space="preserve"> cluster consistently around the medians </w:t>
      </w:r>
      <w:r w:rsidRPr="00DA2DE2">
        <w:rPr>
          <w:rFonts w:ascii="Arial" w:eastAsia="Arial" w:hAnsi="Arial" w:cs="Arial"/>
          <w:lang w:val="en-GB"/>
        </w:rPr>
        <w:t xml:space="preserve">(50 and 90 days, respectively). By contrast, the wide standard deviations are driven by a few extreme values (e.g., 180 and 300 days). This discrepancy between </w:t>
      </w:r>
      <w:r w:rsidRPr="00DA2DE2">
        <w:rPr>
          <w:rFonts w:ascii="Arial" w:eastAsia="Arial" w:hAnsi="Arial" w:cs="Arial"/>
          <w:bCs/>
          <w:lang w:val="en-GB"/>
        </w:rPr>
        <w:t>IQR (robust)</w:t>
      </w:r>
      <w:r w:rsidRPr="00DA2DE2">
        <w:rPr>
          <w:rFonts w:ascii="Arial" w:eastAsia="Arial" w:hAnsi="Arial" w:cs="Arial"/>
          <w:lang w:val="en-GB"/>
        </w:rPr>
        <w:t xml:space="preserve"> and </w:t>
      </w:r>
      <w:r w:rsidRPr="00DA2DE2">
        <w:rPr>
          <w:rFonts w:ascii="Arial" w:eastAsia="Arial" w:hAnsi="Arial" w:cs="Arial"/>
          <w:bCs/>
          <w:lang w:val="en-GB"/>
        </w:rPr>
        <w:t>standard deviation (sensitive to extremes)</w:t>
      </w:r>
      <w:r w:rsidRPr="00DA2DE2">
        <w:rPr>
          <w:rFonts w:ascii="Arial" w:eastAsia="Arial" w:hAnsi="Arial" w:cs="Arial"/>
          <w:lang w:val="en-GB"/>
        </w:rPr>
        <w:t xml:space="preserve"> underscores appropriateness of percentile</w:t>
      </w:r>
      <w:r w:rsidRPr="00DA2DE2">
        <w:rPr>
          <w:rFonts w:ascii="Cambria Math" w:eastAsia="Arial" w:hAnsi="Cambria Math" w:cs="Cambria Math"/>
          <w:lang w:val="en-GB"/>
        </w:rPr>
        <w:t>‑</w:t>
      </w:r>
      <w:r w:rsidRPr="00DA2DE2">
        <w:rPr>
          <w:rFonts w:ascii="Arial" w:eastAsia="Arial" w:hAnsi="Arial" w:cs="Arial"/>
          <w:lang w:val="en-GB"/>
        </w:rPr>
        <w:t xml:space="preserve">based statistics (median, IQR) when summarising expert judgement from small panels. The relatively short IQR for </w:t>
      </w:r>
      <w:r w:rsidRPr="00DA2DE2">
        <w:rPr>
          <w:rFonts w:ascii="Arial" w:eastAsia="Arial" w:hAnsi="Arial" w:cs="Arial"/>
          <w:iCs/>
          <w:lang w:val="en-GB"/>
        </w:rPr>
        <w:t>Removal 2</w:t>
      </w:r>
      <w:r w:rsidRPr="00DA2DE2">
        <w:rPr>
          <w:rFonts w:ascii="Arial" w:eastAsia="Arial" w:hAnsi="Arial" w:cs="Arial"/>
          <w:lang w:val="en-GB"/>
        </w:rPr>
        <w:t xml:space="preserve">, despite its greater technical scope, suggests that </w:t>
      </w:r>
      <w:r w:rsidRPr="00DA2DE2">
        <w:rPr>
          <w:rFonts w:ascii="Arial" w:eastAsia="Arial" w:hAnsi="Arial" w:cs="Arial"/>
          <w:bCs/>
          <w:lang w:val="en-GB"/>
        </w:rPr>
        <w:t>experts implicitly converge towards standardized industrial sequence</w:t>
      </w:r>
      <w:r w:rsidRPr="00DA2DE2">
        <w:rPr>
          <w:rFonts w:ascii="Arial" w:eastAsia="Arial" w:hAnsi="Arial" w:cs="Arial"/>
          <w:lang w:val="en-GB"/>
        </w:rPr>
        <w:t xml:space="preserve"> for full demolition, that is perceived as more logistically scalable than selective dismantling. Overall, the demolition phase is therefore expected to require on the order of </w:t>
      </w:r>
      <w:r w:rsidRPr="00DA2DE2">
        <w:rPr>
          <w:rFonts w:ascii="Arial" w:eastAsia="Arial" w:hAnsi="Arial" w:cs="Arial"/>
          <w:bCs/>
          <w:lang w:val="en-GB"/>
        </w:rPr>
        <w:t>50–90 days</w:t>
      </w:r>
      <w:r w:rsidRPr="00DA2DE2">
        <w:rPr>
          <w:rFonts w:ascii="Arial" w:eastAsia="Arial" w:hAnsi="Arial" w:cs="Arial"/>
          <w:lang w:val="en-GB"/>
        </w:rPr>
        <w:t xml:space="preserve">, depending on the scope and the method. The tight IQRs lend credibility to the median estimates, but the presence of substantial outliers highlights the importance of </w:t>
      </w:r>
      <w:r w:rsidRPr="00DA2DE2">
        <w:rPr>
          <w:rFonts w:ascii="Arial" w:eastAsia="Arial" w:hAnsi="Arial" w:cs="Arial"/>
          <w:bCs/>
          <w:lang w:val="en-GB"/>
        </w:rPr>
        <w:t>detailed contractor planning, risk allowance and conservative scheduling</w:t>
      </w:r>
      <w:r w:rsidRPr="00DA2DE2">
        <w:rPr>
          <w:rFonts w:ascii="Arial" w:eastAsia="Arial" w:hAnsi="Arial" w:cs="Arial"/>
          <w:lang w:val="en-GB"/>
        </w:rPr>
        <w:t xml:space="preserve"> under environmental and access constraints.</w:t>
      </w:r>
    </w:p>
    <w:p w14:paraId="15623797" w14:textId="05A04EF5" w:rsidR="00D80CFE" w:rsidRPr="00DA2DE2" w:rsidRDefault="00E6455C" w:rsidP="00D80CFE">
      <w:pPr>
        <w:spacing w:before="240" w:after="240"/>
        <w:jc w:val="both"/>
        <w:rPr>
          <w:rFonts w:ascii="Arial" w:eastAsia="Arial" w:hAnsi="Arial" w:cs="Arial"/>
          <w:b/>
          <w:u w:val="single"/>
          <w:lang w:val="en-GB"/>
        </w:rPr>
      </w:pPr>
      <w:r w:rsidRPr="00DA2DE2">
        <w:rPr>
          <w:rFonts w:ascii="Arial" w:eastAsia="Arial" w:hAnsi="Arial" w:cs="Arial"/>
          <w:b/>
          <w:u w:val="single"/>
          <w:lang w:val="en-GB"/>
        </w:rPr>
        <w:t xml:space="preserve">Question </w:t>
      </w:r>
      <w:r w:rsidR="00D80CFE" w:rsidRPr="00DA2DE2">
        <w:rPr>
          <w:rFonts w:ascii="Arial" w:eastAsia="Arial" w:hAnsi="Arial" w:cs="Arial"/>
          <w:b/>
          <w:u w:val="single"/>
          <w:lang w:val="en-GB"/>
        </w:rPr>
        <w:t>4: Operational status of the bridge during interventions</w:t>
      </w:r>
    </w:p>
    <w:p w14:paraId="0C75522A" w14:textId="1B90115B" w:rsidR="00D80CFE" w:rsidRPr="00DA2DE2" w:rsidRDefault="00D80CFE" w:rsidP="0096699A">
      <w:pPr>
        <w:spacing w:line="240" w:lineRule="auto"/>
        <w:jc w:val="both"/>
        <w:rPr>
          <w:rFonts w:ascii="Arial" w:eastAsia="Arial" w:hAnsi="Arial" w:cs="Arial"/>
          <w:lang w:val="en-GB"/>
        </w:rPr>
      </w:pPr>
      <w:r w:rsidRPr="00DA2DE2">
        <w:rPr>
          <w:rFonts w:ascii="Arial" w:eastAsia="Arial" w:hAnsi="Arial" w:cs="Arial"/>
          <w:lang w:val="en-GB"/>
        </w:rPr>
        <w:t xml:space="preserve">Experts were asked whether the bridge could remain open, fully or partially, during the works, or whether complete closure would be unavoidable. The assessment contrasted two approaches:  Scenario #2 (transformative intervention with pylons and cable stays); </w:t>
      </w:r>
      <w:r w:rsidRPr="00DA2DE2">
        <w:rPr>
          <w:rFonts w:ascii="Arial" w:eastAsia="Arial" w:hAnsi="Arial" w:cs="Arial"/>
          <w:bCs/>
          <w:lang w:val="en-GB"/>
        </w:rPr>
        <w:t xml:space="preserve">Scenario #3 </w:t>
      </w:r>
      <w:r w:rsidRPr="00DA2DE2">
        <w:rPr>
          <w:rFonts w:ascii="Arial" w:eastAsia="Arial" w:hAnsi="Arial" w:cs="Arial"/>
          <w:lang w:val="en-GB"/>
        </w:rPr>
        <w:t>(conservative strengthening with external prestressing and local repairs).</w:t>
      </w:r>
      <w:r w:rsidR="0096699A">
        <w:rPr>
          <w:rFonts w:ascii="Arial" w:eastAsia="Arial" w:hAnsi="Arial" w:cs="Arial"/>
          <w:lang w:val="en-GB"/>
        </w:rPr>
        <w:t xml:space="preserve"> </w:t>
      </w:r>
      <w:r w:rsidRPr="00DA2DE2">
        <w:rPr>
          <w:rFonts w:ascii="Arial" w:eastAsia="Arial" w:hAnsi="Arial" w:cs="Arial"/>
          <w:lang w:val="en-GB"/>
        </w:rPr>
        <w:t>Experts reached near</w:t>
      </w:r>
      <w:r w:rsidRPr="00DA2DE2">
        <w:rPr>
          <w:rFonts w:ascii="Cambria Math" w:eastAsia="Arial" w:hAnsi="Cambria Math" w:cs="Cambria Math"/>
          <w:lang w:val="en-GB"/>
        </w:rPr>
        <w:t>‑</w:t>
      </w:r>
      <w:r w:rsidRPr="00DA2DE2">
        <w:rPr>
          <w:rFonts w:ascii="Arial" w:eastAsia="Arial" w:hAnsi="Arial" w:cs="Arial"/>
          <w:lang w:val="en-GB"/>
        </w:rPr>
        <w:t>consensus that Scenario #2 requires prolonged full closure or tightly controlled intermittent access. The introduction of a central pylon and stay cables is structurally disruptive: stay tensioning is especially sensitive to traffic</w:t>
      </w:r>
      <w:r w:rsidRPr="00DA2DE2">
        <w:rPr>
          <w:rFonts w:ascii="Cambria Math" w:eastAsia="Arial" w:hAnsi="Cambria Math" w:cs="Cambria Math"/>
          <w:lang w:val="en-GB"/>
        </w:rPr>
        <w:t>‑</w:t>
      </w:r>
      <w:r w:rsidRPr="00DA2DE2">
        <w:rPr>
          <w:rFonts w:ascii="Arial" w:eastAsia="Arial" w:hAnsi="Arial" w:cs="Arial"/>
          <w:lang w:val="en-GB"/>
        </w:rPr>
        <w:t xml:space="preserve">induced deflections and vibrations and therefore incompatible with live loads. Several respondents explicitly stated that </w:t>
      </w:r>
      <w:r w:rsidRPr="00DA2DE2">
        <w:rPr>
          <w:rFonts w:ascii="Arial" w:eastAsia="Arial" w:hAnsi="Arial" w:cs="Arial"/>
          <w:bCs/>
          <w:lang w:val="en-GB"/>
        </w:rPr>
        <w:t>traffic must be fully excluded during socketing and stressing of stays</w:t>
      </w:r>
      <w:r w:rsidRPr="00DA2DE2">
        <w:rPr>
          <w:rFonts w:ascii="Arial" w:eastAsia="Arial" w:hAnsi="Arial" w:cs="Arial"/>
          <w:lang w:val="en-GB"/>
        </w:rPr>
        <w:t xml:space="preserve">, as these operations are highly sensitive to deformation and require exact tension control. A minority suggested limited exceptions: for example, keeping the deck open during </w:t>
      </w:r>
      <w:r w:rsidRPr="00DA2DE2">
        <w:rPr>
          <w:rFonts w:ascii="Arial" w:eastAsia="Arial" w:hAnsi="Arial" w:cs="Arial"/>
          <w:bCs/>
          <w:lang w:val="en-GB"/>
        </w:rPr>
        <w:t>pylon erection</w:t>
      </w:r>
      <w:r w:rsidRPr="00DA2DE2">
        <w:rPr>
          <w:rFonts w:ascii="Arial" w:eastAsia="Arial" w:hAnsi="Arial" w:cs="Arial"/>
          <w:lang w:val="en-GB"/>
        </w:rPr>
        <w:t xml:space="preserve"> (e.g., using jump-forms or steel segments), with scheduled night</w:t>
      </w:r>
      <w:r w:rsidRPr="00DA2DE2">
        <w:rPr>
          <w:rFonts w:ascii="Cambria Math" w:eastAsia="Arial" w:hAnsi="Cambria Math" w:cs="Cambria Math"/>
          <w:lang w:val="en-GB"/>
        </w:rPr>
        <w:t>‑</w:t>
      </w:r>
      <w:r w:rsidRPr="00DA2DE2">
        <w:rPr>
          <w:rFonts w:ascii="Arial" w:eastAsia="Arial" w:hAnsi="Arial" w:cs="Arial"/>
          <w:lang w:val="en-GB"/>
        </w:rPr>
        <w:t>time closures for stay tensioning—but only with precise planning and specialist contractors. Overall, continuous live load presence during Scenario #2 was consistently rejected.</w:t>
      </w:r>
    </w:p>
    <w:p w14:paraId="0BDDD0AE" w14:textId="77777777" w:rsidR="00D80CFE" w:rsidRPr="00DA2DE2" w:rsidRDefault="00D80CFE" w:rsidP="00D80CFE">
      <w:pPr>
        <w:spacing w:before="240" w:after="240" w:line="240" w:lineRule="auto"/>
        <w:jc w:val="both"/>
        <w:rPr>
          <w:rFonts w:ascii="Arial" w:hAnsi="Arial" w:cs="Arial"/>
          <w:lang w:val="en-GB"/>
        </w:rPr>
      </w:pPr>
      <w:r w:rsidRPr="00DA2DE2">
        <w:rPr>
          <w:rFonts w:ascii="Arial" w:eastAsia="Arial" w:hAnsi="Arial" w:cs="Arial"/>
          <w:lang w:val="en-GB"/>
        </w:rPr>
        <w:t xml:space="preserve">By contrast, for Scenario #3 most respondents judged </w:t>
      </w:r>
      <w:r w:rsidRPr="00DA2DE2">
        <w:rPr>
          <w:rFonts w:ascii="Arial" w:eastAsia="Arial" w:hAnsi="Arial" w:cs="Arial"/>
          <w:bCs/>
          <w:lang w:val="en-GB"/>
        </w:rPr>
        <w:t>staged partial closures feasible</w:t>
      </w:r>
      <w:r w:rsidRPr="00DA2DE2">
        <w:rPr>
          <w:rFonts w:ascii="Arial" w:eastAsia="Arial" w:hAnsi="Arial" w:cs="Arial"/>
          <w:lang w:val="en-GB"/>
        </w:rPr>
        <w:t xml:space="preserve">, although with varying degrees of caution. Restricted lanes and phased operations were considered acceptable for </w:t>
      </w:r>
      <w:r w:rsidRPr="00DA2DE2">
        <w:rPr>
          <w:rFonts w:ascii="Arial" w:eastAsia="Arial" w:hAnsi="Arial" w:cs="Arial"/>
          <w:bCs/>
          <w:lang w:val="en-GB"/>
        </w:rPr>
        <w:lastRenderedPageBreak/>
        <w:t>lower</w:t>
      </w:r>
      <w:r w:rsidRPr="00DA2DE2">
        <w:rPr>
          <w:rFonts w:ascii="Cambria Math" w:eastAsia="Arial" w:hAnsi="Cambria Math" w:cs="Cambria Math"/>
          <w:bCs/>
          <w:lang w:val="en-GB"/>
        </w:rPr>
        <w:t>‑</w:t>
      </w:r>
      <w:r w:rsidRPr="00DA2DE2">
        <w:rPr>
          <w:rFonts w:ascii="Arial" w:eastAsia="Arial" w:hAnsi="Arial" w:cs="Arial"/>
          <w:bCs/>
          <w:lang w:val="en-GB"/>
        </w:rPr>
        <w:t>risk tasks</w:t>
      </w:r>
      <w:r w:rsidRPr="00DA2DE2">
        <w:rPr>
          <w:rFonts w:ascii="Arial" w:eastAsia="Arial" w:hAnsi="Arial" w:cs="Arial"/>
          <w:lang w:val="en-GB"/>
        </w:rPr>
        <w:t xml:space="preserve"> such as installation of external prestress tendons</w:t>
      </w:r>
      <w:r w:rsidRPr="00DA2DE2">
        <w:rPr>
          <w:rFonts w:ascii="Arial" w:eastAsia="Arial" w:hAnsi="Arial" w:cs="Arial"/>
          <w:bCs/>
          <w:lang w:val="en-GB"/>
        </w:rPr>
        <w:t xml:space="preserve">. </w:t>
      </w:r>
      <w:r w:rsidRPr="00DA2DE2">
        <w:rPr>
          <w:rFonts w:ascii="Arial" w:hAnsi="Arial" w:cs="Arial"/>
          <w:lang w:val="en-GB"/>
        </w:rPr>
        <w:t>Several experts recommended short, planned full closures for specific high</w:t>
      </w:r>
      <w:r w:rsidRPr="00DA2DE2">
        <w:rPr>
          <w:rFonts w:ascii="Cambria Math" w:hAnsi="Cambria Math" w:cs="Cambria Math"/>
          <w:lang w:val="en-GB"/>
        </w:rPr>
        <w:t>‑</w:t>
      </w:r>
      <w:r w:rsidRPr="00DA2DE2">
        <w:rPr>
          <w:rFonts w:ascii="Arial" w:hAnsi="Arial" w:cs="Arial"/>
          <w:lang w:val="en-GB"/>
        </w:rPr>
        <w:t>risk activities (particularly cable tensioning and cantilever jacking) to control vibration and deflections. Safety concerns repeatedly cited included sudden joint failure, loss of geometric control during stressing, and adverse interactions with live loads.</w:t>
      </w:r>
      <w:r w:rsidRPr="00DA2DE2">
        <w:rPr>
          <w:rFonts w:ascii="Arial" w:eastAsia="Arial" w:hAnsi="Arial" w:cs="Arial"/>
          <w:lang w:val="en-GB"/>
        </w:rPr>
        <w:t xml:space="preserve"> Two experts indicated that progressive reinstatement of traffic could be achieved within 2–3 months after completing the most sensitive strengthening works, provided deterioration is not more severe than anticipated.</w:t>
      </w:r>
      <w:r w:rsidRPr="00DA2DE2">
        <w:rPr>
          <w:rFonts w:ascii="Arial" w:hAnsi="Arial" w:cs="Arial"/>
          <w:lang w:val="en-GB"/>
        </w:rPr>
        <w:t xml:space="preserve"> </w:t>
      </w:r>
      <w:r w:rsidRPr="00DA2DE2">
        <w:rPr>
          <w:rFonts w:ascii="Arial" w:eastAsia="Arial" w:hAnsi="Arial" w:cs="Arial"/>
          <w:lang w:val="en-GB"/>
        </w:rPr>
        <w:t xml:space="preserve">In summary, </w:t>
      </w:r>
      <w:r w:rsidRPr="00DA2DE2">
        <w:rPr>
          <w:rFonts w:ascii="Arial" w:eastAsia="Arial" w:hAnsi="Arial" w:cs="Arial"/>
          <w:bCs/>
          <w:lang w:val="en-GB"/>
        </w:rPr>
        <w:t xml:space="preserve">Scenario #3 is broadly compatible with maintaining partial service </w:t>
      </w:r>
      <w:r w:rsidRPr="00DA2DE2">
        <w:rPr>
          <w:rFonts w:ascii="Arial" w:eastAsia="Arial" w:hAnsi="Arial" w:cs="Arial"/>
          <w:lang w:val="en-GB"/>
        </w:rPr>
        <w:t>if</w:t>
      </w:r>
      <w:r w:rsidRPr="00DA2DE2">
        <w:rPr>
          <w:rFonts w:ascii="Arial" w:eastAsia="Arial" w:hAnsi="Arial" w:cs="Arial"/>
          <w:bCs/>
          <w:lang w:val="en-GB"/>
        </w:rPr>
        <w:t xml:space="preserve"> </w:t>
      </w:r>
      <w:r w:rsidRPr="00DA2DE2">
        <w:rPr>
          <w:rFonts w:ascii="Arial" w:eastAsia="Arial" w:hAnsi="Arial" w:cs="Arial"/>
          <w:lang w:val="en-GB"/>
        </w:rPr>
        <w:t>operations are carefully sequenced and safety-critical phases are isolated.</w:t>
      </w:r>
    </w:p>
    <w:p w14:paraId="579B5842" w14:textId="4AB1C44B" w:rsidR="00D80CFE" w:rsidRPr="00DA2DE2" w:rsidRDefault="00E6455C" w:rsidP="00D80CFE">
      <w:pPr>
        <w:spacing w:before="240" w:after="240"/>
        <w:jc w:val="both"/>
        <w:rPr>
          <w:rFonts w:ascii="Arial" w:eastAsia="Arial" w:hAnsi="Arial" w:cs="Arial"/>
          <w:b/>
          <w:u w:val="single"/>
          <w:lang w:val="en-GB"/>
        </w:rPr>
      </w:pPr>
      <w:r w:rsidRPr="00DA2DE2">
        <w:rPr>
          <w:rFonts w:ascii="Arial" w:eastAsia="Arial" w:hAnsi="Arial" w:cs="Arial"/>
          <w:b/>
          <w:u w:val="single"/>
          <w:lang w:val="en-GB"/>
        </w:rPr>
        <w:t xml:space="preserve">Question </w:t>
      </w:r>
      <w:r w:rsidR="00D80CFE" w:rsidRPr="00DA2DE2">
        <w:rPr>
          <w:rFonts w:ascii="Arial" w:eastAsia="Arial" w:hAnsi="Arial" w:cs="Arial"/>
          <w:b/>
          <w:u w:val="single"/>
          <w:lang w:val="en-GB"/>
        </w:rPr>
        <w:t>5: Duration of intervention tasks</w:t>
      </w:r>
    </w:p>
    <w:p w14:paraId="7D95CCE4" w14:textId="564C20B4" w:rsidR="00D80CFE" w:rsidRPr="00DA2DE2" w:rsidRDefault="00D80CFE" w:rsidP="00D80CFE">
      <w:pPr>
        <w:spacing w:before="240" w:after="240"/>
        <w:jc w:val="both"/>
        <w:rPr>
          <w:rFonts w:ascii="Arial" w:eastAsia="Arial" w:hAnsi="Arial" w:cs="Arial"/>
          <w:lang w:val="en-GB"/>
        </w:rPr>
      </w:pPr>
      <w:r w:rsidRPr="00DA2DE2">
        <w:rPr>
          <w:rFonts w:ascii="Arial" w:eastAsia="Arial" w:hAnsi="Arial" w:cs="Arial"/>
          <w:lang w:val="en-GB"/>
        </w:rPr>
        <w:t xml:space="preserve">Experts were asked to estimate the total construction time, starting from the commencement of preparatory and structural works, excluding demolition, for each of the predefined scenarios. They were also encouraged to list the main construction tasks involved. </w:t>
      </w:r>
      <w:r w:rsidRPr="00DA2DE2">
        <w:rPr>
          <w:rFonts w:ascii="Arial" w:hAnsi="Arial" w:cs="Arial"/>
          <w:lang w:val="en-GB"/>
        </w:rPr>
        <w:t>captures how duration scales with complexity and intrusiveness, informing phasing, planning and disruption assessment.</w:t>
      </w:r>
      <w:r w:rsidRPr="00DA2DE2">
        <w:rPr>
          <w:rFonts w:ascii="Arial" w:eastAsia="Arial" w:hAnsi="Arial" w:cs="Arial"/>
          <w:lang w:val="en-GB"/>
        </w:rPr>
        <w:t xml:space="preserve"> </w:t>
      </w:r>
      <w:r w:rsidR="00B660B5" w:rsidRPr="00DA2DE2">
        <w:rPr>
          <w:rFonts w:ascii="Arial" w:eastAsia="Arial" w:hAnsi="Arial" w:cs="Arial"/>
          <w:lang w:val="en-GB"/>
        </w:rPr>
        <w:t xml:space="preserve">Supplementary </w:t>
      </w:r>
      <w:r w:rsidRPr="00DA2DE2">
        <w:rPr>
          <w:rFonts w:ascii="Arial" w:eastAsia="Arial" w:hAnsi="Arial" w:cs="Arial"/>
          <w:lang w:val="en-GB"/>
        </w:rPr>
        <w:t>Table 5 reports descriptive statistics (calendar days) for each scenario.</w:t>
      </w:r>
    </w:p>
    <w:p w14:paraId="76E23CC3" w14:textId="38BC27F3" w:rsidR="00D80CFE" w:rsidRPr="00DA2DE2" w:rsidRDefault="00AB6E0F" w:rsidP="00D80CFE">
      <w:pPr>
        <w:pStyle w:val="FigureCaption"/>
        <w:jc w:val="both"/>
        <w:rPr>
          <w:rFonts w:ascii="Arial" w:eastAsia="Times New Roman" w:hAnsi="Arial" w:cs="Arial"/>
          <w:lang w:val="en-GB"/>
        </w:rPr>
      </w:pPr>
      <w:r w:rsidRPr="00DA2DE2">
        <w:rPr>
          <w:rFonts w:ascii="Arial" w:eastAsia="Times New Roman" w:hAnsi="Arial" w:cs="Arial"/>
          <w:b/>
          <w:bCs/>
          <w:lang w:val="en-GB"/>
        </w:rPr>
        <w:t xml:space="preserve">Supplementary Table </w:t>
      </w:r>
      <w:r w:rsidR="00B660B5" w:rsidRPr="00DA2DE2">
        <w:rPr>
          <w:rFonts w:ascii="Arial" w:eastAsia="Times New Roman" w:hAnsi="Arial" w:cs="Arial"/>
          <w:b/>
          <w:bCs/>
          <w:lang w:val="en-GB"/>
        </w:rPr>
        <w:t>5</w:t>
      </w:r>
      <w:r w:rsidR="00D80CFE" w:rsidRPr="00DA2DE2">
        <w:rPr>
          <w:rFonts w:ascii="Arial" w:eastAsia="Times New Roman" w:hAnsi="Arial" w:cs="Arial"/>
          <w:b/>
          <w:bCs/>
          <w:lang w:val="en-GB"/>
        </w:rPr>
        <w:t>.</w:t>
      </w:r>
      <w:r w:rsidR="00D80CFE" w:rsidRPr="00DA2DE2">
        <w:rPr>
          <w:rFonts w:ascii="Arial" w:eastAsia="Times New Roman" w:hAnsi="Arial" w:cs="Arial"/>
          <w:lang w:val="en-GB"/>
        </w:rPr>
        <w:t xml:space="preserve"> Statistical distribution of expert responses (calendar days) for the duration of intervention tasks.</w:t>
      </w:r>
    </w:p>
    <w:tbl>
      <w:tblPr>
        <w:tblW w:w="837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1159"/>
        <w:gridCol w:w="1104"/>
        <w:gridCol w:w="1041"/>
        <w:gridCol w:w="720"/>
        <w:gridCol w:w="649"/>
        <w:gridCol w:w="940"/>
        <w:gridCol w:w="886"/>
        <w:gridCol w:w="825"/>
        <w:gridCol w:w="1050"/>
      </w:tblGrid>
      <w:tr w:rsidR="00D80CFE" w:rsidRPr="00DA2DE2" w14:paraId="7B9F24EE" w14:textId="77777777" w:rsidTr="0096699A">
        <w:trPr>
          <w:trHeight w:val="300"/>
          <w:jc w:val="center"/>
        </w:trPr>
        <w:tc>
          <w:tcPr>
            <w:tcW w:w="1159" w:type="dxa"/>
            <w:vAlign w:val="center"/>
          </w:tcPr>
          <w:p w14:paraId="60420172"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Scenario</w:t>
            </w:r>
          </w:p>
        </w:tc>
        <w:tc>
          <w:tcPr>
            <w:tcW w:w="1104" w:type="dxa"/>
            <w:vAlign w:val="center"/>
          </w:tcPr>
          <w:p w14:paraId="5F3E4EF3"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Mean</w:t>
            </w:r>
          </w:p>
        </w:tc>
        <w:tc>
          <w:tcPr>
            <w:tcW w:w="1041" w:type="dxa"/>
            <w:vAlign w:val="center"/>
          </w:tcPr>
          <w:p w14:paraId="7467A6A0"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Median</w:t>
            </w:r>
          </w:p>
        </w:tc>
        <w:tc>
          <w:tcPr>
            <w:tcW w:w="720" w:type="dxa"/>
            <w:vAlign w:val="center"/>
          </w:tcPr>
          <w:p w14:paraId="47704CF9"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Min</w:t>
            </w:r>
          </w:p>
        </w:tc>
        <w:tc>
          <w:tcPr>
            <w:tcW w:w="649" w:type="dxa"/>
            <w:vAlign w:val="center"/>
          </w:tcPr>
          <w:p w14:paraId="3A45C83F"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Max</w:t>
            </w:r>
          </w:p>
        </w:tc>
        <w:tc>
          <w:tcPr>
            <w:tcW w:w="940" w:type="dxa"/>
            <w:vAlign w:val="center"/>
          </w:tcPr>
          <w:p w14:paraId="221FDFEC"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Q1</w:t>
            </w:r>
          </w:p>
        </w:tc>
        <w:tc>
          <w:tcPr>
            <w:tcW w:w="886" w:type="dxa"/>
            <w:vAlign w:val="center"/>
          </w:tcPr>
          <w:p w14:paraId="3BDE1BB4"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Q3</w:t>
            </w:r>
          </w:p>
        </w:tc>
        <w:tc>
          <w:tcPr>
            <w:tcW w:w="825" w:type="dxa"/>
            <w:vAlign w:val="center"/>
          </w:tcPr>
          <w:p w14:paraId="52D9A05B"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IQR</w:t>
            </w:r>
          </w:p>
        </w:tc>
        <w:tc>
          <w:tcPr>
            <w:tcW w:w="1050" w:type="dxa"/>
            <w:vAlign w:val="center"/>
          </w:tcPr>
          <w:p w14:paraId="01E9A658"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Std Dev</w:t>
            </w:r>
          </w:p>
        </w:tc>
      </w:tr>
      <w:tr w:rsidR="00D80CFE" w:rsidRPr="00DA2DE2" w14:paraId="2EC29CB5" w14:textId="77777777" w:rsidTr="0096699A">
        <w:trPr>
          <w:trHeight w:val="300"/>
          <w:jc w:val="center"/>
        </w:trPr>
        <w:tc>
          <w:tcPr>
            <w:tcW w:w="1159" w:type="dxa"/>
            <w:vAlign w:val="center"/>
          </w:tcPr>
          <w:p w14:paraId="2358A9B0"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#1</w:t>
            </w:r>
          </w:p>
        </w:tc>
        <w:tc>
          <w:tcPr>
            <w:tcW w:w="1104" w:type="dxa"/>
            <w:vAlign w:val="center"/>
          </w:tcPr>
          <w:p w14:paraId="1B728CA5"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248.3</w:t>
            </w:r>
          </w:p>
        </w:tc>
        <w:tc>
          <w:tcPr>
            <w:tcW w:w="1041" w:type="dxa"/>
            <w:vAlign w:val="center"/>
          </w:tcPr>
          <w:p w14:paraId="148A694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190.0</w:t>
            </w:r>
          </w:p>
        </w:tc>
        <w:tc>
          <w:tcPr>
            <w:tcW w:w="720" w:type="dxa"/>
            <w:vAlign w:val="center"/>
          </w:tcPr>
          <w:p w14:paraId="1CF50895"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c>
          <w:tcPr>
            <w:tcW w:w="649" w:type="dxa"/>
            <w:vAlign w:val="center"/>
          </w:tcPr>
          <w:p w14:paraId="7F56FC6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40" w:type="dxa"/>
            <w:vAlign w:val="center"/>
          </w:tcPr>
          <w:p w14:paraId="471E68DE"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95.0</w:t>
            </w:r>
          </w:p>
        </w:tc>
        <w:tc>
          <w:tcPr>
            <w:tcW w:w="886" w:type="dxa"/>
            <w:vAlign w:val="center"/>
          </w:tcPr>
          <w:p w14:paraId="74A9D7F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337.5</w:t>
            </w:r>
          </w:p>
        </w:tc>
        <w:tc>
          <w:tcPr>
            <w:tcW w:w="825" w:type="dxa"/>
            <w:vAlign w:val="center"/>
          </w:tcPr>
          <w:p w14:paraId="32CE742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242.5</w:t>
            </w:r>
          </w:p>
        </w:tc>
        <w:tc>
          <w:tcPr>
            <w:tcW w:w="1050" w:type="dxa"/>
            <w:vAlign w:val="center"/>
          </w:tcPr>
          <w:p w14:paraId="354B8F3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207.98</w:t>
            </w:r>
          </w:p>
        </w:tc>
      </w:tr>
      <w:tr w:rsidR="00D80CFE" w:rsidRPr="00DA2DE2" w14:paraId="56FE49B0" w14:textId="77777777" w:rsidTr="0096699A">
        <w:trPr>
          <w:trHeight w:val="300"/>
          <w:jc w:val="center"/>
        </w:trPr>
        <w:tc>
          <w:tcPr>
            <w:tcW w:w="1159" w:type="dxa"/>
            <w:vAlign w:val="center"/>
          </w:tcPr>
          <w:p w14:paraId="7B029029"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#2</w:t>
            </w:r>
          </w:p>
        </w:tc>
        <w:tc>
          <w:tcPr>
            <w:tcW w:w="1104" w:type="dxa"/>
            <w:vAlign w:val="center"/>
          </w:tcPr>
          <w:p w14:paraId="2C616EE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320.0</w:t>
            </w:r>
          </w:p>
        </w:tc>
        <w:tc>
          <w:tcPr>
            <w:tcW w:w="1041" w:type="dxa"/>
            <w:vAlign w:val="center"/>
          </w:tcPr>
          <w:p w14:paraId="30E77C7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230.0</w:t>
            </w:r>
          </w:p>
        </w:tc>
        <w:tc>
          <w:tcPr>
            <w:tcW w:w="720" w:type="dxa"/>
            <w:vAlign w:val="center"/>
          </w:tcPr>
          <w:p w14:paraId="3B9F9D9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649" w:type="dxa"/>
            <w:vAlign w:val="center"/>
          </w:tcPr>
          <w:p w14:paraId="756D0C4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900</w:t>
            </w:r>
          </w:p>
        </w:tc>
        <w:tc>
          <w:tcPr>
            <w:tcW w:w="940" w:type="dxa"/>
            <w:vAlign w:val="center"/>
          </w:tcPr>
          <w:p w14:paraId="737C237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127.5</w:t>
            </w:r>
          </w:p>
        </w:tc>
        <w:tc>
          <w:tcPr>
            <w:tcW w:w="886" w:type="dxa"/>
            <w:vAlign w:val="center"/>
          </w:tcPr>
          <w:p w14:paraId="7C6A07E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340.0</w:t>
            </w:r>
          </w:p>
        </w:tc>
        <w:tc>
          <w:tcPr>
            <w:tcW w:w="825" w:type="dxa"/>
            <w:vAlign w:val="center"/>
          </w:tcPr>
          <w:p w14:paraId="0ABE7AF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212.5</w:t>
            </w:r>
          </w:p>
        </w:tc>
        <w:tc>
          <w:tcPr>
            <w:tcW w:w="1050" w:type="dxa"/>
            <w:vAlign w:val="center"/>
          </w:tcPr>
          <w:p w14:paraId="487F4EC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302.06</w:t>
            </w:r>
          </w:p>
        </w:tc>
      </w:tr>
      <w:tr w:rsidR="00D80CFE" w:rsidRPr="00DA2DE2" w14:paraId="759579A5" w14:textId="77777777" w:rsidTr="0096699A">
        <w:trPr>
          <w:trHeight w:val="300"/>
          <w:jc w:val="center"/>
        </w:trPr>
        <w:tc>
          <w:tcPr>
            <w:tcW w:w="1159" w:type="dxa"/>
            <w:vAlign w:val="center"/>
          </w:tcPr>
          <w:p w14:paraId="745DC884"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#3</w:t>
            </w:r>
          </w:p>
        </w:tc>
        <w:tc>
          <w:tcPr>
            <w:tcW w:w="1104" w:type="dxa"/>
            <w:vAlign w:val="center"/>
          </w:tcPr>
          <w:p w14:paraId="4CE25927"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192.5</w:t>
            </w:r>
          </w:p>
        </w:tc>
        <w:tc>
          <w:tcPr>
            <w:tcW w:w="1041" w:type="dxa"/>
            <w:vAlign w:val="center"/>
          </w:tcPr>
          <w:p w14:paraId="228307E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210.0</w:t>
            </w:r>
          </w:p>
        </w:tc>
        <w:tc>
          <w:tcPr>
            <w:tcW w:w="720" w:type="dxa"/>
            <w:vAlign w:val="center"/>
          </w:tcPr>
          <w:p w14:paraId="17D327D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c>
          <w:tcPr>
            <w:tcW w:w="649" w:type="dxa"/>
            <w:vAlign w:val="center"/>
          </w:tcPr>
          <w:p w14:paraId="1AAC7E2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300</w:t>
            </w:r>
          </w:p>
        </w:tc>
        <w:tc>
          <w:tcPr>
            <w:tcW w:w="940" w:type="dxa"/>
            <w:vAlign w:val="center"/>
          </w:tcPr>
          <w:p w14:paraId="666FB11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101.25</w:t>
            </w:r>
          </w:p>
        </w:tc>
        <w:tc>
          <w:tcPr>
            <w:tcW w:w="886" w:type="dxa"/>
            <w:vAlign w:val="center"/>
          </w:tcPr>
          <w:p w14:paraId="65E8EDC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285.0</w:t>
            </w:r>
          </w:p>
        </w:tc>
        <w:tc>
          <w:tcPr>
            <w:tcW w:w="825" w:type="dxa"/>
            <w:vAlign w:val="center"/>
          </w:tcPr>
          <w:p w14:paraId="33F60CB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183.75</w:t>
            </w:r>
          </w:p>
        </w:tc>
        <w:tc>
          <w:tcPr>
            <w:tcW w:w="1050" w:type="dxa"/>
            <w:vAlign w:val="center"/>
          </w:tcPr>
          <w:p w14:paraId="0153594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106.67</w:t>
            </w:r>
          </w:p>
        </w:tc>
      </w:tr>
      <w:tr w:rsidR="00D80CFE" w:rsidRPr="00DA2DE2" w14:paraId="2E06F364" w14:textId="77777777" w:rsidTr="0096699A">
        <w:trPr>
          <w:trHeight w:val="300"/>
          <w:jc w:val="center"/>
        </w:trPr>
        <w:tc>
          <w:tcPr>
            <w:tcW w:w="1159" w:type="dxa"/>
            <w:vAlign w:val="center"/>
          </w:tcPr>
          <w:p w14:paraId="0268A243"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#4</w:t>
            </w:r>
          </w:p>
        </w:tc>
        <w:tc>
          <w:tcPr>
            <w:tcW w:w="1104" w:type="dxa"/>
            <w:vAlign w:val="center"/>
          </w:tcPr>
          <w:p w14:paraId="032591F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397.5</w:t>
            </w:r>
          </w:p>
        </w:tc>
        <w:tc>
          <w:tcPr>
            <w:tcW w:w="1041" w:type="dxa"/>
            <w:vAlign w:val="center"/>
          </w:tcPr>
          <w:p w14:paraId="535DC8B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282.5</w:t>
            </w:r>
          </w:p>
        </w:tc>
        <w:tc>
          <w:tcPr>
            <w:tcW w:w="720" w:type="dxa"/>
            <w:vAlign w:val="center"/>
          </w:tcPr>
          <w:p w14:paraId="4FE8E07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649" w:type="dxa"/>
            <w:vAlign w:val="center"/>
          </w:tcPr>
          <w:p w14:paraId="33F9552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800</w:t>
            </w:r>
          </w:p>
        </w:tc>
        <w:tc>
          <w:tcPr>
            <w:tcW w:w="940" w:type="dxa"/>
            <w:vAlign w:val="center"/>
          </w:tcPr>
          <w:p w14:paraId="7F44C46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185.0</w:t>
            </w:r>
          </w:p>
        </w:tc>
        <w:tc>
          <w:tcPr>
            <w:tcW w:w="886" w:type="dxa"/>
            <w:vAlign w:val="center"/>
          </w:tcPr>
          <w:p w14:paraId="0C2ED02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653.75</w:t>
            </w:r>
          </w:p>
        </w:tc>
        <w:tc>
          <w:tcPr>
            <w:tcW w:w="825" w:type="dxa"/>
            <w:vAlign w:val="center"/>
          </w:tcPr>
          <w:p w14:paraId="7AF50976"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468.75</w:t>
            </w:r>
          </w:p>
        </w:tc>
        <w:tc>
          <w:tcPr>
            <w:tcW w:w="1050" w:type="dxa"/>
            <w:vAlign w:val="center"/>
          </w:tcPr>
          <w:p w14:paraId="2579002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306.00</w:t>
            </w:r>
          </w:p>
        </w:tc>
      </w:tr>
      <w:tr w:rsidR="00D80CFE" w:rsidRPr="00DA2DE2" w14:paraId="1CAEB409" w14:textId="77777777" w:rsidTr="0096699A">
        <w:trPr>
          <w:trHeight w:val="300"/>
          <w:jc w:val="center"/>
        </w:trPr>
        <w:tc>
          <w:tcPr>
            <w:tcW w:w="1159" w:type="dxa"/>
            <w:vAlign w:val="center"/>
          </w:tcPr>
          <w:p w14:paraId="5BB41167"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#5</w:t>
            </w:r>
          </w:p>
        </w:tc>
        <w:tc>
          <w:tcPr>
            <w:tcW w:w="1104" w:type="dxa"/>
            <w:vAlign w:val="center"/>
          </w:tcPr>
          <w:p w14:paraId="260C809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303.3</w:t>
            </w:r>
          </w:p>
        </w:tc>
        <w:tc>
          <w:tcPr>
            <w:tcW w:w="1041" w:type="dxa"/>
            <w:vAlign w:val="center"/>
          </w:tcPr>
          <w:p w14:paraId="48AE41C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280.0</w:t>
            </w:r>
          </w:p>
        </w:tc>
        <w:tc>
          <w:tcPr>
            <w:tcW w:w="720" w:type="dxa"/>
            <w:vAlign w:val="center"/>
          </w:tcPr>
          <w:p w14:paraId="601F359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649" w:type="dxa"/>
            <w:vAlign w:val="center"/>
          </w:tcPr>
          <w:p w14:paraId="285856D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40" w:type="dxa"/>
            <w:vAlign w:val="center"/>
          </w:tcPr>
          <w:p w14:paraId="6009818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132.5</w:t>
            </w:r>
          </w:p>
        </w:tc>
        <w:tc>
          <w:tcPr>
            <w:tcW w:w="886" w:type="dxa"/>
            <w:vAlign w:val="center"/>
          </w:tcPr>
          <w:p w14:paraId="67B9F93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435.0</w:t>
            </w:r>
          </w:p>
        </w:tc>
        <w:tc>
          <w:tcPr>
            <w:tcW w:w="825" w:type="dxa"/>
            <w:vAlign w:val="center"/>
          </w:tcPr>
          <w:p w14:paraId="6499CA0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302.5</w:t>
            </w:r>
          </w:p>
        </w:tc>
        <w:tc>
          <w:tcPr>
            <w:tcW w:w="1050" w:type="dxa"/>
            <w:vAlign w:val="center"/>
          </w:tcPr>
          <w:p w14:paraId="7AE7763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205.98</w:t>
            </w:r>
          </w:p>
        </w:tc>
      </w:tr>
      <w:tr w:rsidR="00D80CFE" w:rsidRPr="00DA2DE2" w14:paraId="782CFD0D" w14:textId="77777777" w:rsidTr="0096699A">
        <w:trPr>
          <w:trHeight w:val="300"/>
          <w:jc w:val="center"/>
        </w:trPr>
        <w:tc>
          <w:tcPr>
            <w:tcW w:w="1159" w:type="dxa"/>
            <w:vAlign w:val="center"/>
          </w:tcPr>
          <w:p w14:paraId="753D7C95"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#6</w:t>
            </w:r>
          </w:p>
        </w:tc>
        <w:tc>
          <w:tcPr>
            <w:tcW w:w="1104" w:type="dxa"/>
            <w:vAlign w:val="center"/>
          </w:tcPr>
          <w:p w14:paraId="52E14CA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275.0</w:t>
            </w:r>
          </w:p>
        </w:tc>
        <w:tc>
          <w:tcPr>
            <w:tcW w:w="1041" w:type="dxa"/>
            <w:vAlign w:val="center"/>
          </w:tcPr>
          <w:p w14:paraId="2845709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300.0</w:t>
            </w:r>
          </w:p>
        </w:tc>
        <w:tc>
          <w:tcPr>
            <w:tcW w:w="720" w:type="dxa"/>
            <w:vAlign w:val="center"/>
          </w:tcPr>
          <w:p w14:paraId="0AFC275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w:t>
            </w:r>
          </w:p>
        </w:tc>
        <w:tc>
          <w:tcPr>
            <w:tcW w:w="649" w:type="dxa"/>
            <w:vAlign w:val="center"/>
          </w:tcPr>
          <w:p w14:paraId="067F1FF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40" w:type="dxa"/>
            <w:vAlign w:val="center"/>
          </w:tcPr>
          <w:p w14:paraId="55F8E50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142.5</w:t>
            </w:r>
          </w:p>
        </w:tc>
        <w:tc>
          <w:tcPr>
            <w:tcW w:w="886" w:type="dxa"/>
            <w:vAlign w:val="center"/>
          </w:tcPr>
          <w:p w14:paraId="4877D34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300.0</w:t>
            </w:r>
          </w:p>
        </w:tc>
        <w:tc>
          <w:tcPr>
            <w:tcW w:w="825" w:type="dxa"/>
            <w:vAlign w:val="center"/>
          </w:tcPr>
          <w:p w14:paraId="37F217E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157.5</w:t>
            </w:r>
          </w:p>
        </w:tc>
        <w:tc>
          <w:tcPr>
            <w:tcW w:w="1050" w:type="dxa"/>
            <w:vAlign w:val="center"/>
          </w:tcPr>
          <w:p w14:paraId="5D8CA89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193.88</w:t>
            </w:r>
          </w:p>
        </w:tc>
      </w:tr>
    </w:tbl>
    <w:p w14:paraId="70F4C525" w14:textId="77777777" w:rsidR="00D80CFE" w:rsidRPr="00DA2DE2" w:rsidRDefault="00D80CFE" w:rsidP="00D80CFE">
      <w:pPr>
        <w:spacing w:before="240" w:after="240"/>
        <w:jc w:val="both"/>
        <w:rPr>
          <w:rFonts w:ascii="Arial" w:eastAsia="Calibri" w:hAnsi="Arial" w:cs="Arial"/>
          <w:lang w:val="en-GB"/>
        </w:rPr>
      </w:pPr>
      <w:r w:rsidRPr="00DA2DE2">
        <w:rPr>
          <w:rFonts w:ascii="Arial" w:eastAsia="Calibri" w:hAnsi="Arial" w:cs="Arial"/>
          <w:bCs/>
          <w:lang w:val="en-GB"/>
        </w:rPr>
        <w:t>Scenario #4</w:t>
      </w:r>
      <w:r w:rsidRPr="00DA2DE2">
        <w:rPr>
          <w:rFonts w:ascii="Arial" w:eastAsia="Calibri" w:hAnsi="Arial" w:cs="Arial"/>
          <w:lang w:val="en-GB"/>
        </w:rPr>
        <w:t xml:space="preserve"> (complete precast replacement) has the </w:t>
      </w:r>
      <w:r w:rsidRPr="00DA2DE2">
        <w:rPr>
          <w:rFonts w:ascii="Arial" w:eastAsia="Calibri" w:hAnsi="Arial" w:cs="Arial"/>
          <w:bCs/>
          <w:lang w:val="en-GB"/>
        </w:rPr>
        <w:t>longest mean duration</w:t>
      </w:r>
      <w:r w:rsidRPr="00DA2DE2">
        <w:rPr>
          <w:rFonts w:ascii="Arial" w:eastAsia="Calibri" w:hAnsi="Arial" w:cs="Arial"/>
          <w:lang w:val="en-GB"/>
        </w:rPr>
        <w:t xml:space="preserve"> (397.5 days) and the largest dispersion (</w:t>
      </w:r>
      <w:r w:rsidRPr="00DA2DE2">
        <w:rPr>
          <w:rFonts w:ascii="Arial" w:eastAsia="Calibri" w:hAnsi="Arial" w:cs="Arial"/>
          <w:bCs/>
          <w:lang w:val="en-GB"/>
        </w:rPr>
        <w:t>IQR = 468.75 days, with Q1 = 185 days and Q3 = 653.75 days)</w:t>
      </w:r>
      <w:r w:rsidRPr="00DA2DE2">
        <w:rPr>
          <w:rFonts w:ascii="Arial" w:eastAsia="Calibri" w:hAnsi="Arial" w:cs="Arial"/>
          <w:lang w:val="en-GB"/>
        </w:rPr>
        <w:t xml:space="preserve">, indicating substantial uncertainty and divergence assumptions among experts. By contrast, </w:t>
      </w:r>
      <w:r w:rsidRPr="00DA2DE2">
        <w:rPr>
          <w:rFonts w:ascii="Arial" w:eastAsia="Calibri" w:hAnsi="Arial" w:cs="Arial"/>
          <w:bCs/>
          <w:lang w:val="en-GB"/>
        </w:rPr>
        <w:t>Scenario #3</w:t>
      </w:r>
      <w:r w:rsidRPr="00DA2DE2">
        <w:rPr>
          <w:rFonts w:ascii="Arial" w:eastAsia="Calibri" w:hAnsi="Arial" w:cs="Arial"/>
          <w:lang w:val="en-GB"/>
        </w:rPr>
        <w:t xml:space="preserve"> (external prestressing) remains the </w:t>
      </w:r>
      <w:r w:rsidRPr="00DA2DE2">
        <w:rPr>
          <w:rFonts w:ascii="Arial" w:eastAsia="Calibri" w:hAnsi="Arial" w:cs="Arial"/>
          <w:bCs/>
          <w:lang w:val="en-GB"/>
        </w:rPr>
        <w:t>shortest and most consistent</w:t>
      </w:r>
      <w:r w:rsidRPr="00DA2DE2">
        <w:rPr>
          <w:rFonts w:ascii="Arial" w:eastAsia="Calibri" w:hAnsi="Arial" w:cs="Arial"/>
          <w:lang w:val="en-GB"/>
        </w:rPr>
        <w:t xml:space="preserve">, with a </w:t>
      </w:r>
      <w:r w:rsidRPr="00DA2DE2">
        <w:rPr>
          <w:rFonts w:ascii="Arial" w:eastAsia="Calibri" w:hAnsi="Arial" w:cs="Arial"/>
          <w:bCs/>
          <w:lang w:val="en-GB"/>
        </w:rPr>
        <w:t>low mean (192.5 days)</w:t>
      </w:r>
      <w:r w:rsidRPr="00DA2DE2">
        <w:rPr>
          <w:rFonts w:ascii="Arial" w:eastAsia="Calibri" w:hAnsi="Arial" w:cs="Arial"/>
          <w:lang w:val="en-GB"/>
        </w:rPr>
        <w:t xml:space="preserve"> and a </w:t>
      </w:r>
      <w:r w:rsidRPr="00DA2DE2">
        <w:rPr>
          <w:rFonts w:ascii="Arial" w:eastAsia="Calibri" w:hAnsi="Arial" w:cs="Arial"/>
          <w:bCs/>
          <w:lang w:val="en-GB"/>
        </w:rPr>
        <w:t>comparatively narrow IQR (183.75 days)</w:t>
      </w:r>
      <w:r w:rsidRPr="00DA2DE2">
        <w:rPr>
          <w:rFonts w:ascii="Arial" w:eastAsia="Calibri" w:hAnsi="Arial" w:cs="Arial"/>
          <w:lang w:val="en-GB"/>
        </w:rPr>
        <w:t>.</w:t>
      </w:r>
    </w:p>
    <w:p w14:paraId="793C0C28" w14:textId="77777777" w:rsidR="00D80CFE" w:rsidRPr="00DA2DE2" w:rsidRDefault="00D80CFE" w:rsidP="00D80CFE">
      <w:pPr>
        <w:spacing w:before="240" w:after="240"/>
        <w:jc w:val="both"/>
        <w:rPr>
          <w:rFonts w:ascii="Arial" w:eastAsia="Calibri" w:hAnsi="Arial" w:cs="Arial"/>
          <w:lang w:val="en-GB"/>
        </w:rPr>
      </w:pPr>
      <w:r w:rsidRPr="00DA2DE2">
        <w:rPr>
          <w:rFonts w:ascii="Arial" w:eastAsia="Calibri" w:hAnsi="Arial" w:cs="Arial"/>
          <w:lang w:val="en-GB"/>
        </w:rPr>
        <w:t xml:space="preserve">The results imply that high </w:t>
      </w:r>
      <w:r w:rsidRPr="00DA2DE2">
        <w:rPr>
          <w:rFonts w:ascii="Arial" w:eastAsia="Calibri" w:hAnsi="Arial" w:cs="Arial"/>
          <w:bCs/>
          <w:lang w:val="en-GB"/>
        </w:rPr>
        <w:t>standard deviations</w:t>
      </w:r>
      <w:r w:rsidRPr="00DA2DE2">
        <w:rPr>
          <w:rFonts w:ascii="Arial" w:eastAsia="Calibri" w:hAnsi="Arial" w:cs="Arial"/>
          <w:lang w:val="en-GB"/>
        </w:rPr>
        <w:t xml:space="preserve"> in Scenarios #4 and #2 (above 300 days) reflect both structural complexity and contrasting beliefs about constructability. The wide </w:t>
      </w:r>
      <w:r w:rsidRPr="00DA2DE2">
        <w:rPr>
          <w:rFonts w:ascii="Arial" w:eastAsia="Calibri" w:hAnsi="Arial" w:cs="Arial"/>
          <w:bCs/>
          <w:lang w:val="en-GB"/>
        </w:rPr>
        <w:t>quartile spreads</w:t>
      </w:r>
      <w:r w:rsidRPr="00DA2DE2">
        <w:rPr>
          <w:rFonts w:ascii="Arial" w:eastAsia="Calibri" w:hAnsi="Arial" w:cs="Arial"/>
          <w:lang w:val="en-GB"/>
        </w:rPr>
        <w:t xml:space="preserve"> demonstrate that even among qualified experts, duration projections for the same scenario can differ by hundreds of days, due to differing assumptions about construction phasing and parallelization, level of prefabrication and supply chain readiness, traffic management integration and weather contingencies.</w:t>
      </w:r>
      <w:r w:rsidRPr="00DA2DE2">
        <w:rPr>
          <w:rFonts w:ascii="Arial" w:eastAsia="Calibri" w:hAnsi="Arial" w:cs="Arial"/>
          <w:b/>
          <w:bCs/>
          <w:lang w:val="en-GB"/>
        </w:rPr>
        <w:t xml:space="preserve"> </w:t>
      </w:r>
      <w:r w:rsidRPr="00DA2DE2">
        <w:rPr>
          <w:rFonts w:ascii="Arial" w:eastAsia="Calibri" w:hAnsi="Arial" w:cs="Arial"/>
          <w:lang w:val="en-GB"/>
        </w:rPr>
        <w:t>Scenario #6 (modular superstructure over cantilevers) and Scenario #5 (steel–concrete deck) offer intermediate durations, but with substantial variance, underscoring the need to address schedule uncertainty explicitly in planning and to pursue measures</w:t>
      </w:r>
    </w:p>
    <w:p w14:paraId="0FAB5425" w14:textId="23A9F1E0" w:rsidR="00D80CFE" w:rsidRPr="00DA2DE2" w:rsidRDefault="00E6455C" w:rsidP="00D80CFE">
      <w:pPr>
        <w:spacing w:before="240" w:after="240"/>
        <w:jc w:val="both"/>
        <w:rPr>
          <w:rFonts w:ascii="Arial" w:eastAsia="Arial" w:hAnsi="Arial" w:cs="Arial"/>
          <w:b/>
          <w:u w:val="single"/>
          <w:lang w:val="en-GB"/>
        </w:rPr>
      </w:pPr>
      <w:r w:rsidRPr="00DA2DE2">
        <w:rPr>
          <w:rFonts w:ascii="Arial" w:eastAsia="Arial" w:hAnsi="Arial" w:cs="Arial"/>
          <w:b/>
          <w:u w:val="single"/>
          <w:lang w:val="en-GB"/>
        </w:rPr>
        <w:t xml:space="preserve">Question </w:t>
      </w:r>
      <w:r w:rsidR="00D80CFE" w:rsidRPr="00DA2DE2">
        <w:rPr>
          <w:rFonts w:ascii="Arial" w:eastAsia="Arial" w:hAnsi="Arial" w:cs="Arial"/>
          <w:b/>
          <w:u w:val="single"/>
          <w:lang w:val="en-GB"/>
        </w:rPr>
        <w:t>6: Duration of post-intervention tasks</w:t>
      </w:r>
    </w:p>
    <w:p w14:paraId="3AC7BB6D" w14:textId="17133DA2" w:rsidR="00D80CFE" w:rsidRPr="00DA2DE2" w:rsidRDefault="00D80CFE" w:rsidP="00D80CFE">
      <w:pPr>
        <w:spacing w:before="240" w:after="240"/>
        <w:jc w:val="both"/>
        <w:rPr>
          <w:rFonts w:ascii="Arial" w:hAnsi="Arial" w:cs="Arial"/>
          <w:lang w:val="en-GB"/>
        </w:rPr>
      </w:pPr>
      <w:r w:rsidRPr="00DA2DE2">
        <w:rPr>
          <w:rFonts w:ascii="Arial" w:eastAsia="Arial" w:hAnsi="Arial" w:cs="Arial"/>
          <w:lang w:val="en-GB"/>
        </w:rPr>
        <w:t xml:space="preserve">Following physical completion, infrastructure projects require administrative finalization (inspections, compliance verification, certification, documentation handover, stakeholder approval, and public communication). Experts estimated additional calendar days needed for these tasks across scenarios. </w:t>
      </w:r>
      <w:r w:rsidR="00B660B5" w:rsidRPr="00DA2DE2">
        <w:rPr>
          <w:rFonts w:ascii="Arial" w:eastAsia="Arial" w:hAnsi="Arial" w:cs="Arial"/>
          <w:lang w:val="en-GB"/>
        </w:rPr>
        <w:t xml:space="preserve">Supplementary </w:t>
      </w:r>
      <w:r w:rsidRPr="00DA2DE2">
        <w:rPr>
          <w:rFonts w:ascii="Arial" w:eastAsia="Arial" w:hAnsi="Arial" w:cs="Arial"/>
          <w:lang w:val="en-GB"/>
        </w:rPr>
        <w:t xml:space="preserve">Table </w:t>
      </w:r>
      <w:r w:rsidR="00B660B5" w:rsidRPr="00DA2DE2">
        <w:rPr>
          <w:rFonts w:ascii="Arial" w:eastAsia="Arial" w:hAnsi="Arial" w:cs="Arial"/>
          <w:lang w:val="en-GB"/>
        </w:rPr>
        <w:t>6</w:t>
      </w:r>
      <w:r w:rsidRPr="00DA2DE2">
        <w:rPr>
          <w:rFonts w:ascii="Arial" w:eastAsia="Arial" w:hAnsi="Arial" w:cs="Arial"/>
          <w:lang w:val="en-GB"/>
        </w:rPr>
        <w:t xml:space="preserve"> summarises the distributions.</w:t>
      </w:r>
    </w:p>
    <w:p w14:paraId="1B6E0FFA" w14:textId="38AE9FD0" w:rsidR="00D80CFE" w:rsidRPr="00DA2DE2" w:rsidRDefault="00AB6E0F" w:rsidP="00D80CFE">
      <w:pPr>
        <w:pStyle w:val="FigureCaption"/>
        <w:jc w:val="both"/>
        <w:rPr>
          <w:rFonts w:ascii="Arial" w:eastAsia="Times New Roman" w:hAnsi="Arial" w:cs="Arial"/>
          <w:lang w:val="en-GB"/>
        </w:rPr>
      </w:pPr>
      <w:r w:rsidRPr="00DA2DE2">
        <w:rPr>
          <w:rFonts w:ascii="Arial" w:eastAsia="Times New Roman" w:hAnsi="Arial" w:cs="Arial"/>
          <w:b/>
          <w:bCs/>
          <w:lang w:val="en-GB"/>
        </w:rPr>
        <w:lastRenderedPageBreak/>
        <w:t xml:space="preserve">Supplementary Table </w:t>
      </w:r>
      <w:r w:rsidR="00B660B5" w:rsidRPr="00DA2DE2">
        <w:rPr>
          <w:rFonts w:ascii="Arial" w:eastAsia="Times New Roman" w:hAnsi="Arial" w:cs="Arial"/>
          <w:b/>
          <w:bCs/>
          <w:lang w:val="en-GB"/>
        </w:rPr>
        <w:t>6</w:t>
      </w:r>
      <w:r w:rsidR="00D80CFE" w:rsidRPr="00DA2DE2">
        <w:rPr>
          <w:rFonts w:ascii="Arial" w:eastAsia="Times New Roman" w:hAnsi="Arial" w:cs="Arial"/>
          <w:lang w:val="en-GB"/>
        </w:rPr>
        <w:t xml:space="preserve"> Statistical distribution of expert responses (calendar days) for the duration of post-intervention tasks.</w:t>
      </w:r>
    </w:p>
    <w:tbl>
      <w:tblPr>
        <w:tblW w:w="89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1843"/>
        <w:gridCol w:w="815"/>
        <w:gridCol w:w="1036"/>
        <w:gridCol w:w="711"/>
        <w:gridCol w:w="742"/>
        <w:gridCol w:w="871"/>
        <w:gridCol w:w="928"/>
        <w:gridCol w:w="992"/>
        <w:gridCol w:w="992"/>
      </w:tblGrid>
      <w:tr w:rsidR="00D80CFE" w:rsidRPr="00DA2DE2" w14:paraId="3390BCBF" w14:textId="77777777" w:rsidTr="0096699A">
        <w:trPr>
          <w:trHeight w:val="300"/>
          <w:jc w:val="center"/>
        </w:trPr>
        <w:tc>
          <w:tcPr>
            <w:tcW w:w="1843" w:type="dxa"/>
            <w:vAlign w:val="center"/>
          </w:tcPr>
          <w:p w14:paraId="6867B951"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Scenario</w:t>
            </w:r>
          </w:p>
        </w:tc>
        <w:tc>
          <w:tcPr>
            <w:tcW w:w="815" w:type="dxa"/>
            <w:vAlign w:val="center"/>
          </w:tcPr>
          <w:p w14:paraId="6E3D4DE9"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Mean</w:t>
            </w:r>
          </w:p>
        </w:tc>
        <w:tc>
          <w:tcPr>
            <w:tcW w:w="1036" w:type="dxa"/>
            <w:vAlign w:val="center"/>
          </w:tcPr>
          <w:p w14:paraId="40E2DCA7"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Median</w:t>
            </w:r>
          </w:p>
        </w:tc>
        <w:tc>
          <w:tcPr>
            <w:tcW w:w="711" w:type="dxa"/>
            <w:vAlign w:val="center"/>
          </w:tcPr>
          <w:p w14:paraId="5A37D9FE"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Min</w:t>
            </w:r>
          </w:p>
        </w:tc>
        <w:tc>
          <w:tcPr>
            <w:tcW w:w="742" w:type="dxa"/>
            <w:vAlign w:val="center"/>
          </w:tcPr>
          <w:p w14:paraId="2BB2D19F"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Max</w:t>
            </w:r>
          </w:p>
        </w:tc>
        <w:tc>
          <w:tcPr>
            <w:tcW w:w="871" w:type="dxa"/>
            <w:vAlign w:val="center"/>
          </w:tcPr>
          <w:p w14:paraId="06208D44"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Q1</w:t>
            </w:r>
          </w:p>
        </w:tc>
        <w:tc>
          <w:tcPr>
            <w:tcW w:w="928" w:type="dxa"/>
            <w:vAlign w:val="center"/>
          </w:tcPr>
          <w:p w14:paraId="29D82EA4"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Q3</w:t>
            </w:r>
          </w:p>
        </w:tc>
        <w:tc>
          <w:tcPr>
            <w:tcW w:w="992" w:type="dxa"/>
            <w:vAlign w:val="center"/>
          </w:tcPr>
          <w:p w14:paraId="6582013F"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IQR</w:t>
            </w:r>
          </w:p>
        </w:tc>
        <w:tc>
          <w:tcPr>
            <w:tcW w:w="992" w:type="dxa"/>
            <w:vAlign w:val="center"/>
          </w:tcPr>
          <w:p w14:paraId="4776CC84" w14:textId="77777777" w:rsidR="00D80CFE" w:rsidRPr="00DA2DE2" w:rsidRDefault="00D80CFE" w:rsidP="001A6EFB">
            <w:pPr>
              <w:spacing w:after="0"/>
              <w:jc w:val="both"/>
              <w:rPr>
                <w:rFonts w:ascii="Arial" w:hAnsi="Arial" w:cs="Arial"/>
                <w:b/>
                <w:bCs/>
                <w:sz w:val="20"/>
                <w:szCs w:val="20"/>
                <w:lang w:val="en-GB"/>
              </w:rPr>
            </w:pPr>
            <w:r w:rsidRPr="00DA2DE2">
              <w:rPr>
                <w:rFonts w:ascii="Arial" w:hAnsi="Arial" w:cs="Arial"/>
                <w:b/>
                <w:bCs/>
                <w:sz w:val="20"/>
                <w:szCs w:val="20"/>
                <w:lang w:val="en-GB"/>
              </w:rPr>
              <w:t>Std Dev</w:t>
            </w:r>
          </w:p>
        </w:tc>
      </w:tr>
      <w:tr w:rsidR="00D80CFE" w:rsidRPr="00DA2DE2" w14:paraId="0174B01C" w14:textId="77777777" w:rsidTr="0096699A">
        <w:trPr>
          <w:trHeight w:val="300"/>
          <w:jc w:val="center"/>
        </w:trPr>
        <w:tc>
          <w:tcPr>
            <w:tcW w:w="1843" w:type="dxa"/>
            <w:vAlign w:val="center"/>
          </w:tcPr>
          <w:p w14:paraId="52A5A83A"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#1</w:t>
            </w:r>
          </w:p>
        </w:tc>
        <w:tc>
          <w:tcPr>
            <w:tcW w:w="815" w:type="dxa"/>
            <w:vAlign w:val="center"/>
          </w:tcPr>
          <w:p w14:paraId="3833A5C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54.2</w:t>
            </w:r>
          </w:p>
        </w:tc>
        <w:tc>
          <w:tcPr>
            <w:tcW w:w="1036" w:type="dxa"/>
            <w:vAlign w:val="center"/>
          </w:tcPr>
          <w:p w14:paraId="306C25B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711" w:type="dxa"/>
            <w:vAlign w:val="center"/>
          </w:tcPr>
          <w:p w14:paraId="3FF0274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7B1F153F"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871" w:type="dxa"/>
            <w:vAlign w:val="center"/>
          </w:tcPr>
          <w:p w14:paraId="727EFEE8"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41.25</w:t>
            </w:r>
          </w:p>
        </w:tc>
        <w:tc>
          <w:tcPr>
            <w:tcW w:w="928" w:type="dxa"/>
            <w:vAlign w:val="center"/>
          </w:tcPr>
          <w:p w14:paraId="0D05EF37"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92" w:type="dxa"/>
            <w:vAlign w:val="center"/>
          </w:tcPr>
          <w:p w14:paraId="37B6B7DE"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18.75</w:t>
            </w:r>
          </w:p>
        </w:tc>
        <w:tc>
          <w:tcPr>
            <w:tcW w:w="992" w:type="dxa"/>
            <w:vAlign w:val="center"/>
          </w:tcPr>
          <w:p w14:paraId="77B8A3E6"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21.08</w:t>
            </w:r>
          </w:p>
        </w:tc>
      </w:tr>
      <w:tr w:rsidR="00D80CFE" w:rsidRPr="00DA2DE2" w14:paraId="23BD9D0B" w14:textId="77777777" w:rsidTr="0096699A">
        <w:trPr>
          <w:trHeight w:val="300"/>
          <w:jc w:val="center"/>
        </w:trPr>
        <w:tc>
          <w:tcPr>
            <w:tcW w:w="1843" w:type="dxa"/>
            <w:vAlign w:val="center"/>
          </w:tcPr>
          <w:p w14:paraId="7494D7E5"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#2</w:t>
            </w:r>
          </w:p>
        </w:tc>
        <w:tc>
          <w:tcPr>
            <w:tcW w:w="815" w:type="dxa"/>
            <w:vAlign w:val="center"/>
          </w:tcPr>
          <w:p w14:paraId="0D2B4F1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68.3</w:t>
            </w:r>
          </w:p>
        </w:tc>
        <w:tc>
          <w:tcPr>
            <w:tcW w:w="1036" w:type="dxa"/>
            <w:vAlign w:val="center"/>
          </w:tcPr>
          <w:p w14:paraId="51864E78"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711" w:type="dxa"/>
            <w:vAlign w:val="center"/>
          </w:tcPr>
          <w:p w14:paraId="287D2A0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64C1757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180</w:t>
            </w:r>
          </w:p>
        </w:tc>
        <w:tc>
          <w:tcPr>
            <w:tcW w:w="871" w:type="dxa"/>
            <w:vAlign w:val="center"/>
          </w:tcPr>
          <w:p w14:paraId="6CC3BE1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37.5</w:t>
            </w:r>
          </w:p>
        </w:tc>
        <w:tc>
          <w:tcPr>
            <w:tcW w:w="928" w:type="dxa"/>
            <w:vAlign w:val="center"/>
          </w:tcPr>
          <w:p w14:paraId="2C60D8E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92" w:type="dxa"/>
            <w:vAlign w:val="center"/>
          </w:tcPr>
          <w:p w14:paraId="1A6E716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22.5</w:t>
            </w:r>
          </w:p>
        </w:tc>
        <w:tc>
          <w:tcPr>
            <w:tcW w:w="992" w:type="dxa"/>
            <w:vAlign w:val="center"/>
          </w:tcPr>
          <w:p w14:paraId="1A00976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56.10</w:t>
            </w:r>
          </w:p>
        </w:tc>
      </w:tr>
      <w:tr w:rsidR="00D80CFE" w:rsidRPr="00DA2DE2" w14:paraId="286802EF" w14:textId="77777777" w:rsidTr="0096699A">
        <w:trPr>
          <w:trHeight w:val="300"/>
          <w:jc w:val="center"/>
        </w:trPr>
        <w:tc>
          <w:tcPr>
            <w:tcW w:w="1843" w:type="dxa"/>
            <w:vAlign w:val="center"/>
          </w:tcPr>
          <w:p w14:paraId="3C3E792D"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#3</w:t>
            </w:r>
          </w:p>
        </w:tc>
        <w:tc>
          <w:tcPr>
            <w:tcW w:w="815" w:type="dxa"/>
            <w:vAlign w:val="center"/>
          </w:tcPr>
          <w:p w14:paraId="43BB867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62.2</w:t>
            </w:r>
          </w:p>
        </w:tc>
        <w:tc>
          <w:tcPr>
            <w:tcW w:w="1036" w:type="dxa"/>
            <w:vAlign w:val="center"/>
          </w:tcPr>
          <w:p w14:paraId="0C2187C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51.5</w:t>
            </w:r>
          </w:p>
        </w:tc>
        <w:tc>
          <w:tcPr>
            <w:tcW w:w="711" w:type="dxa"/>
            <w:vAlign w:val="center"/>
          </w:tcPr>
          <w:p w14:paraId="7D619D66"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24E04B4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150</w:t>
            </w:r>
          </w:p>
        </w:tc>
        <w:tc>
          <w:tcPr>
            <w:tcW w:w="871" w:type="dxa"/>
            <w:vAlign w:val="center"/>
          </w:tcPr>
          <w:p w14:paraId="4BB52BD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33.75</w:t>
            </w:r>
          </w:p>
        </w:tc>
        <w:tc>
          <w:tcPr>
            <w:tcW w:w="928" w:type="dxa"/>
            <w:vAlign w:val="center"/>
          </w:tcPr>
          <w:p w14:paraId="005F249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59.5</w:t>
            </w:r>
          </w:p>
        </w:tc>
        <w:tc>
          <w:tcPr>
            <w:tcW w:w="992" w:type="dxa"/>
            <w:vAlign w:val="center"/>
          </w:tcPr>
          <w:p w14:paraId="5D0C17D0"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25.75</w:t>
            </w:r>
          </w:p>
        </w:tc>
        <w:tc>
          <w:tcPr>
            <w:tcW w:w="992" w:type="dxa"/>
            <w:vAlign w:val="center"/>
          </w:tcPr>
          <w:p w14:paraId="33FA67A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44.95</w:t>
            </w:r>
          </w:p>
        </w:tc>
      </w:tr>
      <w:tr w:rsidR="00D80CFE" w:rsidRPr="00DA2DE2" w14:paraId="272276EE" w14:textId="77777777" w:rsidTr="0096699A">
        <w:trPr>
          <w:trHeight w:val="300"/>
          <w:jc w:val="center"/>
        </w:trPr>
        <w:tc>
          <w:tcPr>
            <w:tcW w:w="1843" w:type="dxa"/>
            <w:vAlign w:val="center"/>
          </w:tcPr>
          <w:p w14:paraId="39454F4F"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#4</w:t>
            </w:r>
          </w:p>
        </w:tc>
        <w:tc>
          <w:tcPr>
            <w:tcW w:w="815" w:type="dxa"/>
            <w:vAlign w:val="center"/>
          </w:tcPr>
          <w:p w14:paraId="3300644A"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87.5</w:t>
            </w:r>
          </w:p>
        </w:tc>
        <w:tc>
          <w:tcPr>
            <w:tcW w:w="1036" w:type="dxa"/>
            <w:vAlign w:val="center"/>
          </w:tcPr>
          <w:p w14:paraId="3114358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711" w:type="dxa"/>
            <w:vAlign w:val="center"/>
          </w:tcPr>
          <w:p w14:paraId="6F55B92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46AC1F5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300</w:t>
            </w:r>
          </w:p>
        </w:tc>
        <w:tc>
          <w:tcPr>
            <w:tcW w:w="871" w:type="dxa"/>
            <w:vAlign w:val="center"/>
          </w:tcPr>
          <w:p w14:paraId="543A823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33.75</w:t>
            </w:r>
          </w:p>
        </w:tc>
        <w:tc>
          <w:tcPr>
            <w:tcW w:w="928" w:type="dxa"/>
            <w:vAlign w:val="center"/>
          </w:tcPr>
          <w:p w14:paraId="63A1D091"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92" w:type="dxa"/>
            <w:vAlign w:val="center"/>
          </w:tcPr>
          <w:p w14:paraId="51CB360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26.25</w:t>
            </w:r>
          </w:p>
        </w:tc>
        <w:tc>
          <w:tcPr>
            <w:tcW w:w="992" w:type="dxa"/>
            <w:vAlign w:val="center"/>
          </w:tcPr>
          <w:p w14:paraId="7BE54F5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104.96</w:t>
            </w:r>
          </w:p>
        </w:tc>
      </w:tr>
      <w:tr w:rsidR="00D80CFE" w:rsidRPr="00DA2DE2" w14:paraId="1BD10265" w14:textId="77777777" w:rsidTr="0096699A">
        <w:trPr>
          <w:trHeight w:val="300"/>
          <w:jc w:val="center"/>
        </w:trPr>
        <w:tc>
          <w:tcPr>
            <w:tcW w:w="1843" w:type="dxa"/>
            <w:vAlign w:val="center"/>
          </w:tcPr>
          <w:p w14:paraId="703961B3"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#5</w:t>
            </w:r>
          </w:p>
        </w:tc>
        <w:tc>
          <w:tcPr>
            <w:tcW w:w="815" w:type="dxa"/>
            <w:vAlign w:val="center"/>
          </w:tcPr>
          <w:p w14:paraId="6465F6A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1036" w:type="dxa"/>
            <w:vAlign w:val="center"/>
          </w:tcPr>
          <w:p w14:paraId="36B5455B"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711" w:type="dxa"/>
            <w:vAlign w:val="center"/>
          </w:tcPr>
          <w:p w14:paraId="63328D3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2560A36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90</w:t>
            </w:r>
          </w:p>
        </w:tc>
        <w:tc>
          <w:tcPr>
            <w:tcW w:w="871" w:type="dxa"/>
            <w:vAlign w:val="center"/>
          </w:tcPr>
          <w:p w14:paraId="07690B73"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33.75</w:t>
            </w:r>
          </w:p>
        </w:tc>
        <w:tc>
          <w:tcPr>
            <w:tcW w:w="928" w:type="dxa"/>
            <w:vAlign w:val="center"/>
          </w:tcPr>
          <w:p w14:paraId="63E8DF44"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92" w:type="dxa"/>
            <w:vAlign w:val="center"/>
          </w:tcPr>
          <w:p w14:paraId="77CA1F26"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26.25</w:t>
            </w:r>
          </w:p>
        </w:tc>
        <w:tc>
          <w:tcPr>
            <w:tcW w:w="992" w:type="dxa"/>
            <w:vAlign w:val="center"/>
          </w:tcPr>
          <w:p w14:paraId="2019E0C7"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22.75</w:t>
            </w:r>
          </w:p>
        </w:tc>
      </w:tr>
      <w:tr w:rsidR="00D80CFE" w:rsidRPr="00DA2DE2" w14:paraId="4E0257FC" w14:textId="77777777" w:rsidTr="0096699A">
        <w:trPr>
          <w:trHeight w:val="300"/>
          <w:jc w:val="center"/>
        </w:trPr>
        <w:tc>
          <w:tcPr>
            <w:tcW w:w="1843" w:type="dxa"/>
            <w:vAlign w:val="center"/>
          </w:tcPr>
          <w:p w14:paraId="3C5596D6" w14:textId="77777777" w:rsidR="00D80CFE" w:rsidRPr="0096699A" w:rsidRDefault="00D80CFE" w:rsidP="001A6EFB">
            <w:pPr>
              <w:spacing w:after="0"/>
              <w:jc w:val="both"/>
              <w:rPr>
                <w:rFonts w:ascii="Arial" w:hAnsi="Arial" w:cs="Arial"/>
                <w:sz w:val="20"/>
                <w:szCs w:val="20"/>
                <w:lang w:val="en-GB"/>
              </w:rPr>
            </w:pPr>
            <w:r w:rsidRPr="0096699A">
              <w:rPr>
                <w:rFonts w:ascii="Arial" w:hAnsi="Arial" w:cs="Arial"/>
                <w:sz w:val="20"/>
                <w:szCs w:val="20"/>
                <w:lang w:val="en-GB"/>
              </w:rPr>
              <w:t>#6</w:t>
            </w:r>
          </w:p>
        </w:tc>
        <w:tc>
          <w:tcPr>
            <w:tcW w:w="815" w:type="dxa"/>
            <w:vAlign w:val="center"/>
          </w:tcPr>
          <w:p w14:paraId="3A8867C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62.5</w:t>
            </w:r>
          </w:p>
        </w:tc>
        <w:tc>
          <w:tcPr>
            <w:tcW w:w="1036" w:type="dxa"/>
            <w:vAlign w:val="center"/>
          </w:tcPr>
          <w:p w14:paraId="1E024DE8"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52.5</w:t>
            </w:r>
          </w:p>
        </w:tc>
        <w:tc>
          <w:tcPr>
            <w:tcW w:w="711" w:type="dxa"/>
            <w:vAlign w:val="center"/>
          </w:tcPr>
          <w:p w14:paraId="5973867C"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30</w:t>
            </w:r>
          </w:p>
        </w:tc>
        <w:tc>
          <w:tcPr>
            <w:tcW w:w="742" w:type="dxa"/>
            <w:vAlign w:val="center"/>
          </w:tcPr>
          <w:p w14:paraId="3FFB2EA5"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150</w:t>
            </w:r>
          </w:p>
        </w:tc>
        <w:tc>
          <w:tcPr>
            <w:tcW w:w="871" w:type="dxa"/>
            <w:vAlign w:val="center"/>
          </w:tcPr>
          <w:p w14:paraId="2239437D"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33.75</w:t>
            </w:r>
          </w:p>
        </w:tc>
        <w:tc>
          <w:tcPr>
            <w:tcW w:w="928" w:type="dxa"/>
            <w:vAlign w:val="center"/>
          </w:tcPr>
          <w:p w14:paraId="09DEDA32"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60.0</w:t>
            </w:r>
          </w:p>
        </w:tc>
        <w:tc>
          <w:tcPr>
            <w:tcW w:w="992" w:type="dxa"/>
            <w:vAlign w:val="center"/>
          </w:tcPr>
          <w:p w14:paraId="45656417"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26.25</w:t>
            </w:r>
          </w:p>
        </w:tc>
        <w:tc>
          <w:tcPr>
            <w:tcW w:w="992" w:type="dxa"/>
            <w:vAlign w:val="center"/>
          </w:tcPr>
          <w:p w14:paraId="5DBD9B79" w14:textId="77777777" w:rsidR="00D80CFE" w:rsidRPr="00DA2DE2" w:rsidRDefault="00D80CFE" w:rsidP="001A6EFB">
            <w:pPr>
              <w:spacing w:after="0"/>
              <w:jc w:val="both"/>
              <w:rPr>
                <w:rFonts w:ascii="Arial" w:hAnsi="Arial" w:cs="Arial"/>
                <w:sz w:val="20"/>
                <w:szCs w:val="20"/>
                <w:lang w:val="en-GB"/>
              </w:rPr>
            </w:pPr>
            <w:r w:rsidRPr="00DA2DE2">
              <w:rPr>
                <w:rFonts w:ascii="Arial" w:hAnsi="Arial" w:cs="Arial"/>
                <w:sz w:val="20"/>
                <w:szCs w:val="20"/>
                <w:lang w:val="en-GB"/>
              </w:rPr>
              <w:t>44.92</w:t>
            </w:r>
          </w:p>
        </w:tc>
      </w:tr>
    </w:tbl>
    <w:p w14:paraId="4AF62F05" w14:textId="77777777" w:rsidR="00D80CFE" w:rsidRPr="00DA2DE2" w:rsidRDefault="00D80CFE" w:rsidP="00D80CFE">
      <w:pPr>
        <w:spacing w:before="240" w:after="240"/>
        <w:jc w:val="both"/>
        <w:rPr>
          <w:rFonts w:ascii="Arial" w:hAnsi="Arial" w:cs="Arial"/>
          <w:lang w:val="en-GB"/>
        </w:rPr>
      </w:pPr>
      <w:r w:rsidRPr="00DA2DE2">
        <w:rPr>
          <w:rFonts w:ascii="Arial" w:eastAsia="Calibri" w:hAnsi="Arial" w:cs="Arial"/>
          <w:lang w:val="en-GB"/>
        </w:rPr>
        <w:t>Scenario #4 exhibits a high standard deviation (105 days) and a maximum of 300 days, likely reflecting procedural complexity, extensive verification requirements, and heightened institutional scrutiny associated with full-deck replacement. By contrast, Scenarios #5 and #6, also involving deck replacement, have medians near 52.5 days and more moderate dispersion, indicating that administrative durations depend not only on replacement versus retrofit but also on perceived standardization, contractor familiarity, and procedural precedent. For example, modular construction (Scenario #6) may be seen as more “plug-and-play” in terms of certification, while the hybrid steel-concrete solution in Scenario #5 could benefit from well-established approval pathways.</w:t>
      </w:r>
    </w:p>
    <w:p w14:paraId="21433546" w14:textId="3DB8B1F8" w:rsidR="00D80CFE" w:rsidRPr="00DA2DE2" w:rsidRDefault="00D80CFE" w:rsidP="00D80CFE">
      <w:pPr>
        <w:spacing w:before="240" w:after="240"/>
        <w:jc w:val="both"/>
        <w:rPr>
          <w:rFonts w:ascii="Arial" w:hAnsi="Arial" w:cs="Arial"/>
          <w:lang w:val="en-GB"/>
        </w:rPr>
      </w:pPr>
      <w:r w:rsidRPr="00DA2DE2">
        <w:rPr>
          <w:rFonts w:ascii="Arial" w:eastAsia="Calibri" w:hAnsi="Arial" w:cs="Arial"/>
          <w:lang w:val="en-GB"/>
        </w:rPr>
        <w:t>Overall, most scenarios show compact interquartile ranges and central medians around 52–60 days, implying that routine post</w:t>
      </w:r>
      <w:r w:rsidRPr="00DA2DE2">
        <w:rPr>
          <w:rFonts w:ascii="Cambria Math" w:eastAsia="Calibri" w:hAnsi="Cambria Math" w:cs="Cambria Math"/>
          <w:lang w:val="en-GB"/>
        </w:rPr>
        <w:t>‑</w:t>
      </w:r>
      <w:r w:rsidRPr="00DA2DE2">
        <w:rPr>
          <w:rFonts w:ascii="Arial" w:eastAsia="Calibri" w:hAnsi="Arial" w:cs="Arial"/>
          <w:lang w:val="en-GB"/>
        </w:rPr>
        <w:t>works administrative procedures are generally well codified and governed by institutional routines rather than technical novelty. Custom or hybrid solutions cluster slightly higher (~60 days), reflecting modest additional review needs. A small number of high</w:t>
      </w:r>
      <w:r w:rsidRPr="00DA2DE2">
        <w:rPr>
          <w:rFonts w:ascii="Cambria Math" w:eastAsia="Calibri" w:hAnsi="Cambria Math" w:cs="Cambria Math"/>
          <w:lang w:val="en-GB"/>
        </w:rPr>
        <w:t>‑</w:t>
      </w:r>
      <w:r w:rsidRPr="00DA2DE2">
        <w:rPr>
          <w:rFonts w:ascii="Arial" w:eastAsia="Calibri" w:hAnsi="Arial" w:cs="Arial"/>
          <w:lang w:val="en-GB"/>
        </w:rPr>
        <w:t>end estimates (up to 150–300 days) drive the observed range and indicate contextual caution.</w:t>
      </w:r>
      <w:r w:rsidR="0096699A">
        <w:rPr>
          <w:rFonts w:ascii="Arial" w:eastAsia="Calibri" w:hAnsi="Arial" w:cs="Arial"/>
          <w:lang w:val="en-GB"/>
        </w:rPr>
        <w:t xml:space="preserve"> </w:t>
      </w:r>
      <w:r w:rsidRPr="00DA2DE2">
        <w:rPr>
          <w:rFonts w:ascii="Arial" w:eastAsia="Calibri" w:hAnsi="Arial" w:cs="Arial"/>
          <w:lang w:val="en-GB"/>
        </w:rPr>
        <w:t>These results justify adopting a default administrative buffer of approximately two months in construction planning. However, for larger or less conventional projects (especially full deck replacement or substantial superstructure modification) planners should allow significantly longer administrative lead times. Quantifying this interval is crucial for realistic assumption of bridge reopening dates and for transparent stakeholder communication.</w:t>
      </w:r>
    </w:p>
    <w:p w14:paraId="2A5F8431" w14:textId="22EA81C7" w:rsidR="00D80CFE" w:rsidRPr="00DA2DE2" w:rsidRDefault="00E6455C" w:rsidP="00D80CFE">
      <w:pPr>
        <w:jc w:val="both"/>
        <w:rPr>
          <w:rFonts w:ascii="Arial" w:hAnsi="Arial" w:cs="Arial"/>
          <w:b/>
          <w:color w:val="1F1F1F"/>
          <w:u w:val="single"/>
          <w:lang w:val="en-GB"/>
        </w:rPr>
      </w:pPr>
      <w:r w:rsidRPr="00DA2DE2">
        <w:rPr>
          <w:rFonts w:ascii="Arial" w:eastAsia="Arial" w:hAnsi="Arial" w:cs="Arial"/>
          <w:b/>
          <w:u w:val="single"/>
          <w:lang w:val="en-GB"/>
        </w:rPr>
        <w:t xml:space="preserve">Question </w:t>
      </w:r>
      <w:r w:rsidR="00D80CFE" w:rsidRPr="00DA2DE2">
        <w:rPr>
          <w:rFonts w:ascii="Arial" w:hAnsi="Arial" w:cs="Arial"/>
          <w:b/>
          <w:color w:val="1F1F1F"/>
          <w:u w:val="single"/>
          <w:lang w:val="en-GB"/>
        </w:rPr>
        <w:t>7 (follow-up question): Expected service life of the interventions</w:t>
      </w:r>
    </w:p>
    <w:p w14:paraId="2D5F0366" w14:textId="381C4947" w:rsidR="00D80CFE" w:rsidRPr="00DA2DE2" w:rsidRDefault="00D80CFE" w:rsidP="00D80CFE">
      <w:pPr>
        <w:jc w:val="both"/>
        <w:rPr>
          <w:rFonts w:ascii="Arial" w:hAnsi="Arial" w:cs="Arial"/>
          <w:lang w:val="en-GB"/>
        </w:rPr>
      </w:pPr>
      <w:r w:rsidRPr="00DA2DE2">
        <w:rPr>
          <w:rFonts w:ascii="Arial" w:hAnsi="Arial" w:cs="Arial"/>
          <w:lang w:val="en-GB"/>
        </w:rPr>
        <w:t xml:space="preserve">For each scenario, the experts estimated the expected service life (years) of each intervention, defined as the interval until major rehabilitation is required, assuming only routine maintenance. Responses provide a durability perspective to complement prior feasibility and scheduling judgements. </w:t>
      </w:r>
      <w:r w:rsidR="00B660B5" w:rsidRPr="00DA2DE2">
        <w:rPr>
          <w:rFonts w:ascii="Arial" w:hAnsi="Arial" w:cs="Arial"/>
          <w:lang w:val="en-GB"/>
        </w:rPr>
        <w:t xml:space="preserve">Supplementary </w:t>
      </w:r>
      <w:r w:rsidRPr="00DA2DE2">
        <w:rPr>
          <w:rFonts w:ascii="Arial" w:hAnsi="Arial" w:cs="Arial"/>
          <w:lang w:val="en-GB"/>
        </w:rPr>
        <w:t xml:space="preserve">Table </w:t>
      </w:r>
      <w:r w:rsidR="00B660B5" w:rsidRPr="00DA2DE2">
        <w:rPr>
          <w:rFonts w:ascii="Arial" w:hAnsi="Arial" w:cs="Arial"/>
          <w:lang w:val="en-GB"/>
        </w:rPr>
        <w:t>7</w:t>
      </w:r>
      <w:r w:rsidRPr="00DA2DE2">
        <w:rPr>
          <w:rFonts w:ascii="Arial" w:hAnsi="Arial" w:cs="Arial"/>
          <w:lang w:val="en-GB"/>
        </w:rPr>
        <w:t xml:space="preserve"> reports descriptive statistics (mean, median, min, max, Q1, Q3, IQR, SD) for the expected service lives by scenario. </w:t>
      </w:r>
    </w:p>
    <w:p w14:paraId="3112315A" w14:textId="4DB0722E" w:rsidR="00D80CFE" w:rsidRPr="00DA2DE2" w:rsidRDefault="00AB6E0F" w:rsidP="00D80CFE">
      <w:pPr>
        <w:pStyle w:val="FigureCaption"/>
        <w:jc w:val="both"/>
        <w:rPr>
          <w:rFonts w:ascii="Arial" w:eastAsia="Times New Roman" w:hAnsi="Arial" w:cs="Arial"/>
          <w:lang w:val="en-GB"/>
        </w:rPr>
      </w:pPr>
      <w:r w:rsidRPr="00DA2DE2">
        <w:rPr>
          <w:rFonts w:ascii="Arial" w:eastAsia="Times New Roman" w:hAnsi="Arial" w:cs="Arial"/>
          <w:b/>
          <w:bCs/>
          <w:lang w:val="en-GB"/>
        </w:rPr>
        <w:t xml:space="preserve">Supplementary Table </w:t>
      </w:r>
      <w:r w:rsidR="00B660B5" w:rsidRPr="00DA2DE2">
        <w:rPr>
          <w:rFonts w:ascii="Arial" w:eastAsia="Times New Roman" w:hAnsi="Arial" w:cs="Arial"/>
          <w:b/>
          <w:bCs/>
          <w:lang w:val="en-GB"/>
        </w:rPr>
        <w:t>7</w:t>
      </w:r>
      <w:r w:rsidR="00D80CFE" w:rsidRPr="00DA2DE2">
        <w:rPr>
          <w:rFonts w:ascii="Arial" w:eastAsia="Times New Roman" w:hAnsi="Arial" w:cs="Arial"/>
          <w:b/>
          <w:bCs/>
          <w:lang w:val="en-GB"/>
        </w:rPr>
        <w:t>.</w:t>
      </w:r>
      <w:r w:rsidR="00D80CFE" w:rsidRPr="00DA2DE2">
        <w:rPr>
          <w:rFonts w:ascii="Arial" w:eastAsia="Times New Roman" w:hAnsi="Arial" w:cs="Arial"/>
          <w:lang w:val="en-GB"/>
        </w:rPr>
        <w:t xml:space="preserve"> Statistical distribution of expert responses (years) for the expected service-life of the interventions.</w:t>
      </w:r>
    </w:p>
    <w:tbl>
      <w:tblPr>
        <w:tblW w:w="908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1873"/>
        <w:gridCol w:w="870"/>
        <w:gridCol w:w="1275"/>
        <w:gridCol w:w="720"/>
        <w:gridCol w:w="825"/>
        <w:gridCol w:w="764"/>
        <w:gridCol w:w="886"/>
        <w:gridCol w:w="825"/>
        <w:gridCol w:w="1050"/>
      </w:tblGrid>
      <w:tr w:rsidR="00D80CFE" w:rsidRPr="00DA2DE2" w14:paraId="6B781643" w14:textId="77777777" w:rsidTr="0096699A">
        <w:trPr>
          <w:trHeight w:val="300"/>
          <w:jc w:val="center"/>
        </w:trPr>
        <w:tc>
          <w:tcPr>
            <w:tcW w:w="1873" w:type="dxa"/>
          </w:tcPr>
          <w:p w14:paraId="21FC269C"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Scenario</w:t>
            </w:r>
          </w:p>
        </w:tc>
        <w:tc>
          <w:tcPr>
            <w:tcW w:w="870" w:type="dxa"/>
          </w:tcPr>
          <w:p w14:paraId="6161EB23"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Mean</w:t>
            </w:r>
          </w:p>
        </w:tc>
        <w:tc>
          <w:tcPr>
            <w:tcW w:w="1275" w:type="dxa"/>
          </w:tcPr>
          <w:p w14:paraId="04868DF6"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Median</w:t>
            </w:r>
          </w:p>
        </w:tc>
        <w:tc>
          <w:tcPr>
            <w:tcW w:w="720" w:type="dxa"/>
          </w:tcPr>
          <w:p w14:paraId="3900CD97"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Min</w:t>
            </w:r>
          </w:p>
        </w:tc>
        <w:tc>
          <w:tcPr>
            <w:tcW w:w="825" w:type="dxa"/>
          </w:tcPr>
          <w:p w14:paraId="6EDBEEAC"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Max</w:t>
            </w:r>
          </w:p>
        </w:tc>
        <w:tc>
          <w:tcPr>
            <w:tcW w:w="764" w:type="dxa"/>
          </w:tcPr>
          <w:p w14:paraId="06602E01"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Q1</w:t>
            </w:r>
          </w:p>
        </w:tc>
        <w:tc>
          <w:tcPr>
            <w:tcW w:w="886" w:type="dxa"/>
          </w:tcPr>
          <w:p w14:paraId="32D19709"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Q3</w:t>
            </w:r>
          </w:p>
        </w:tc>
        <w:tc>
          <w:tcPr>
            <w:tcW w:w="825" w:type="dxa"/>
          </w:tcPr>
          <w:p w14:paraId="2D9BF05D"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IQR</w:t>
            </w:r>
          </w:p>
        </w:tc>
        <w:tc>
          <w:tcPr>
            <w:tcW w:w="1050" w:type="dxa"/>
          </w:tcPr>
          <w:p w14:paraId="5260ED2F" w14:textId="77777777" w:rsidR="00D80CFE" w:rsidRPr="00DA2DE2" w:rsidRDefault="00D80CFE" w:rsidP="00F24F60">
            <w:pPr>
              <w:snapToGrid w:val="0"/>
              <w:spacing w:after="0" w:line="240" w:lineRule="auto"/>
              <w:jc w:val="both"/>
              <w:rPr>
                <w:rFonts w:ascii="Arial" w:hAnsi="Arial" w:cs="Arial"/>
                <w:b/>
                <w:bCs/>
                <w:sz w:val="20"/>
                <w:szCs w:val="20"/>
                <w:lang w:val="en-GB"/>
              </w:rPr>
            </w:pPr>
            <w:r w:rsidRPr="00DA2DE2">
              <w:rPr>
                <w:rFonts w:ascii="Arial" w:hAnsi="Arial" w:cs="Arial"/>
                <w:b/>
                <w:bCs/>
                <w:sz w:val="20"/>
                <w:szCs w:val="20"/>
                <w:lang w:val="en-GB"/>
              </w:rPr>
              <w:t>Std Dev</w:t>
            </w:r>
          </w:p>
        </w:tc>
      </w:tr>
      <w:tr w:rsidR="00D80CFE" w:rsidRPr="00DA2DE2" w14:paraId="076C1F89" w14:textId="77777777" w:rsidTr="0096699A">
        <w:trPr>
          <w:trHeight w:val="42"/>
          <w:jc w:val="center"/>
        </w:trPr>
        <w:tc>
          <w:tcPr>
            <w:tcW w:w="1873" w:type="dxa"/>
          </w:tcPr>
          <w:p w14:paraId="78FB01A5"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#1</w:t>
            </w:r>
          </w:p>
        </w:tc>
        <w:tc>
          <w:tcPr>
            <w:tcW w:w="870" w:type="dxa"/>
          </w:tcPr>
          <w:p w14:paraId="507B1A2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33</w:t>
            </w:r>
          </w:p>
        </w:tc>
        <w:tc>
          <w:tcPr>
            <w:tcW w:w="1275" w:type="dxa"/>
          </w:tcPr>
          <w:p w14:paraId="1DA6B30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720" w:type="dxa"/>
          </w:tcPr>
          <w:p w14:paraId="1F2E756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825" w:type="dxa"/>
          </w:tcPr>
          <w:p w14:paraId="545B8953"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50</w:t>
            </w:r>
          </w:p>
        </w:tc>
        <w:tc>
          <w:tcPr>
            <w:tcW w:w="764" w:type="dxa"/>
          </w:tcPr>
          <w:p w14:paraId="56B00DDE"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886" w:type="dxa"/>
          </w:tcPr>
          <w:p w14:paraId="3B10D9E3"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38</w:t>
            </w:r>
          </w:p>
        </w:tc>
        <w:tc>
          <w:tcPr>
            <w:tcW w:w="825" w:type="dxa"/>
          </w:tcPr>
          <w:p w14:paraId="1083A3F2"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13</w:t>
            </w:r>
          </w:p>
        </w:tc>
        <w:tc>
          <w:tcPr>
            <w:tcW w:w="1050" w:type="dxa"/>
          </w:tcPr>
          <w:p w14:paraId="25354386"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14</w:t>
            </w:r>
          </w:p>
        </w:tc>
      </w:tr>
      <w:tr w:rsidR="00D80CFE" w:rsidRPr="00DA2DE2" w14:paraId="654FC759" w14:textId="77777777" w:rsidTr="0096699A">
        <w:trPr>
          <w:trHeight w:val="27"/>
          <w:jc w:val="center"/>
        </w:trPr>
        <w:tc>
          <w:tcPr>
            <w:tcW w:w="1873" w:type="dxa"/>
          </w:tcPr>
          <w:p w14:paraId="5A02728E"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#2</w:t>
            </w:r>
          </w:p>
        </w:tc>
        <w:tc>
          <w:tcPr>
            <w:tcW w:w="870" w:type="dxa"/>
          </w:tcPr>
          <w:p w14:paraId="2AF19CBC"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58</w:t>
            </w:r>
          </w:p>
        </w:tc>
        <w:tc>
          <w:tcPr>
            <w:tcW w:w="1275" w:type="dxa"/>
          </w:tcPr>
          <w:p w14:paraId="1216A866"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50</w:t>
            </w:r>
          </w:p>
        </w:tc>
        <w:tc>
          <w:tcPr>
            <w:tcW w:w="720" w:type="dxa"/>
          </w:tcPr>
          <w:p w14:paraId="0A470B3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825" w:type="dxa"/>
          </w:tcPr>
          <w:p w14:paraId="62857B91"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64" w:type="dxa"/>
          </w:tcPr>
          <w:p w14:paraId="35E253E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38</w:t>
            </w:r>
          </w:p>
        </w:tc>
        <w:tc>
          <w:tcPr>
            <w:tcW w:w="886" w:type="dxa"/>
          </w:tcPr>
          <w:p w14:paraId="46BA744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75</w:t>
            </w:r>
          </w:p>
        </w:tc>
        <w:tc>
          <w:tcPr>
            <w:tcW w:w="825" w:type="dxa"/>
          </w:tcPr>
          <w:p w14:paraId="7A0C9991"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38</w:t>
            </w:r>
          </w:p>
        </w:tc>
        <w:tc>
          <w:tcPr>
            <w:tcW w:w="1050" w:type="dxa"/>
          </w:tcPr>
          <w:p w14:paraId="506C4995"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38</w:t>
            </w:r>
          </w:p>
        </w:tc>
      </w:tr>
      <w:tr w:rsidR="00D80CFE" w:rsidRPr="00DA2DE2" w14:paraId="4303AC3A" w14:textId="77777777" w:rsidTr="0096699A">
        <w:trPr>
          <w:trHeight w:val="222"/>
          <w:jc w:val="center"/>
        </w:trPr>
        <w:tc>
          <w:tcPr>
            <w:tcW w:w="1873" w:type="dxa"/>
          </w:tcPr>
          <w:p w14:paraId="409F8297"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#3</w:t>
            </w:r>
          </w:p>
        </w:tc>
        <w:tc>
          <w:tcPr>
            <w:tcW w:w="870" w:type="dxa"/>
          </w:tcPr>
          <w:p w14:paraId="4261ABDA"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47</w:t>
            </w:r>
          </w:p>
        </w:tc>
        <w:tc>
          <w:tcPr>
            <w:tcW w:w="1275" w:type="dxa"/>
          </w:tcPr>
          <w:p w14:paraId="380AB199"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720" w:type="dxa"/>
          </w:tcPr>
          <w:p w14:paraId="0D4C0789"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15</w:t>
            </w:r>
          </w:p>
        </w:tc>
        <w:tc>
          <w:tcPr>
            <w:tcW w:w="825" w:type="dxa"/>
          </w:tcPr>
          <w:p w14:paraId="38C9DB27"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64" w:type="dxa"/>
          </w:tcPr>
          <w:p w14:paraId="32E92C7A"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20</w:t>
            </w:r>
          </w:p>
        </w:tc>
        <w:tc>
          <w:tcPr>
            <w:tcW w:w="886" w:type="dxa"/>
          </w:tcPr>
          <w:p w14:paraId="365C1ED6"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63</w:t>
            </w:r>
          </w:p>
        </w:tc>
        <w:tc>
          <w:tcPr>
            <w:tcW w:w="825" w:type="dxa"/>
          </w:tcPr>
          <w:p w14:paraId="0717BB68"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43</w:t>
            </w:r>
          </w:p>
        </w:tc>
        <w:tc>
          <w:tcPr>
            <w:tcW w:w="1050" w:type="dxa"/>
          </w:tcPr>
          <w:p w14:paraId="347D3915"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46</w:t>
            </w:r>
          </w:p>
        </w:tc>
      </w:tr>
      <w:tr w:rsidR="00D80CFE" w:rsidRPr="00DA2DE2" w14:paraId="50822C1D" w14:textId="77777777" w:rsidTr="0096699A">
        <w:trPr>
          <w:trHeight w:val="183"/>
          <w:jc w:val="center"/>
        </w:trPr>
        <w:tc>
          <w:tcPr>
            <w:tcW w:w="1873" w:type="dxa"/>
          </w:tcPr>
          <w:p w14:paraId="7EF2FF7D"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#4</w:t>
            </w:r>
          </w:p>
        </w:tc>
        <w:tc>
          <w:tcPr>
            <w:tcW w:w="870" w:type="dxa"/>
          </w:tcPr>
          <w:p w14:paraId="4B40571F"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1275" w:type="dxa"/>
          </w:tcPr>
          <w:p w14:paraId="7E5B0BB6"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20" w:type="dxa"/>
          </w:tcPr>
          <w:p w14:paraId="05DD41F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25" w:type="dxa"/>
          </w:tcPr>
          <w:p w14:paraId="1437D26F"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64" w:type="dxa"/>
          </w:tcPr>
          <w:p w14:paraId="3C90A6EB"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86" w:type="dxa"/>
          </w:tcPr>
          <w:p w14:paraId="146060D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25" w:type="dxa"/>
          </w:tcPr>
          <w:p w14:paraId="5070A971"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0</w:t>
            </w:r>
          </w:p>
        </w:tc>
        <w:tc>
          <w:tcPr>
            <w:tcW w:w="1050" w:type="dxa"/>
          </w:tcPr>
          <w:p w14:paraId="0D2145DF"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0</w:t>
            </w:r>
          </w:p>
        </w:tc>
      </w:tr>
      <w:tr w:rsidR="00D80CFE" w:rsidRPr="00DA2DE2" w14:paraId="24EE9E33" w14:textId="77777777" w:rsidTr="0096699A">
        <w:trPr>
          <w:trHeight w:val="132"/>
          <w:jc w:val="center"/>
        </w:trPr>
        <w:tc>
          <w:tcPr>
            <w:tcW w:w="1873" w:type="dxa"/>
          </w:tcPr>
          <w:p w14:paraId="2CE345E7"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#5</w:t>
            </w:r>
          </w:p>
        </w:tc>
        <w:tc>
          <w:tcPr>
            <w:tcW w:w="870" w:type="dxa"/>
          </w:tcPr>
          <w:p w14:paraId="25FD81F1"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83</w:t>
            </w:r>
          </w:p>
        </w:tc>
        <w:tc>
          <w:tcPr>
            <w:tcW w:w="1275" w:type="dxa"/>
          </w:tcPr>
          <w:p w14:paraId="096EB7EC"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20" w:type="dxa"/>
          </w:tcPr>
          <w:p w14:paraId="7792832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50</w:t>
            </w:r>
          </w:p>
        </w:tc>
        <w:tc>
          <w:tcPr>
            <w:tcW w:w="825" w:type="dxa"/>
          </w:tcPr>
          <w:p w14:paraId="4ABDF4F0"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64" w:type="dxa"/>
          </w:tcPr>
          <w:p w14:paraId="746A7493"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75</w:t>
            </w:r>
          </w:p>
        </w:tc>
        <w:tc>
          <w:tcPr>
            <w:tcW w:w="886" w:type="dxa"/>
          </w:tcPr>
          <w:p w14:paraId="33071FFE"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25" w:type="dxa"/>
          </w:tcPr>
          <w:p w14:paraId="33631F07"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25</w:t>
            </w:r>
          </w:p>
        </w:tc>
        <w:tc>
          <w:tcPr>
            <w:tcW w:w="1050" w:type="dxa"/>
          </w:tcPr>
          <w:p w14:paraId="7CAA1B84"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29</w:t>
            </w:r>
          </w:p>
        </w:tc>
      </w:tr>
      <w:tr w:rsidR="00D80CFE" w:rsidRPr="00DA2DE2" w14:paraId="631194AA" w14:textId="77777777" w:rsidTr="0096699A">
        <w:trPr>
          <w:trHeight w:val="27"/>
          <w:jc w:val="center"/>
        </w:trPr>
        <w:tc>
          <w:tcPr>
            <w:tcW w:w="1873" w:type="dxa"/>
          </w:tcPr>
          <w:p w14:paraId="7137DF1E" w14:textId="77777777" w:rsidR="00D80CFE" w:rsidRPr="0096699A" w:rsidRDefault="00D80CFE" w:rsidP="00F24F60">
            <w:pPr>
              <w:snapToGrid w:val="0"/>
              <w:spacing w:after="0" w:line="240" w:lineRule="auto"/>
              <w:jc w:val="both"/>
              <w:rPr>
                <w:rFonts w:ascii="Arial" w:hAnsi="Arial" w:cs="Arial"/>
                <w:sz w:val="20"/>
                <w:szCs w:val="20"/>
                <w:lang w:val="en-GB"/>
              </w:rPr>
            </w:pPr>
            <w:r w:rsidRPr="0096699A">
              <w:rPr>
                <w:rFonts w:ascii="Arial" w:hAnsi="Arial" w:cs="Arial"/>
                <w:sz w:val="20"/>
                <w:szCs w:val="20"/>
                <w:lang w:val="en-GB"/>
              </w:rPr>
              <w:t>#6</w:t>
            </w:r>
          </w:p>
        </w:tc>
        <w:tc>
          <w:tcPr>
            <w:tcW w:w="870" w:type="dxa"/>
          </w:tcPr>
          <w:p w14:paraId="077784E0"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1275" w:type="dxa"/>
          </w:tcPr>
          <w:p w14:paraId="0F314C56"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20" w:type="dxa"/>
          </w:tcPr>
          <w:p w14:paraId="714A333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25" w:type="dxa"/>
          </w:tcPr>
          <w:p w14:paraId="469CAD9C"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764" w:type="dxa"/>
          </w:tcPr>
          <w:p w14:paraId="03BD1CA8"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86" w:type="dxa"/>
          </w:tcPr>
          <w:p w14:paraId="09010A7D"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100</w:t>
            </w:r>
          </w:p>
        </w:tc>
        <w:tc>
          <w:tcPr>
            <w:tcW w:w="825" w:type="dxa"/>
          </w:tcPr>
          <w:p w14:paraId="07FC0C65"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0</w:t>
            </w:r>
          </w:p>
        </w:tc>
        <w:tc>
          <w:tcPr>
            <w:tcW w:w="1050" w:type="dxa"/>
          </w:tcPr>
          <w:p w14:paraId="6B742DE5" w14:textId="77777777" w:rsidR="00D80CFE" w:rsidRPr="00DA2DE2" w:rsidRDefault="00D80CFE" w:rsidP="00F24F60">
            <w:pPr>
              <w:snapToGrid w:val="0"/>
              <w:spacing w:after="0" w:line="240" w:lineRule="auto"/>
              <w:jc w:val="center"/>
              <w:rPr>
                <w:rFonts w:ascii="Arial" w:hAnsi="Arial" w:cs="Arial"/>
                <w:sz w:val="20"/>
                <w:szCs w:val="20"/>
                <w:lang w:val="en-GB"/>
              </w:rPr>
            </w:pPr>
            <w:r w:rsidRPr="00DA2DE2">
              <w:rPr>
                <w:rFonts w:ascii="Arial" w:hAnsi="Arial" w:cs="Arial"/>
                <w:sz w:val="20"/>
                <w:szCs w:val="20"/>
                <w:lang w:val="en-GB"/>
              </w:rPr>
              <w:t>0</w:t>
            </w:r>
          </w:p>
        </w:tc>
      </w:tr>
    </w:tbl>
    <w:p w14:paraId="34811BF2" w14:textId="05D76AE5" w:rsidR="009B492C" w:rsidRPr="00DA2DE2" w:rsidRDefault="00D80CFE" w:rsidP="00D80CFE">
      <w:pPr>
        <w:spacing w:before="100" w:beforeAutospacing="1" w:after="100" w:afterAutospacing="1" w:line="240" w:lineRule="auto"/>
        <w:jc w:val="both"/>
        <w:rPr>
          <w:rFonts w:ascii="Arial" w:hAnsi="Arial" w:cs="Arial"/>
          <w:lang w:val="en-GB"/>
        </w:rPr>
      </w:pPr>
      <w:r w:rsidRPr="00DA2DE2">
        <w:rPr>
          <w:rFonts w:ascii="Arial" w:hAnsi="Arial" w:cs="Arial"/>
          <w:lang w:val="en-GB"/>
        </w:rPr>
        <w:t>Full deck replacement scenarios</w:t>
      </w:r>
      <w:r w:rsidRPr="00DA2DE2">
        <w:rPr>
          <w:rFonts w:ascii="Arial" w:eastAsia="Times New Roman" w:hAnsi="Arial" w:cs="Arial"/>
          <w:lang w:val="en-GB" w:eastAsia="it-IT"/>
        </w:rPr>
        <w:t xml:space="preserve"> (#4, #5, #6) show the highest projected service life. Both the new precast and modular deck solutions reached unanimous 100-year estimate, while the steel–concrete deck was also scored highly (median = 100), though with greater dispersion, indicating some </w:t>
      </w:r>
      <w:r w:rsidRPr="00DA2DE2">
        <w:rPr>
          <w:rFonts w:ascii="Arial" w:eastAsia="Times New Roman" w:hAnsi="Arial" w:cs="Arial"/>
          <w:lang w:val="en-GB" w:eastAsia="it-IT"/>
        </w:rPr>
        <w:lastRenderedPageBreak/>
        <w:t>uncertainty among experts.</w:t>
      </w:r>
      <w:r w:rsidRPr="00DA2DE2">
        <w:rPr>
          <w:rFonts w:ascii="Arial" w:hAnsi="Arial" w:cs="Arial"/>
          <w:lang w:val="en-GB"/>
        </w:rPr>
        <w:t xml:space="preserve"> The hybrid transformation</w:t>
      </w:r>
      <w:r w:rsidRPr="00DA2DE2">
        <w:rPr>
          <w:rFonts w:ascii="Arial" w:eastAsia="Times New Roman" w:hAnsi="Arial" w:cs="Arial"/>
          <w:lang w:val="en-GB" w:eastAsia="it-IT"/>
        </w:rPr>
        <w:t xml:space="preserve"> (#2, pylon with stays) received intermediate evaluations (mean = 58), with responses spanning 25–100 years, reflecting divergent views on long</w:t>
      </w:r>
      <w:r w:rsidRPr="00DA2DE2">
        <w:rPr>
          <w:rFonts w:ascii="Cambria Math" w:eastAsia="Times New Roman" w:hAnsi="Cambria Math" w:cs="Cambria Math"/>
          <w:lang w:val="en-GB" w:eastAsia="it-IT"/>
        </w:rPr>
        <w:t>‑</w:t>
      </w:r>
      <w:r w:rsidRPr="00DA2DE2">
        <w:rPr>
          <w:rFonts w:ascii="Arial" w:eastAsia="Times New Roman" w:hAnsi="Arial" w:cs="Arial"/>
          <w:lang w:val="en-GB" w:eastAsia="it-IT"/>
        </w:rPr>
        <w:t>term performance.</w:t>
      </w:r>
      <w:r w:rsidRPr="00DA2DE2">
        <w:rPr>
          <w:rFonts w:ascii="Arial" w:hAnsi="Arial" w:cs="Arial"/>
          <w:lang w:val="en-GB"/>
        </w:rPr>
        <w:t xml:space="preserve"> Partial retrofit and strengthening</w:t>
      </w:r>
      <w:r w:rsidRPr="00DA2DE2">
        <w:rPr>
          <w:rFonts w:ascii="Arial" w:eastAsia="Times New Roman" w:hAnsi="Arial" w:cs="Arial"/>
          <w:lang w:val="en-GB" w:eastAsia="it-IT"/>
        </w:rPr>
        <w:t xml:space="preserve"> were associated with substantially lower expected service lives (means &lt; 50 years) and marked variability, notably for the external prestressing case (std dev = 46). A clear correlation therefore emerges between intervention scope and durability: more comprehensive interventions are judged to provide longer service life, with full deck replacement unanimously considered the most durable strategy. </w:t>
      </w:r>
      <w:r w:rsidRPr="00DA2DE2">
        <w:rPr>
          <w:rFonts w:ascii="Arial" w:hAnsi="Arial" w:cs="Arial"/>
          <w:lang w:val="en-GB"/>
        </w:rPr>
        <w:t xml:space="preserve">These findings </w:t>
      </w:r>
      <w:r w:rsidR="002D64C2" w:rsidRPr="00DA2DE2">
        <w:rPr>
          <w:rFonts w:ascii="Arial" w:hAnsi="Arial" w:cs="Arial"/>
          <w:lang w:val="en-GB"/>
        </w:rPr>
        <w:t>were</w:t>
      </w:r>
      <w:r w:rsidRPr="00DA2DE2">
        <w:rPr>
          <w:rFonts w:ascii="Arial" w:hAnsi="Arial" w:cs="Arial"/>
          <w:lang w:val="en-GB"/>
        </w:rPr>
        <w:t xml:space="preserve"> incorporated into the multi-criteria decision-making </w:t>
      </w:r>
      <w:r w:rsidR="00405588" w:rsidRPr="00DA2DE2">
        <w:rPr>
          <w:rFonts w:ascii="Arial" w:hAnsi="Arial" w:cs="Arial"/>
          <w:lang w:val="en-GB"/>
        </w:rPr>
        <w:t>formulation</w:t>
      </w:r>
      <w:r w:rsidRPr="00DA2DE2">
        <w:rPr>
          <w:rFonts w:ascii="Arial" w:hAnsi="Arial" w:cs="Arial"/>
          <w:lang w:val="en-GB"/>
        </w:rPr>
        <w:t>, enabling a balanced comparison of longevity, cost, environmental footprint, and operational consequences.</w:t>
      </w:r>
    </w:p>
    <w:p w14:paraId="342C95E1" w14:textId="7A58B1AA" w:rsidR="001C1D22" w:rsidRPr="00DA2DE2" w:rsidRDefault="001C1D22">
      <w:pPr>
        <w:rPr>
          <w:rFonts w:ascii="Arial" w:hAnsi="Arial" w:cs="Arial"/>
          <w:lang w:val="en-GB"/>
        </w:rPr>
      </w:pPr>
      <w:r w:rsidRPr="00DA2DE2">
        <w:rPr>
          <w:rFonts w:ascii="Arial" w:hAnsi="Arial" w:cs="Arial"/>
          <w:lang w:val="en-GB"/>
        </w:rPr>
        <w:br w:type="page"/>
      </w:r>
    </w:p>
    <w:p w14:paraId="37A4B3DB" w14:textId="387DB1C4" w:rsidR="001C1D22" w:rsidRPr="00DA2DE2" w:rsidRDefault="001C1D22" w:rsidP="001C1D22">
      <w:pPr>
        <w:spacing w:before="100" w:beforeAutospacing="1" w:after="100" w:afterAutospacing="1" w:line="240" w:lineRule="auto"/>
        <w:jc w:val="both"/>
        <w:outlineLvl w:val="2"/>
        <w:rPr>
          <w:rFonts w:ascii="Arial" w:hAnsi="Arial" w:cs="Arial"/>
          <w:lang w:val="en-GB"/>
        </w:rPr>
      </w:pPr>
      <w:r w:rsidRPr="00DA2DE2">
        <w:rPr>
          <w:rFonts w:ascii="Arial" w:eastAsia="Times New Roman" w:hAnsi="Arial" w:cs="Arial"/>
          <w:b/>
          <w:bCs/>
          <w:sz w:val="26"/>
          <w:szCs w:val="26"/>
          <w:lang w:val="en-GB" w:eastAsia="it-IT"/>
        </w:rPr>
        <w:lastRenderedPageBreak/>
        <w:t>Supplementary Note 3. Statistical variability of functionality curves</w:t>
      </w:r>
    </w:p>
    <w:p w14:paraId="44949E04" w14:textId="4F8C3FE2" w:rsidR="001C1D22" w:rsidRPr="00DA2DE2" w:rsidRDefault="001C1D22" w:rsidP="001C1D22">
      <w:pPr>
        <w:spacing w:before="100" w:beforeAutospacing="1" w:after="100" w:afterAutospacing="1" w:line="240" w:lineRule="auto"/>
        <w:jc w:val="both"/>
        <w:rPr>
          <w:rFonts w:ascii="Arial" w:eastAsia="Times New Roman" w:hAnsi="Arial" w:cs="Arial"/>
          <w:lang w:val="en-GB" w:eastAsia="it-IT"/>
        </w:rPr>
      </w:pPr>
      <w:r w:rsidRPr="00DA2DE2">
        <w:rPr>
          <w:rFonts w:ascii="Arial" w:eastAsia="Times New Roman" w:hAnsi="Arial" w:cs="Arial"/>
          <w:lang w:val="en-GB" w:eastAsia="it-IT"/>
        </w:rPr>
        <w:t xml:space="preserve">Supplementary Figure 5 depicts the functionality curves including the statistical variability of recovery times (minimum, quartiles, and maximum) for the six retrofit strategies. The results show that, while the median trajectories fall within the reference control time of 30 months, the dispersion is significant across scenarios. Scenario #3 again demonstrates the most favourable distribution, with the shortest quartile values (Q1 ≈ 11 months; Q3 ≈ 28 months) and limited maximum recovery time (≈ 37 months). Scenarios #1 and #2 also perform relatively well, with Q3 values close to 32 months, only slightly above the control time. Conversely, scenarios #4, #5, and #6 exhibit broader distributions with upper quartiles and maximum recovery times that exceed the reference threshold by a considerable margin, in some cases extending beyond 4–5 years. </w:t>
      </w:r>
    </w:p>
    <w:p w14:paraId="147EE7E8" w14:textId="77777777" w:rsidR="001C1D22" w:rsidRPr="00DA2DE2" w:rsidRDefault="001C1D22" w:rsidP="001C1D22">
      <w:pPr>
        <w:spacing w:before="100" w:beforeAutospacing="1" w:after="100" w:afterAutospacing="1" w:line="240" w:lineRule="auto"/>
        <w:jc w:val="both"/>
        <w:rPr>
          <w:rFonts w:ascii="Arial" w:eastAsia="Times New Roman" w:hAnsi="Arial" w:cs="Arial"/>
          <w:lang w:val="en-GB" w:eastAsia="it-IT"/>
        </w:rPr>
      </w:pPr>
      <w:r w:rsidRPr="00DA2DE2">
        <w:rPr>
          <w:rFonts w:ascii="Arial" w:eastAsia="Times New Roman" w:hAnsi="Arial" w:cs="Arial"/>
          <w:lang w:val="en-GB" w:eastAsia="it-IT"/>
        </w:rPr>
        <w:t xml:space="preserve">These results emphasize that, although median values suggest compliance with </w:t>
      </w:r>
      <w:r w:rsidRPr="00DA2DE2">
        <w:rPr>
          <w:rFonts w:ascii="Arial" w:eastAsia="Times New Roman" w:hAnsi="Arial" w:cs="Arial"/>
          <w:i/>
          <w:lang w:val="en-GB" w:eastAsia="it-IT"/>
        </w:rPr>
        <w:t>T</w:t>
      </w:r>
      <w:r w:rsidRPr="00DA2DE2">
        <w:rPr>
          <w:rFonts w:ascii="Arial" w:eastAsia="Times New Roman" w:hAnsi="Arial" w:cs="Arial"/>
          <w:i/>
          <w:vertAlign w:val="subscript"/>
          <w:lang w:val="en-GB" w:eastAsia="it-IT"/>
        </w:rPr>
        <w:t>LC</w:t>
      </w:r>
      <w:r w:rsidRPr="00DA2DE2">
        <w:rPr>
          <w:rFonts w:ascii="Arial" w:eastAsia="Times New Roman" w:hAnsi="Arial" w:cs="Arial"/>
          <w:lang w:val="en-GB" w:eastAsia="it-IT"/>
        </w:rPr>
        <w:t>, the uncertainty associated with design, procurement, and construction phases can substantially affect the effective resilience of the intervention. Strategies with narrower variability and lower upper bounds are therefore more robust against implementation delays, while those with wide dispersions present higher risk of non-compliance with the resilience target.</w:t>
      </w:r>
    </w:p>
    <w:p w14:paraId="63936AB3" w14:textId="77777777" w:rsidR="001C1D22" w:rsidRPr="00DA2DE2" w:rsidRDefault="001C1D22" w:rsidP="001C1D22">
      <w:pPr>
        <w:spacing w:after="0" w:line="240" w:lineRule="auto"/>
        <w:jc w:val="both"/>
        <w:rPr>
          <w:rFonts w:ascii="Arial" w:eastAsia="Times New Roman" w:hAnsi="Arial" w:cs="Arial"/>
          <w:lang w:val="en-GB" w:eastAsia="it-IT"/>
        </w:rPr>
      </w:pPr>
      <w:r w:rsidRPr="00DA2DE2">
        <w:rPr>
          <w:rFonts w:ascii="Arial" w:eastAsia="Times New Roman" w:hAnsi="Arial" w:cs="Arial"/>
          <w:noProof/>
          <w:lang w:val="en-GB" w:eastAsia="it-IT"/>
        </w:rPr>
        <w:drawing>
          <wp:inline distT="0" distB="0" distL="0" distR="0" wp14:anchorId="603A65BD" wp14:editId="178DB156">
            <wp:extent cx="2959100" cy="2446687"/>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41" t="4644" r="27153" b="19347"/>
                    <a:stretch>
                      <a:fillRect/>
                    </a:stretch>
                  </pic:blipFill>
                  <pic:spPr bwMode="auto">
                    <a:xfrm>
                      <a:off x="0" y="0"/>
                      <a:ext cx="2980152" cy="2464093"/>
                    </a:xfrm>
                    <a:prstGeom prst="rect">
                      <a:avLst/>
                    </a:prstGeom>
                    <a:noFill/>
                    <a:ln>
                      <a:noFill/>
                    </a:ln>
                    <a:extLst>
                      <a:ext uri="{53640926-AAD7-44D8-BBD7-CCE9431645EC}">
                        <a14:shadowObscured xmlns:a14="http://schemas.microsoft.com/office/drawing/2010/main"/>
                      </a:ext>
                    </a:extLst>
                  </pic:spPr>
                </pic:pic>
              </a:graphicData>
            </a:graphic>
          </wp:inline>
        </w:drawing>
      </w:r>
      <w:r w:rsidRPr="00DA2DE2">
        <w:rPr>
          <w:rFonts w:ascii="Arial" w:eastAsia="Times New Roman" w:hAnsi="Arial" w:cs="Arial"/>
          <w:noProof/>
          <w:lang w:val="en-GB" w:eastAsia="it-IT"/>
        </w:rPr>
        <w:drawing>
          <wp:inline distT="0" distB="0" distL="0" distR="0" wp14:anchorId="1D714D5F" wp14:editId="3893C231">
            <wp:extent cx="2819015" cy="2441951"/>
            <wp:effectExtent l="0" t="0" r="63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25" t="6411" r="7913" b="7910"/>
                    <a:stretch>
                      <a:fillRect/>
                    </a:stretch>
                  </pic:blipFill>
                  <pic:spPr bwMode="auto">
                    <a:xfrm>
                      <a:off x="0" y="0"/>
                      <a:ext cx="2830754" cy="2452120"/>
                    </a:xfrm>
                    <a:prstGeom prst="rect">
                      <a:avLst/>
                    </a:prstGeom>
                    <a:noFill/>
                    <a:ln>
                      <a:noFill/>
                    </a:ln>
                    <a:extLst>
                      <a:ext uri="{53640926-AAD7-44D8-BBD7-CCE9431645EC}">
                        <a14:shadowObscured xmlns:a14="http://schemas.microsoft.com/office/drawing/2010/main"/>
                      </a:ext>
                    </a:extLst>
                  </pic:spPr>
                </pic:pic>
              </a:graphicData>
            </a:graphic>
          </wp:inline>
        </w:drawing>
      </w:r>
    </w:p>
    <w:p w14:paraId="29713071" w14:textId="77777777" w:rsidR="001C1D22" w:rsidRPr="00DA2DE2" w:rsidRDefault="001C1D22" w:rsidP="001C1D22">
      <w:pPr>
        <w:spacing w:after="0" w:line="240" w:lineRule="auto"/>
        <w:jc w:val="center"/>
        <w:rPr>
          <w:rFonts w:ascii="Arial" w:eastAsia="Times New Roman" w:hAnsi="Arial" w:cs="Arial"/>
          <w:sz w:val="20"/>
          <w:szCs w:val="20"/>
          <w:lang w:val="en-GB" w:eastAsia="it-IT"/>
        </w:rPr>
      </w:pPr>
      <w:r w:rsidRPr="00DA2DE2">
        <w:rPr>
          <w:rFonts w:ascii="Arial" w:eastAsia="Times New Roman" w:hAnsi="Arial" w:cs="Arial"/>
          <w:sz w:val="20"/>
          <w:szCs w:val="20"/>
          <w:lang w:val="en-GB" w:eastAsia="it-IT"/>
        </w:rPr>
        <w:t>(a)</w:t>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t>(b)</w:t>
      </w:r>
    </w:p>
    <w:p w14:paraId="765C299A" w14:textId="77777777" w:rsidR="001C1D22" w:rsidRPr="00DA2DE2" w:rsidRDefault="001C1D22" w:rsidP="001C1D22">
      <w:pPr>
        <w:spacing w:after="0" w:line="240" w:lineRule="auto"/>
        <w:jc w:val="center"/>
        <w:rPr>
          <w:rFonts w:ascii="Arial" w:eastAsia="Times New Roman" w:hAnsi="Arial" w:cs="Arial"/>
          <w:sz w:val="20"/>
          <w:szCs w:val="20"/>
          <w:lang w:val="en-GB" w:eastAsia="it-IT"/>
        </w:rPr>
      </w:pPr>
      <w:r w:rsidRPr="00DA2DE2">
        <w:rPr>
          <w:rFonts w:ascii="Arial" w:eastAsia="Times New Roman" w:hAnsi="Arial" w:cs="Arial"/>
          <w:noProof/>
          <w:sz w:val="20"/>
          <w:szCs w:val="20"/>
          <w:lang w:val="en-GB" w:eastAsia="it-IT"/>
        </w:rPr>
        <w:drawing>
          <wp:inline distT="0" distB="0" distL="0" distR="0" wp14:anchorId="29A5EAB2" wp14:editId="071B2CD6">
            <wp:extent cx="2887912" cy="2366645"/>
            <wp:effectExtent l="0" t="0" r="825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67" t="4728" r="18178" b="10028"/>
                    <a:stretch>
                      <a:fillRect/>
                    </a:stretch>
                  </pic:blipFill>
                  <pic:spPr bwMode="auto">
                    <a:xfrm>
                      <a:off x="0" y="0"/>
                      <a:ext cx="2906423" cy="2381814"/>
                    </a:xfrm>
                    <a:prstGeom prst="rect">
                      <a:avLst/>
                    </a:prstGeom>
                    <a:noFill/>
                    <a:ln>
                      <a:noFill/>
                    </a:ln>
                    <a:extLst>
                      <a:ext uri="{53640926-AAD7-44D8-BBD7-CCE9431645EC}">
                        <a14:shadowObscured xmlns:a14="http://schemas.microsoft.com/office/drawing/2010/main"/>
                      </a:ext>
                    </a:extLst>
                  </pic:spPr>
                </pic:pic>
              </a:graphicData>
            </a:graphic>
          </wp:inline>
        </w:drawing>
      </w:r>
      <w:r w:rsidRPr="00DA2DE2">
        <w:rPr>
          <w:rFonts w:ascii="Arial" w:eastAsia="Times New Roman" w:hAnsi="Arial" w:cs="Arial"/>
          <w:noProof/>
          <w:sz w:val="20"/>
          <w:szCs w:val="20"/>
          <w:lang w:val="en-GB" w:eastAsia="it-IT"/>
        </w:rPr>
        <w:drawing>
          <wp:inline distT="0" distB="0" distL="0" distR="0" wp14:anchorId="1CCE3564" wp14:editId="549584F9">
            <wp:extent cx="2927350" cy="2277790"/>
            <wp:effectExtent l="0" t="0" r="6350" b="825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66" t="10434" r="11823" b="11157"/>
                    <a:stretch>
                      <a:fillRect/>
                    </a:stretch>
                  </pic:blipFill>
                  <pic:spPr bwMode="auto">
                    <a:xfrm>
                      <a:off x="0" y="0"/>
                      <a:ext cx="2955333" cy="2299563"/>
                    </a:xfrm>
                    <a:prstGeom prst="rect">
                      <a:avLst/>
                    </a:prstGeom>
                    <a:noFill/>
                    <a:ln>
                      <a:noFill/>
                    </a:ln>
                    <a:extLst>
                      <a:ext uri="{53640926-AAD7-44D8-BBD7-CCE9431645EC}">
                        <a14:shadowObscured xmlns:a14="http://schemas.microsoft.com/office/drawing/2010/main"/>
                      </a:ext>
                    </a:extLst>
                  </pic:spPr>
                </pic:pic>
              </a:graphicData>
            </a:graphic>
          </wp:inline>
        </w:drawing>
      </w:r>
    </w:p>
    <w:p w14:paraId="48B4EEE2" w14:textId="77777777" w:rsidR="001C1D22" w:rsidRPr="00DA2DE2" w:rsidRDefault="001C1D22" w:rsidP="001C1D22">
      <w:pPr>
        <w:spacing w:after="0" w:line="240" w:lineRule="auto"/>
        <w:jc w:val="center"/>
        <w:rPr>
          <w:rFonts w:ascii="Arial" w:eastAsia="Times New Roman" w:hAnsi="Arial" w:cs="Arial"/>
          <w:sz w:val="20"/>
          <w:szCs w:val="20"/>
          <w:lang w:val="en-GB" w:eastAsia="it-IT"/>
        </w:rPr>
      </w:pPr>
      <w:r w:rsidRPr="00DA2DE2">
        <w:rPr>
          <w:rFonts w:ascii="Arial" w:eastAsia="Times New Roman" w:hAnsi="Arial" w:cs="Arial"/>
          <w:sz w:val="20"/>
          <w:szCs w:val="20"/>
          <w:lang w:val="en-GB" w:eastAsia="it-IT"/>
        </w:rPr>
        <w:t>(c)</w:t>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t>(d)</w:t>
      </w:r>
    </w:p>
    <w:p w14:paraId="603D2A58" w14:textId="77777777" w:rsidR="001C1D22" w:rsidRPr="00DA2DE2" w:rsidRDefault="001C1D22" w:rsidP="001C1D22">
      <w:pPr>
        <w:spacing w:after="100" w:afterAutospacing="1" w:line="240" w:lineRule="auto"/>
        <w:jc w:val="both"/>
        <w:rPr>
          <w:rFonts w:ascii="Arial" w:eastAsia="Times New Roman" w:hAnsi="Arial" w:cs="Arial"/>
          <w:lang w:val="en-GB" w:eastAsia="it-IT"/>
        </w:rPr>
      </w:pPr>
      <w:r w:rsidRPr="00DA2DE2">
        <w:rPr>
          <w:rFonts w:ascii="Arial" w:eastAsia="Times New Roman" w:hAnsi="Arial" w:cs="Arial"/>
          <w:noProof/>
          <w:lang w:val="en-GB" w:eastAsia="it-IT"/>
        </w:rPr>
        <w:lastRenderedPageBreak/>
        <w:drawing>
          <wp:inline distT="0" distB="0" distL="0" distR="0" wp14:anchorId="7A28135F" wp14:editId="75E45B75">
            <wp:extent cx="2959100" cy="2643860"/>
            <wp:effectExtent l="0" t="0" r="0" b="444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67" t="6725" r="17865" b="2132"/>
                    <a:stretch>
                      <a:fillRect/>
                    </a:stretch>
                  </pic:blipFill>
                  <pic:spPr bwMode="auto">
                    <a:xfrm>
                      <a:off x="0" y="0"/>
                      <a:ext cx="2964756" cy="2648914"/>
                    </a:xfrm>
                    <a:prstGeom prst="rect">
                      <a:avLst/>
                    </a:prstGeom>
                    <a:noFill/>
                    <a:ln>
                      <a:noFill/>
                    </a:ln>
                    <a:extLst>
                      <a:ext uri="{53640926-AAD7-44D8-BBD7-CCE9431645EC}">
                        <a14:shadowObscured xmlns:a14="http://schemas.microsoft.com/office/drawing/2010/main"/>
                      </a:ext>
                    </a:extLst>
                  </pic:spPr>
                </pic:pic>
              </a:graphicData>
            </a:graphic>
          </wp:inline>
        </w:drawing>
      </w:r>
      <w:r w:rsidRPr="00DA2DE2">
        <w:rPr>
          <w:rFonts w:ascii="Arial" w:eastAsia="Times New Roman" w:hAnsi="Arial" w:cs="Arial"/>
          <w:noProof/>
          <w:lang w:val="en-GB" w:eastAsia="it-IT"/>
        </w:rPr>
        <w:drawing>
          <wp:inline distT="0" distB="0" distL="0" distR="0" wp14:anchorId="2890368A" wp14:editId="16CA9C8C">
            <wp:extent cx="3034373" cy="262890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67" t="5320" r="10869" b="5006"/>
                    <a:stretch>
                      <a:fillRect/>
                    </a:stretch>
                  </pic:blipFill>
                  <pic:spPr bwMode="auto">
                    <a:xfrm>
                      <a:off x="0" y="0"/>
                      <a:ext cx="3042226" cy="2635704"/>
                    </a:xfrm>
                    <a:prstGeom prst="rect">
                      <a:avLst/>
                    </a:prstGeom>
                    <a:noFill/>
                    <a:ln>
                      <a:noFill/>
                    </a:ln>
                    <a:extLst>
                      <a:ext uri="{53640926-AAD7-44D8-BBD7-CCE9431645EC}">
                        <a14:shadowObscured xmlns:a14="http://schemas.microsoft.com/office/drawing/2010/main"/>
                      </a:ext>
                    </a:extLst>
                  </pic:spPr>
                </pic:pic>
              </a:graphicData>
            </a:graphic>
          </wp:inline>
        </w:drawing>
      </w:r>
    </w:p>
    <w:p w14:paraId="258E4E6F" w14:textId="77777777" w:rsidR="001C1D22" w:rsidRPr="00DA2DE2" w:rsidRDefault="001C1D22" w:rsidP="001C1D22">
      <w:pPr>
        <w:spacing w:after="0" w:line="240" w:lineRule="auto"/>
        <w:jc w:val="center"/>
        <w:rPr>
          <w:rFonts w:ascii="Arial" w:eastAsia="Times New Roman" w:hAnsi="Arial" w:cs="Arial"/>
          <w:lang w:val="en-GB" w:eastAsia="it-IT"/>
        </w:rPr>
      </w:pPr>
      <w:r w:rsidRPr="00DA2DE2">
        <w:rPr>
          <w:rFonts w:ascii="Arial" w:eastAsia="Times New Roman" w:hAnsi="Arial" w:cs="Arial"/>
          <w:sz w:val="20"/>
          <w:szCs w:val="20"/>
          <w:lang w:val="en-GB" w:eastAsia="it-IT"/>
        </w:rPr>
        <w:t>(e)</w:t>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r>
      <w:r w:rsidRPr="00DA2DE2">
        <w:rPr>
          <w:rFonts w:ascii="Arial" w:eastAsia="Times New Roman" w:hAnsi="Arial" w:cs="Arial"/>
          <w:sz w:val="20"/>
          <w:szCs w:val="20"/>
          <w:lang w:val="en-GB" w:eastAsia="it-IT"/>
        </w:rPr>
        <w:tab/>
        <w:t>(f)</w:t>
      </w:r>
    </w:p>
    <w:p w14:paraId="5F63B158" w14:textId="77777777" w:rsidR="001C1D22" w:rsidRPr="00DA2DE2" w:rsidRDefault="001C1D22" w:rsidP="001C1D22">
      <w:pPr>
        <w:spacing w:after="0"/>
        <w:jc w:val="center"/>
        <w:rPr>
          <w:rFonts w:ascii="Arial" w:hAnsi="Arial" w:cs="Arial"/>
          <w:lang w:val="en-GB"/>
        </w:rPr>
      </w:pPr>
      <w:r w:rsidRPr="00DA2DE2">
        <w:rPr>
          <w:rFonts w:ascii="Arial" w:hAnsi="Arial" w:cs="Arial"/>
          <w:noProof/>
          <w:lang w:val="en-GB"/>
        </w:rPr>
        <w:drawing>
          <wp:inline distT="0" distB="0" distL="0" distR="0" wp14:anchorId="0B4915B8" wp14:editId="0DD2EC91">
            <wp:extent cx="4252623" cy="289936"/>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65747" name=""/>
                    <pic:cNvPicPr/>
                  </pic:nvPicPr>
                  <pic:blipFill rotWithShape="1">
                    <a:blip r:embed="rId23"/>
                    <a:srcRect t="24471" b="18085"/>
                    <a:stretch>
                      <a:fillRect/>
                    </a:stretch>
                  </pic:blipFill>
                  <pic:spPr bwMode="auto">
                    <a:xfrm>
                      <a:off x="0" y="0"/>
                      <a:ext cx="4396154" cy="299722"/>
                    </a:xfrm>
                    <a:prstGeom prst="rect">
                      <a:avLst/>
                    </a:prstGeom>
                    <a:ln>
                      <a:noFill/>
                    </a:ln>
                    <a:extLst>
                      <a:ext uri="{53640926-AAD7-44D8-BBD7-CCE9431645EC}">
                        <a14:shadowObscured xmlns:a14="http://schemas.microsoft.com/office/drawing/2010/main"/>
                      </a:ext>
                    </a:extLst>
                  </pic:spPr>
                </pic:pic>
              </a:graphicData>
            </a:graphic>
          </wp:inline>
        </w:drawing>
      </w:r>
    </w:p>
    <w:p w14:paraId="0E975F94" w14:textId="6D8089C1" w:rsidR="001C1D22" w:rsidRPr="00DA2DE2" w:rsidRDefault="001C1D22" w:rsidP="001C1D22">
      <w:pPr>
        <w:jc w:val="both"/>
        <w:rPr>
          <w:rFonts w:ascii="Arial" w:hAnsi="Arial" w:cs="Arial"/>
          <w:sz w:val="20"/>
          <w:szCs w:val="20"/>
          <w:lang w:val="en-GB"/>
        </w:rPr>
      </w:pPr>
      <w:r w:rsidRPr="00DA2DE2">
        <w:rPr>
          <w:rFonts w:ascii="Arial" w:hAnsi="Arial" w:cs="Arial"/>
          <w:b/>
          <w:bCs/>
          <w:sz w:val="20"/>
          <w:szCs w:val="20"/>
          <w:lang w:val="en-GB"/>
        </w:rPr>
        <w:t>Supplementary Figure 5</w:t>
      </w:r>
      <w:r w:rsidRPr="00DA2DE2">
        <w:rPr>
          <w:rFonts w:ascii="Arial" w:hAnsi="Arial" w:cs="Arial"/>
          <w:sz w:val="20"/>
          <w:szCs w:val="20"/>
          <w:lang w:val="en-GB"/>
        </w:rPr>
        <w:t>. Functionality curves for 6 scenarios: quartiles, minimum and maximum values: (a) #1; (b)#2; (c)#3; (d)#4; (e)#5; (f) #6.</w:t>
      </w:r>
    </w:p>
    <w:p w14:paraId="6EA17FF0" w14:textId="77777777" w:rsidR="001C1D22" w:rsidRPr="00DA2DE2" w:rsidRDefault="001C1D22" w:rsidP="00D80CFE">
      <w:pPr>
        <w:spacing w:before="100" w:beforeAutospacing="1" w:after="100" w:afterAutospacing="1" w:line="240" w:lineRule="auto"/>
        <w:jc w:val="both"/>
        <w:rPr>
          <w:rFonts w:ascii="Arial" w:hAnsi="Arial" w:cs="Arial"/>
          <w:lang w:val="en-GB"/>
        </w:rPr>
      </w:pPr>
    </w:p>
    <w:p w14:paraId="20E81A31" w14:textId="40C9B6B8" w:rsidR="00D80CFE" w:rsidRPr="00DA2DE2" w:rsidRDefault="009B492C" w:rsidP="00F24F60">
      <w:pPr>
        <w:rPr>
          <w:rFonts w:ascii="Arial" w:hAnsi="Arial" w:cs="Arial"/>
          <w:lang w:val="en-GB"/>
        </w:rPr>
      </w:pPr>
      <w:r w:rsidRPr="00DA2DE2">
        <w:rPr>
          <w:rFonts w:ascii="Arial" w:hAnsi="Arial" w:cs="Arial"/>
          <w:lang w:val="en-GB"/>
        </w:rPr>
        <w:br w:type="page"/>
      </w:r>
    </w:p>
    <w:bookmarkEnd w:id="0"/>
    <w:p w14:paraId="123A7090" w14:textId="32566116" w:rsidR="003F4365" w:rsidRPr="00DA2DE2" w:rsidRDefault="00AB6E0F" w:rsidP="003F4365">
      <w:pPr>
        <w:spacing w:before="100" w:beforeAutospacing="1" w:after="100" w:afterAutospacing="1" w:line="240" w:lineRule="auto"/>
        <w:jc w:val="both"/>
        <w:outlineLvl w:val="2"/>
        <w:rPr>
          <w:rFonts w:ascii="Arial" w:hAnsi="Arial" w:cs="Arial"/>
          <w:b/>
          <w:bCs/>
          <w:sz w:val="26"/>
          <w:szCs w:val="26"/>
          <w:lang w:val="en-GB"/>
        </w:rPr>
      </w:pPr>
      <w:r w:rsidRPr="00DA2DE2">
        <w:rPr>
          <w:rFonts w:ascii="Arial" w:eastAsia="Times New Roman" w:hAnsi="Arial" w:cs="Arial"/>
          <w:b/>
          <w:bCs/>
          <w:sz w:val="26"/>
          <w:szCs w:val="26"/>
          <w:lang w:val="en-GB" w:eastAsia="it-IT"/>
        </w:rPr>
        <w:lastRenderedPageBreak/>
        <w:t xml:space="preserve">Supplementary Note </w:t>
      </w:r>
      <w:r w:rsidR="001C1D22" w:rsidRPr="00DA2DE2">
        <w:rPr>
          <w:rFonts w:ascii="Arial" w:eastAsia="Times New Roman" w:hAnsi="Arial" w:cs="Arial"/>
          <w:b/>
          <w:bCs/>
          <w:sz w:val="26"/>
          <w:szCs w:val="26"/>
          <w:lang w:val="en-GB" w:eastAsia="it-IT"/>
        </w:rPr>
        <w:t>4</w:t>
      </w:r>
      <w:r w:rsidR="003F4365" w:rsidRPr="00DA2DE2">
        <w:rPr>
          <w:rFonts w:ascii="Arial" w:eastAsia="Times New Roman" w:hAnsi="Arial" w:cs="Arial"/>
          <w:b/>
          <w:bCs/>
          <w:sz w:val="26"/>
          <w:szCs w:val="26"/>
          <w:lang w:val="en-GB" w:eastAsia="it-IT"/>
        </w:rPr>
        <w:t xml:space="preserve">. </w:t>
      </w:r>
      <w:r w:rsidR="003F4365" w:rsidRPr="00DA2DE2">
        <w:rPr>
          <w:rFonts w:ascii="Arial" w:hAnsi="Arial" w:cs="Arial"/>
          <w:b/>
          <w:bCs/>
          <w:sz w:val="26"/>
          <w:szCs w:val="26"/>
          <w:lang w:val="en-GB"/>
        </w:rPr>
        <w:t>L</w:t>
      </w:r>
      <w:r w:rsidR="00D54F85">
        <w:rPr>
          <w:rFonts w:ascii="Arial" w:hAnsi="Arial" w:cs="Arial"/>
          <w:b/>
          <w:bCs/>
          <w:sz w:val="26"/>
          <w:szCs w:val="26"/>
          <w:lang w:val="en-GB"/>
        </w:rPr>
        <w:t>CA, LCC and LCI</w:t>
      </w:r>
      <w:r w:rsidR="003F4365" w:rsidRPr="00DA2DE2">
        <w:rPr>
          <w:rFonts w:ascii="Arial" w:hAnsi="Arial" w:cs="Arial"/>
          <w:b/>
          <w:bCs/>
          <w:sz w:val="26"/>
          <w:szCs w:val="26"/>
          <w:lang w:val="en-GB"/>
        </w:rPr>
        <w:t xml:space="preserve"> of restoration options</w:t>
      </w:r>
    </w:p>
    <w:p w14:paraId="72DB2693" w14:textId="77777777" w:rsidR="008B35E5" w:rsidRPr="00DA2DE2" w:rsidRDefault="008B35E5" w:rsidP="008B35E5">
      <w:pPr>
        <w:jc w:val="both"/>
        <w:rPr>
          <w:rFonts w:ascii="Arial" w:hAnsi="Arial" w:cs="Arial"/>
          <w:color w:val="1F1F1F"/>
          <w:lang w:val="en-GB"/>
        </w:rPr>
      </w:pPr>
      <w:r w:rsidRPr="00DA2DE2">
        <w:rPr>
          <w:rFonts w:ascii="Arial" w:hAnsi="Arial" w:cs="Arial"/>
          <w:color w:val="1F1F1F"/>
          <w:lang w:val="en-GB"/>
        </w:rPr>
        <w:t xml:space="preserve">The analysis quantifies the environmental impacts and costs associated with the six retrofit scenarios at asset level, using a functional unit of 1 km of bridge. It is essential to note that scenarios are not functionally equivalent in terms of </w:t>
      </w:r>
      <w:r w:rsidRPr="00DA2DE2">
        <w:rPr>
          <w:rFonts w:ascii="Arial" w:hAnsi="Arial" w:cs="Arial"/>
          <w:color w:val="1F1F1F"/>
          <w:lang w:val="en-GB"/>
        </w:rPr>
        <w:t>durab</w:t>
      </w:r>
      <w:r>
        <w:rPr>
          <w:rFonts w:ascii="Arial" w:hAnsi="Arial" w:cs="Arial"/>
          <w:color w:val="1F1F1F"/>
          <w:lang w:val="en-GB"/>
        </w:rPr>
        <w:t xml:space="preserve">ility </w:t>
      </w:r>
      <w:r w:rsidRPr="00DA2DE2">
        <w:rPr>
          <w:rFonts w:ascii="Arial" w:hAnsi="Arial" w:cs="Arial"/>
          <w:color w:val="1F1F1F"/>
          <w:lang w:val="en-GB"/>
        </w:rPr>
        <w:t>performance: full</w:t>
      </w:r>
      <w:r w:rsidRPr="00DA2DE2">
        <w:rPr>
          <w:rFonts w:ascii="Cambria Math" w:hAnsi="Cambria Math" w:cs="Cambria Math"/>
          <w:color w:val="1F1F1F"/>
          <w:lang w:val="en-GB"/>
        </w:rPr>
        <w:t>‑</w:t>
      </w:r>
      <w:r w:rsidRPr="00DA2DE2">
        <w:rPr>
          <w:rFonts w:ascii="Arial" w:hAnsi="Arial" w:cs="Arial"/>
          <w:color w:val="1F1F1F"/>
          <w:lang w:val="en-GB"/>
        </w:rPr>
        <w:t xml:space="preserve">replacement options </w:t>
      </w:r>
      <w:r>
        <w:rPr>
          <w:rFonts w:ascii="Arial" w:hAnsi="Arial" w:cs="Arial"/>
          <w:color w:val="1F1F1F"/>
          <w:lang w:val="en-GB"/>
        </w:rPr>
        <w:t xml:space="preserve">scenarios </w:t>
      </w:r>
      <w:r w:rsidRPr="00DA2DE2">
        <w:rPr>
          <w:rFonts w:ascii="Arial" w:hAnsi="Arial" w:cs="Arial"/>
          <w:color w:val="1F1F1F"/>
          <w:lang w:val="en-GB"/>
        </w:rPr>
        <w:t>#4-6 are estimated to extend service life by up to 80-100 years, while partial interventions (e.g. scenario #1) provide an extension of about 33 years. Where scenarios reach similar operational capacity of 90–100%, differences in longevity and performance are addressed in the MCDA using fit-for-purpose criteria.</w:t>
      </w:r>
    </w:p>
    <w:p w14:paraId="5C63CB7D" w14:textId="6E030251" w:rsidR="008B35E5" w:rsidRDefault="008B35E5" w:rsidP="008B35E5">
      <w:pPr>
        <w:jc w:val="both"/>
        <w:rPr>
          <w:rFonts w:ascii="Arial" w:hAnsi="Arial" w:cs="Arial"/>
          <w:color w:val="1F1F1F"/>
          <w:lang w:val="en-GB"/>
        </w:rPr>
      </w:pPr>
      <w:r w:rsidRPr="00DA2DE2">
        <w:rPr>
          <w:rFonts w:ascii="Arial" w:hAnsi="Arial" w:cs="Arial"/>
          <w:color w:val="1F1F1F"/>
          <w:lang w:val="en-GB"/>
        </w:rPr>
        <w:t xml:space="preserve">The system boundaries of the analysis encompass the demolition and waste processing of damaged bridge parts (C1–C4 according to EN </w:t>
      </w:r>
      <w:r w:rsidRPr="008B35E5">
        <w:rPr>
          <w:rFonts w:ascii="Arial" w:hAnsi="Arial" w:cs="Arial"/>
          <w:color w:val="1F1F1F"/>
          <w:lang w:val="en-GB"/>
        </w:rPr>
        <w:t>15643</w:t>
      </w:r>
      <w:r w:rsidRPr="008B35E5">
        <w:rPr>
          <w:rFonts w:ascii="Arial" w:hAnsi="Arial" w:cs="Arial"/>
          <w:color w:val="1F1F1F"/>
          <w:lang w:val="en-GB"/>
        </w:rPr>
        <w:t xml:space="preserve"> [</w:t>
      </w:r>
      <w:r w:rsidRPr="008B35E5">
        <w:rPr>
          <w:rFonts w:ascii="Arial" w:hAnsi="Arial" w:cs="Arial"/>
          <w:color w:val="1F1F1F"/>
          <w:lang w:val="en-GB"/>
        </w:rPr>
        <w:fldChar w:fldCharType="begin"/>
      </w:r>
      <w:r w:rsidRPr="008B35E5">
        <w:rPr>
          <w:rFonts w:ascii="Arial" w:hAnsi="Arial" w:cs="Arial"/>
          <w:color w:val="1F1F1F"/>
          <w:lang w:val="en-GB"/>
        </w:rPr>
        <w:instrText xml:space="preserve"> REF _Ref220851125 \r \h </w:instrText>
      </w:r>
      <w:r w:rsidRPr="008B35E5">
        <w:rPr>
          <w:rFonts w:ascii="Arial" w:hAnsi="Arial" w:cs="Arial"/>
          <w:color w:val="1F1F1F"/>
          <w:lang w:val="en-GB"/>
        </w:rPr>
      </w:r>
      <w:r>
        <w:rPr>
          <w:rFonts w:ascii="Arial" w:hAnsi="Arial" w:cs="Arial"/>
          <w:color w:val="1F1F1F"/>
          <w:lang w:val="en-GB"/>
        </w:rPr>
        <w:instrText xml:space="preserve"> \* MERGEFORMAT </w:instrText>
      </w:r>
      <w:r w:rsidRPr="008B35E5">
        <w:rPr>
          <w:rFonts w:ascii="Arial" w:hAnsi="Arial" w:cs="Arial"/>
          <w:color w:val="1F1F1F"/>
          <w:lang w:val="en-GB"/>
        </w:rPr>
        <w:fldChar w:fldCharType="separate"/>
      </w:r>
      <w:r w:rsidR="00D515C8">
        <w:rPr>
          <w:rFonts w:ascii="Arial" w:hAnsi="Arial" w:cs="Arial"/>
          <w:color w:val="1F1F1F"/>
          <w:lang w:val="en-GB"/>
        </w:rPr>
        <w:t>20</w:t>
      </w:r>
      <w:r w:rsidRPr="008B35E5">
        <w:rPr>
          <w:rFonts w:ascii="Arial" w:hAnsi="Arial" w:cs="Arial"/>
          <w:color w:val="1F1F1F"/>
          <w:lang w:val="en-GB"/>
        </w:rPr>
        <w:fldChar w:fldCharType="end"/>
      </w:r>
      <w:r w:rsidRPr="008B35E5">
        <w:rPr>
          <w:rFonts w:ascii="Arial" w:hAnsi="Arial" w:cs="Arial"/>
          <w:color w:val="1F1F1F"/>
          <w:lang w:val="en-GB"/>
        </w:rPr>
        <w:t>]</w:t>
      </w:r>
      <w:r w:rsidRPr="008B35E5">
        <w:rPr>
          <w:rFonts w:ascii="Arial" w:hAnsi="Arial" w:cs="Arial"/>
          <w:color w:val="1F1F1F"/>
          <w:lang w:val="en-GB"/>
        </w:rPr>
        <w:t>),</w:t>
      </w:r>
      <w:r w:rsidRPr="00DA2DE2">
        <w:rPr>
          <w:rFonts w:ascii="Arial" w:hAnsi="Arial" w:cs="Arial"/>
          <w:color w:val="1F1F1F"/>
          <w:lang w:val="en-GB"/>
        </w:rPr>
        <w:t xml:space="preserve"> the raw materials, transportation to manufacturing (A1–A3), manufacturing (A5), assembly at the construction site (A5) of designed interventions. Finally, the potential impacts due to disassembly (C1), transportation to waste processing (C2), and end-of-life (C3–C4) of the designed interventions are included. </w:t>
      </w:r>
      <w:r w:rsidRPr="0015359F">
        <w:rPr>
          <w:rFonts w:ascii="Arial" w:hAnsi="Arial" w:cs="Arial"/>
          <w:color w:val="1F1F1F"/>
          <w:lang w:val="en-GB"/>
        </w:rPr>
        <w:t>The sum of these contributions provides the life cycle impacts. Construction (A5) and demolition (C1) stages are quantified using Environmental Product Declarations (EPDs) where available, supplemented by expert judgement when necessary.</w:t>
      </w:r>
      <w:r w:rsidRPr="00DA2DE2">
        <w:rPr>
          <w:rFonts w:ascii="Arial" w:hAnsi="Arial" w:cs="Arial"/>
          <w:color w:val="1F1F1F"/>
          <w:lang w:val="en-GB"/>
        </w:rPr>
        <w:t xml:space="preserve"> Assessed environmental metrics include global warming potential total (GWP), water use (WDP), fossil resource use (ADPF) and resource use of minerals and metals (ADPM), as defined in EN </w:t>
      </w:r>
      <w:r w:rsidRPr="008B35E5">
        <w:rPr>
          <w:rFonts w:ascii="Arial" w:hAnsi="Arial" w:cs="Arial"/>
          <w:color w:val="1F1F1F"/>
          <w:lang w:val="en-GB"/>
        </w:rPr>
        <w:t xml:space="preserve">15804+A2 </w:t>
      </w:r>
      <w:r w:rsidRPr="008B35E5">
        <w:rPr>
          <w:rFonts w:ascii="Arial" w:hAnsi="Arial" w:cs="Arial"/>
          <w:color w:val="1F1F1F"/>
          <w:lang w:val="en-GB"/>
        </w:rPr>
        <w:t>[</w:t>
      </w:r>
      <w:r w:rsidRPr="008B35E5">
        <w:rPr>
          <w:rFonts w:ascii="Arial" w:hAnsi="Arial" w:cs="Arial"/>
          <w:color w:val="1F1F1F"/>
          <w:lang w:val="en-GB"/>
        </w:rPr>
        <w:fldChar w:fldCharType="begin"/>
      </w:r>
      <w:r w:rsidRPr="008B35E5">
        <w:rPr>
          <w:rFonts w:ascii="Arial" w:hAnsi="Arial" w:cs="Arial"/>
          <w:color w:val="1F1F1F"/>
          <w:lang w:val="en-GB"/>
        </w:rPr>
        <w:instrText xml:space="preserve"> REF _Ref220851200 \r \h </w:instrText>
      </w:r>
      <w:r w:rsidRPr="008B35E5">
        <w:rPr>
          <w:rFonts w:ascii="Arial" w:hAnsi="Arial" w:cs="Arial"/>
          <w:color w:val="1F1F1F"/>
          <w:lang w:val="en-GB"/>
        </w:rPr>
      </w:r>
      <w:r>
        <w:rPr>
          <w:rFonts w:ascii="Arial" w:hAnsi="Arial" w:cs="Arial"/>
          <w:color w:val="1F1F1F"/>
          <w:lang w:val="en-GB"/>
        </w:rPr>
        <w:instrText xml:space="preserve"> \* MERGEFORMAT </w:instrText>
      </w:r>
      <w:r w:rsidRPr="008B35E5">
        <w:rPr>
          <w:rFonts w:ascii="Arial" w:hAnsi="Arial" w:cs="Arial"/>
          <w:color w:val="1F1F1F"/>
          <w:lang w:val="en-GB"/>
        </w:rPr>
        <w:fldChar w:fldCharType="separate"/>
      </w:r>
      <w:r w:rsidR="00D515C8">
        <w:rPr>
          <w:rFonts w:ascii="Arial" w:hAnsi="Arial" w:cs="Arial"/>
          <w:color w:val="1F1F1F"/>
          <w:lang w:val="en-GB"/>
        </w:rPr>
        <w:t>21</w:t>
      </w:r>
      <w:r w:rsidRPr="008B35E5">
        <w:rPr>
          <w:rFonts w:ascii="Arial" w:hAnsi="Arial" w:cs="Arial"/>
          <w:color w:val="1F1F1F"/>
          <w:lang w:val="en-GB"/>
        </w:rPr>
        <w:fldChar w:fldCharType="end"/>
      </w:r>
      <w:r w:rsidRPr="008B35E5">
        <w:rPr>
          <w:rFonts w:ascii="Arial" w:hAnsi="Arial" w:cs="Arial"/>
          <w:color w:val="1F1F1F"/>
          <w:lang w:val="en-GB"/>
        </w:rPr>
        <w:t>].</w:t>
      </w:r>
      <w:r w:rsidRPr="00DA2DE2">
        <w:rPr>
          <w:rFonts w:ascii="Arial" w:hAnsi="Arial" w:cs="Arial"/>
          <w:color w:val="1F1F1F"/>
          <w:lang w:val="en-GB"/>
        </w:rPr>
        <w:t xml:space="preserve"> </w:t>
      </w:r>
      <w:r w:rsidRPr="0015359F">
        <w:rPr>
          <w:rFonts w:ascii="Arial" w:hAnsi="Arial" w:cs="Arial"/>
          <w:color w:val="1F1F1F"/>
          <w:lang w:val="en-GB"/>
        </w:rPr>
        <w:t xml:space="preserve">Data sources for environmental impacts include EPDs available on the open-access platform EPD International (EPD Library, </w:t>
      </w:r>
      <w:r w:rsidRPr="008B35E5">
        <w:rPr>
          <w:rFonts w:ascii="Arial" w:hAnsi="Arial" w:cs="Arial"/>
          <w:color w:val="1F1F1F"/>
          <w:lang w:val="en-GB"/>
        </w:rPr>
        <w:t>2025)</w:t>
      </w:r>
      <w:r w:rsidRPr="008B35E5">
        <w:rPr>
          <w:rFonts w:ascii="Arial" w:hAnsi="Arial" w:cs="Arial"/>
          <w:color w:val="1F1F1F"/>
          <w:lang w:val="en-GB"/>
        </w:rPr>
        <w:t xml:space="preserve"> </w:t>
      </w:r>
      <w:r w:rsidRPr="008B35E5">
        <w:rPr>
          <w:rFonts w:ascii="Arial" w:hAnsi="Arial" w:cs="Arial"/>
          <w:color w:val="1F1F1F"/>
          <w:lang w:val="en-GB"/>
        </w:rPr>
        <w:t>[</w:t>
      </w:r>
      <w:r w:rsidRPr="008B35E5">
        <w:rPr>
          <w:rFonts w:ascii="Arial" w:hAnsi="Arial" w:cs="Arial"/>
          <w:color w:val="1F1F1F"/>
          <w:lang w:val="en-GB"/>
        </w:rPr>
        <w:fldChar w:fldCharType="begin"/>
      </w:r>
      <w:r w:rsidRPr="008B35E5">
        <w:rPr>
          <w:rFonts w:ascii="Arial" w:hAnsi="Arial" w:cs="Arial"/>
          <w:color w:val="1F1F1F"/>
          <w:lang w:val="en-GB"/>
        </w:rPr>
        <w:instrText xml:space="preserve"> REF _Ref220851222 \r \h </w:instrText>
      </w:r>
      <w:r w:rsidRPr="008B35E5">
        <w:rPr>
          <w:rFonts w:ascii="Arial" w:hAnsi="Arial" w:cs="Arial"/>
          <w:color w:val="1F1F1F"/>
          <w:lang w:val="en-GB"/>
        </w:rPr>
      </w:r>
      <w:r>
        <w:rPr>
          <w:rFonts w:ascii="Arial" w:hAnsi="Arial" w:cs="Arial"/>
          <w:color w:val="1F1F1F"/>
          <w:lang w:val="en-GB"/>
        </w:rPr>
        <w:instrText xml:space="preserve"> \* MERGEFORMAT </w:instrText>
      </w:r>
      <w:r w:rsidRPr="008B35E5">
        <w:rPr>
          <w:rFonts w:ascii="Arial" w:hAnsi="Arial" w:cs="Arial"/>
          <w:color w:val="1F1F1F"/>
          <w:lang w:val="en-GB"/>
        </w:rPr>
        <w:fldChar w:fldCharType="separate"/>
      </w:r>
      <w:r w:rsidR="00D515C8">
        <w:rPr>
          <w:rFonts w:ascii="Arial" w:hAnsi="Arial" w:cs="Arial"/>
          <w:color w:val="1F1F1F"/>
          <w:lang w:val="en-GB"/>
        </w:rPr>
        <w:t>22</w:t>
      </w:r>
      <w:r w:rsidRPr="008B35E5">
        <w:rPr>
          <w:rFonts w:ascii="Arial" w:hAnsi="Arial" w:cs="Arial"/>
          <w:color w:val="1F1F1F"/>
          <w:lang w:val="en-GB"/>
        </w:rPr>
        <w:fldChar w:fldCharType="end"/>
      </w:r>
      <w:r w:rsidRPr="008B35E5">
        <w:rPr>
          <w:rFonts w:ascii="Arial" w:hAnsi="Arial" w:cs="Arial"/>
          <w:color w:val="1F1F1F"/>
          <w:lang w:val="en-GB"/>
        </w:rPr>
        <w:t xml:space="preserve">]. </w:t>
      </w:r>
      <w:r w:rsidRPr="008B35E5">
        <w:rPr>
          <w:rFonts w:ascii="Arial" w:hAnsi="Arial" w:cs="Arial"/>
          <w:color w:val="1F1F1F"/>
          <w:lang w:val="en-GB"/>
        </w:rPr>
        <w:t xml:space="preserve">Average data for truck and ship transport processes in Greece are retrieved from Ecoinvent </w:t>
      </w:r>
      <w:r w:rsidRPr="008B35E5">
        <w:rPr>
          <w:rFonts w:ascii="Arial" w:eastAsia="Times New Roman" w:hAnsi="Arial" w:cs="Arial"/>
          <w:color w:val="000000"/>
          <w:lang w:val="en-GB" w:eastAsia="en-GB"/>
        </w:rPr>
        <w:t>(2025)</w:t>
      </w:r>
      <w:r>
        <w:rPr>
          <w:rFonts w:ascii="Arial" w:eastAsia="Times New Roman" w:hAnsi="Arial" w:cs="Arial"/>
          <w:color w:val="000000"/>
          <w:lang w:val="en-GB" w:eastAsia="en-GB"/>
        </w:rPr>
        <w:t xml:space="preserve"> [</w:t>
      </w:r>
      <w:r>
        <w:rPr>
          <w:rFonts w:ascii="Arial" w:eastAsia="Times New Roman" w:hAnsi="Arial" w:cs="Arial"/>
          <w:color w:val="000000"/>
          <w:lang w:val="en-GB" w:eastAsia="en-GB"/>
        </w:rPr>
        <w:fldChar w:fldCharType="begin"/>
      </w:r>
      <w:r>
        <w:rPr>
          <w:rFonts w:ascii="Arial" w:eastAsia="Times New Roman" w:hAnsi="Arial" w:cs="Arial"/>
          <w:color w:val="000000"/>
          <w:lang w:val="en-GB" w:eastAsia="en-GB"/>
        </w:rPr>
        <w:instrText xml:space="preserve"> REF _Ref220851289 \r \h </w:instrText>
      </w:r>
      <w:r>
        <w:rPr>
          <w:rFonts w:ascii="Arial" w:eastAsia="Times New Roman" w:hAnsi="Arial" w:cs="Arial"/>
          <w:color w:val="000000"/>
          <w:lang w:val="en-GB" w:eastAsia="en-GB"/>
        </w:rPr>
      </w:r>
      <w:r>
        <w:rPr>
          <w:rFonts w:ascii="Arial" w:eastAsia="Times New Roman" w:hAnsi="Arial" w:cs="Arial"/>
          <w:color w:val="000000"/>
          <w:lang w:val="en-GB" w:eastAsia="en-GB"/>
        </w:rPr>
        <w:fldChar w:fldCharType="separate"/>
      </w:r>
      <w:r w:rsidR="00D515C8">
        <w:rPr>
          <w:rFonts w:ascii="Arial" w:eastAsia="Times New Roman" w:hAnsi="Arial" w:cs="Arial"/>
          <w:color w:val="000000"/>
          <w:lang w:val="en-GB" w:eastAsia="en-GB"/>
        </w:rPr>
        <w:t>23</w:t>
      </w:r>
      <w:r>
        <w:rPr>
          <w:rFonts w:ascii="Arial" w:eastAsia="Times New Roman" w:hAnsi="Arial" w:cs="Arial"/>
          <w:color w:val="000000"/>
          <w:lang w:val="en-GB" w:eastAsia="en-GB"/>
        </w:rPr>
        <w:fldChar w:fldCharType="end"/>
      </w:r>
      <w:r>
        <w:rPr>
          <w:rFonts w:ascii="Arial" w:eastAsia="Times New Roman" w:hAnsi="Arial" w:cs="Arial"/>
          <w:color w:val="000000"/>
          <w:lang w:val="en-GB" w:eastAsia="en-GB"/>
        </w:rPr>
        <w:t xml:space="preserve">]. </w:t>
      </w:r>
      <w:r w:rsidRPr="00DA2DE2">
        <w:rPr>
          <w:rFonts w:ascii="Arial" w:hAnsi="Arial" w:cs="Arial"/>
          <w:color w:val="1F1F1F"/>
          <w:lang w:val="en-GB"/>
        </w:rPr>
        <w:t>Costs are derived from cost databases of construction works in the country. Along with direct costs due to bridge restoration, indirect costs due to disruptions and vehicle detours are calculated as separate metrics. Costs are discounted annually at a rate of 2.8%, reflecting the average base rate in Greece</w:t>
      </w:r>
      <w:r>
        <w:rPr>
          <w:rFonts w:ascii="Arial" w:hAnsi="Arial" w:cs="Arial"/>
          <w:color w:val="1F1F1F"/>
          <w:lang w:val="en-GB"/>
        </w:rPr>
        <w:t xml:space="preserve"> [</w:t>
      </w:r>
      <w:r>
        <w:rPr>
          <w:rFonts w:ascii="Arial" w:hAnsi="Arial" w:cs="Arial"/>
          <w:color w:val="1F1F1F"/>
          <w:lang w:val="en-GB"/>
        </w:rPr>
        <w:fldChar w:fldCharType="begin"/>
      </w:r>
      <w:r>
        <w:rPr>
          <w:rFonts w:ascii="Arial" w:hAnsi="Arial" w:cs="Arial"/>
          <w:color w:val="1F1F1F"/>
          <w:lang w:val="en-GB"/>
        </w:rPr>
        <w:instrText xml:space="preserve"> REF _Ref220851315 \r \h </w:instrText>
      </w:r>
      <w:r>
        <w:rPr>
          <w:rFonts w:ascii="Arial" w:hAnsi="Arial" w:cs="Arial"/>
          <w:color w:val="1F1F1F"/>
          <w:lang w:val="en-GB"/>
        </w:rPr>
      </w:r>
      <w:r>
        <w:rPr>
          <w:rFonts w:ascii="Arial" w:hAnsi="Arial" w:cs="Arial"/>
          <w:color w:val="1F1F1F"/>
          <w:lang w:val="en-GB"/>
        </w:rPr>
        <w:fldChar w:fldCharType="separate"/>
      </w:r>
      <w:r w:rsidR="00D515C8">
        <w:rPr>
          <w:rFonts w:ascii="Arial" w:hAnsi="Arial" w:cs="Arial"/>
          <w:color w:val="1F1F1F"/>
          <w:lang w:val="en-GB"/>
        </w:rPr>
        <w:t>24</w:t>
      </w:r>
      <w:r>
        <w:rPr>
          <w:rFonts w:ascii="Arial" w:hAnsi="Arial" w:cs="Arial"/>
          <w:color w:val="1F1F1F"/>
          <w:lang w:val="en-GB"/>
        </w:rPr>
        <w:fldChar w:fldCharType="end"/>
      </w:r>
      <w:r>
        <w:rPr>
          <w:rFonts w:ascii="Arial" w:hAnsi="Arial" w:cs="Arial"/>
          <w:color w:val="1F1F1F"/>
          <w:lang w:val="en-GB"/>
        </w:rPr>
        <w:t xml:space="preserve">, </w:t>
      </w:r>
      <w:r>
        <w:rPr>
          <w:rFonts w:ascii="Arial" w:hAnsi="Arial" w:cs="Arial"/>
          <w:color w:val="1F1F1F"/>
          <w:lang w:val="en-GB"/>
        </w:rPr>
        <w:fldChar w:fldCharType="begin"/>
      </w:r>
      <w:r>
        <w:rPr>
          <w:rFonts w:ascii="Arial" w:hAnsi="Arial" w:cs="Arial"/>
          <w:color w:val="1F1F1F"/>
          <w:lang w:val="en-GB"/>
        </w:rPr>
        <w:instrText xml:space="preserve"> REF _Ref220851318 \r \h </w:instrText>
      </w:r>
      <w:r>
        <w:rPr>
          <w:rFonts w:ascii="Arial" w:hAnsi="Arial" w:cs="Arial"/>
          <w:color w:val="1F1F1F"/>
          <w:lang w:val="en-GB"/>
        </w:rPr>
      </w:r>
      <w:r>
        <w:rPr>
          <w:rFonts w:ascii="Arial" w:hAnsi="Arial" w:cs="Arial"/>
          <w:color w:val="1F1F1F"/>
          <w:lang w:val="en-GB"/>
        </w:rPr>
        <w:fldChar w:fldCharType="separate"/>
      </w:r>
      <w:r w:rsidR="00D515C8">
        <w:rPr>
          <w:rFonts w:ascii="Arial" w:hAnsi="Arial" w:cs="Arial"/>
          <w:color w:val="1F1F1F"/>
          <w:lang w:val="en-GB"/>
        </w:rPr>
        <w:t>25</w:t>
      </w:r>
      <w:r>
        <w:rPr>
          <w:rFonts w:ascii="Arial" w:hAnsi="Arial" w:cs="Arial"/>
          <w:color w:val="1F1F1F"/>
          <w:lang w:val="en-GB"/>
        </w:rPr>
        <w:fldChar w:fldCharType="end"/>
      </w:r>
      <w:r>
        <w:rPr>
          <w:rFonts w:ascii="Arial" w:hAnsi="Arial" w:cs="Arial"/>
          <w:color w:val="1F1F1F"/>
          <w:lang w:val="en-GB"/>
        </w:rPr>
        <w:t>]</w:t>
      </w:r>
      <w:r w:rsidRPr="00DA2DE2">
        <w:rPr>
          <w:rFonts w:ascii="Arial" w:hAnsi="Arial" w:cs="Arial"/>
          <w:color w:val="1F1F1F"/>
          <w:lang w:val="en-GB"/>
        </w:rPr>
        <w:t xml:space="preserve"> over the last two years (January 2023 to September 2025). </w:t>
      </w:r>
      <w:r w:rsidRPr="008B35E5">
        <w:rPr>
          <w:rFonts w:ascii="Arial" w:hAnsi="Arial" w:cs="Arial"/>
          <w:color w:val="1F1F1F"/>
          <w:lang w:val="en-GB"/>
        </w:rPr>
        <w:t xml:space="preserve">Supplementary </w:t>
      </w:r>
      <w:r>
        <w:rPr>
          <w:rFonts w:ascii="Arial" w:hAnsi="Arial" w:cs="Arial"/>
          <w:color w:val="1F1F1F"/>
          <w:lang w:val="en-GB"/>
        </w:rPr>
        <w:t>T</w:t>
      </w:r>
      <w:r w:rsidRPr="00DA2DE2">
        <w:rPr>
          <w:rFonts w:ascii="Arial" w:hAnsi="Arial" w:cs="Arial"/>
          <w:color w:val="1F1F1F"/>
          <w:lang w:val="en-GB"/>
        </w:rPr>
        <w:t xml:space="preserve">able </w:t>
      </w:r>
      <w:r>
        <w:rPr>
          <w:rFonts w:ascii="Arial" w:hAnsi="Arial" w:cs="Arial"/>
          <w:color w:val="1F1F1F"/>
          <w:lang w:val="en-GB"/>
        </w:rPr>
        <w:t>8</w:t>
      </w:r>
      <w:r w:rsidRPr="00DA2DE2">
        <w:rPr>
          <w:rFonts w:ascii="Arial" w:hAnsi="Arial" w:cs="Arial"/>
          <w:color w:val="1F1F1F"/>
          <w:lang w:val="en-GB"/>
        </w:rPr>
        <w:t xml:space="preserve"> summarizes the case-specific system boundaries, impact categories, data sources, and economic assumptions adopted in the analysis.</w:t>
      </w:r>
    </w:p>
    <w:p w14:paraId="3B0B7418" w14:textId="6F22554B" w:rsidR="008B35E5" w:rsidRPr="00A913F6" w:rsidRDefault="008B35E5" w:rsidP="008B35E5">
      <w:pPr>
        <w:jc w:val="both"/>
        <w:rPr>
          <w:rFonts w:ascii="Arial" w:hAnsi="Arial" w:cs="Arial"/>
          <w:b/>
          <w:bCs/>
          <w:color w:val="1F1F1F"/>
          <w:sz w:val="20"/>
          <w:szCs w:val="20"/>
          <w:lang w:val="en-GB"/>
        </w:rPr>
      </w:pPr>
      <w:r w:rsidRPr="00A913F6">
        <w:rPr>
          <w:rFonts w:ascii="Arial" w:eastAsia="Times New Roman" w:hAnsi="Arial" w:cs="Arial"/>
          <w:b/>
          <w:bCs/>
          <w:sz w:val="20"/>
          <w:szCs w:val="20"/>
          <w:lang w:val="en-GB"/>
        </w:rPr>
        <w:t xml:space="preserve">Supplementary Table </w:t>
      </w:r>
      <w:r w:rsidRPr="00A913F6">
        <w:rPr>
          <w:rFonts w:ascii="Arial" w:eastAsia="Times New Roman" w:hAnsi="Arial" w:cs="Arial"/>
          <w:b/>
          <w:bCs/>
          <w:sz w:val="20"/>
          <w:szCs w:val="20"/>
          <w:lang w:val="en-GB"/>
        </w:rPr>
        <w:t xml:space="preserve">8. </w:t>
      </w:r>
      <w:r w:rsidRPr="00A913F6">
        <w:rPr>
          <w:rFonts w:ascii="Arial" w:hAnsi="Arial" w:cs="Arial"/>
          <w:color w:val="1F1F1F"/>
          <w:sz w:val="20"/>
          <w:szCs w:val="20"/>
          <w:lang w:val="en-GB"/>
        </w:rPr>
        <w:t>LCA and LCC goal, scope and system boundaries</w:t>
      </w:r>
    </w:p>
    <w:tbl>
      <w:tblPr>
        <w:tblStyle w:val="TableGrid"/>
        <w:tblW w:w="0" w:type="auto"/>
        <w:jc w:val="center"/>
        <w:tblLook w:val="04A0" w:firstRow="1" w:lastRow="0" w:firstColumn="1" w:lastColumn="0" w:noHBand="0" w:noVBand="1"/>
      </w:tblPr>
      <w:tblGrid>
        <w:gridCol w:w="2692"/>
        <w:gridCol w:w="2834"/>
        <w:gridCol w:w="4102"/>
      </w:tblGrid>
      <w:tr w:rsidR="008B35E5" w:rsidRPr="00DA2DE2" w14:paraId="64B67F87" w14:textId="77777777" w:rsidTr="008B35E5">
        <w:trPr>
          <w:jc w:val="center"/>
        </w:trPr>
        <w:tc>
          <w:tcPr>
            <w:tcW w:w="2692" w:type="dxa"/>
          </w:tcPr>
          <w:p w14:paraId="38843441" w14:textId="77777777" w:rsidR="008B35E5" w:rsidRPr="00DA2DE2" w:rsidRDefault="008B35E5" w:rsidP="001B359D">
            <w:pPr>
              <w:rPr>
                <w:rFonts w:ascii="Arial" w:hAnsi="Arial" w:cs="Arial"/>
                <w:color w:val="1F1F1F"/>
                <w:sz w:val="20"/>
                <w:szCs w:val="20"/>
                <w:lang w:val="en-GB"/>
              </w:rPr>
            </w:pPr>
          </w:p>
        </w:tc>
        <w:tc>
          <w:tcPr>
            <w:tcW w:w="2834" w:type="dxa"/>
          </w:tcPr>
          <w:p w14:paraId="42D57C6D" w14:textId="77777777" w:rsidR="008B35E5" w:rsidRPr="00DA2DE2" w:rsidRDefault="008B35E5" w:rsidP="001B359D">
            <w:pPr>
              <w:rPr>
                <w:rFonts w:ascii="Arial" w:hAnsi="Arial" w:cs="Arial"/>
                <w:b/>
                <w:bCs/>
                <w:color w:val="1F1F1F"/>
                <w:sz w:val="20"/>
                <w:szCs w:val="20"/>
                <w:lang w:val="en-GB"/>
              </w:rPr>
            </w:pPr>
            <w:r w:rsidRPr="00DA2DE2">
              <w:rPr>
                <w:rFonts w:ascii="Arial" w:hAnsi="Arial" w:cs="Arial"/>
                <w:b/>
                <w:bCs/>
                <w:color w:val="1F1F1F"/>
                <w:sz w:val="20"/>
                <w:szCs w:val="20"/>
                <w:lang w:val="en-GB"/>
              </w:rPr>
              <w:t>Direct impacts</w:t>
            </w:r>
          </w:p>
        </w:tc>
        <w:tc>
          <w:tcPr>
            <w:tcW w:w="4102" w:type="dxa"/>
          </w:tcPr>
          <w:p w14:paraId="13134122" w14:textId="77777777" w:rsidR="008B35E5" w:rsidRPr="00DA2DE2" w:rsidRDefault="008B35E5" w:rsidP="001B359D">
            <w:pPr>
              <w:rPr>
                <w:rFonts w:ascii="Arial" w:hAnsi="Arial" w:cs="Arial"/>
                <w:b/>
                <w:bCs/>
                <w:color w:val="1F1F1F"/>
                <w:sz w:val="20"/>
                <w:szCs w:val="20"/>
                <w:lang w:val="en-GB"/>
              </w:rPr>
            </w:pPr>
            <w:r w:rsidRPr="00DA2DE2">
              <w:rPr>
                <w:rFonts w:ascii="Arial" w:hAnsi="Arial" w:cs="Arial"/>
                <w:b/>
                <w:bCs/>
                <w:color w:val="1F1F1F"/>
                <w:sz w:val="20"/>
                <w:szCs w:val="20"/>
                <w:lang w:val="en-GB"/>
              </w:rPr>
              <w:t>Indirect impacts</w:t>
            </w:r>
          </w:p>
        </w:tc>
      </w:tr>
      <w:tr w:rsidR="008B35E5" w:rsidRPr="001B359D" w14:paraId="0DB1D52F" w14:textId="77777777" w:rsidTr="008B35E5">
        <w:trPr>
          <w:jc w:val="center"/>
        </w:trPr>
        <w:tc>
          <w:tcPr>
            <w:tcW w:w="2692" w:type="dxa"/>
          </w:tcPr>
          <w:p w14:paraId="48475780"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Goal of the analysis</w:t>
            </w:r>
          </w:p>
        </w:tc>
        <w:tc>
          <w:tcPr>
            <w:tcW w:w="6936" w:type="dxa"/>
            <w:gridSpan w:val="2"/>
          </w:tcPr>
          <w:p w14:paraId="73F4B432" w14:textId="77777777" w:rsidR="008B35E5" w:rsidRPr="001B359D" w:rsidRDefault="008B35E5" w:rsidP="001B359D">
            <w:pPr>
              <w:rPr>
                <w:rFonts w:ascii="Arial" w:hAnsi="Arial" w:cs="Arial"/>
                <w:b/>
                <w:bCs/>
                <w:color w:val="1F1F1F"/>
                <w:sz w:val="20"/>
                <w:szCs w:val="20"/>
                <w:lang w:val="en-GB"/>
              </w:rPr>
            </w:pPr>
            <w:r w:rsidRPr="006832E9">
              <w:rPr>
                <w:rFonts w:ascii="Arial" w:hAnsi="Arial" w:cs="Arial"/>
                <w:color w:val="1F1F1F"/>
                <w:sz w:val="20"/>
                <w:szCs w:val="20"/>
                <w:lang w:val="en-GB"/>
              </w:rPr>
              <w:t>Assessment of environmental impacts,</w:t>
            </w:r>
            <w:r>
              <w:rPr>
                <w:rFonts w:ascii="Arial" w:hAnsi="Arial" w:cs="Arial"/>
                <w:color w:val="1F1F1F"/>
                <w:sz w:val="20"/>
                <w:szCs w:val="20"/>
                <w:lang w:val="en-GB"/>
              </w:rPr>
              <w:t xml:space="preserve"> </w:t>
            </w:r>
            <w:r w:rsidRPr="006832E9">
              <w:rPr>
                <w:rFonts w:ascii="Arial" w:hAnsi="Arial" w:cs="Arial"/>
                <w:color w:val="1F1F1F"/>
                <w:sz w:val="20"/>
                <w:szCs w:val="20"/>
                <w:lang w:val="en-GB"/>
              </w:rPr>
              <w:t>direct and indirect costs due to structural interventions</w:t>
            </w:r>
          </w:p>
        </w:tc>
      </w:tr>
      <w:tr w:rsidR="008B35E5" w:rsidRPr="00DA2DE2" w14:paraId="201A2EB4" w14:textId="77777777" w:rsidTr="008B35E5">
        <w:trPr>
          <w:jc w:val="center"/>
        </w:trPr>
        <w:tc>
          <w:tcPr>
            <w:tcW w:w="2692" w:type="dxa"/>
          </w:tcPr>
          <w:p w14:paraId="7A4C18A7"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System definition</w:t>
            </w:r>
          </w:p>
        </w:tc>
        <w:tc>
          <w:tcPr>
            <w:tcW w:w="2834" w:type="dxa"/>
          </w:tcPr>
          <w:p w14:paraId="545AC1CB"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Bridge after intervention</w:t>
            </w:r>
          </w:p>
        </w:tc>
        <w:tc>
          <w:tcPr>
            <w:tcW w:w="4102" w:type="dxa"/>
          </w:tcPr>
          <w:p w14:paraId="38C95DA4"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Vehicle detours on transport networks</w:t>
            </w:r>
          </w:p>
        </w:tc>
      </w:tr>
      <w:tr w:rsidR="008B35E5" w:rsidRPr="00DA2DE2" w14:paraId="41C9220C" w14:textId="77777777" w:rsidTr="008B35E5">
        <w:trPr>
          <w:jc w:val="center"/>
        </w:trPr>
        <w:tc>
          <w:tcPr>
            <w:tcW w:w="2692" w:type="dxa"/>
          </w:tcPr>
          <w:p w14:paraId="277E65DE"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Start of the analysis (y=1)</w:t>
            </w:r>
          </w:p>
        </w:tc>
        <w:tc>
          <w:tcPr>
            <w:tcW w:w="2834" w:type="dxa"/>
          </w:tcPr>
          <w:p w14:paraId="3716AB26"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2025</w:t>
            </w:r>
          </w:p>
        </w:tc>
        <w:tc>
          <w:tcPr>
            <w:tcW w:w="4102" w:type="dxa"/>
          </w:tcPr>
          <w:p w14:paraId="7BB09ECD"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2025</w:t>
            </w:r>
          </w:p>
        </w:tc>
      </w:tr>
      <w:tr w:rsidR="008B35E5" w:rsidRPr="00DA2DE2" w14:paraId="4F43D08A" w14:textId="77777777" w:rsidTr="008B35E5">
        <w:trPr>
          <w:jc w:val="center"/>
        </w:trPr>
        <w:tc>
          <w:tcPr>
            <w:tcW w:w="2692" w:type="dxa"/>
          </w:tcPr>
          <w:p w14:paraId="5C2BFEB3"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System boundaries</w:t>
            </w:r>
          </w:p>
        </w:tc>
        <w:tc>
          <w:tcPr>
            <w:tcW w:w="2834" w:type="dxa"/>
          </w:tcPr>
          <w:p w14:paraId="1ED6F8CA"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A1-A3; A5; C1-C4</w:t>
            </w:r>
          </w:p>
        </w:tc>
        <w:tc>
          <w:tcPr>
            <w:tcW w:w="4102" w:type="dxa"/>
          </w:tcPr>
          <w:p w14:paraId="3813161B"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A1-A3; A5; C1-C4</w:t>
            </w:r>
          </w:p>
        </w:tc>
      </w:tr>
      <w:tr w:rsidR="008B35E5" w:rsidRPr="00DA2DE2" w14:paraId="64E26C33" w14:textId="77777777" w:rsidTr="008B35E5">
        <w:trPr>
          <w:jc w:val="center"/>
        </w:trPr>
        <w:tc>
          <w:tcPr>
            <w:tcW w:w="2692" w:type="dxa"/>
          </w:tcPr>
          <w:p w14:paraId="77A429F4"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Impact categories</w:t>
            </w:r>
          </w:p>
        </w:tc>
        <w:tc>
          <w:tcPr>
            <w:tcW w:w="2834" w:type="dxa"/>
          </w:tcPr>
          <w:p w14:paraId="6FEA5E17"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GWP, WDP, ADPF, ADPM</w:t>
            </w:r>
            <w:r>
              <w:rPr>
                <w:rFonts w:ascii="Arial" w:hAnsi="Arial" w:cs="Arial"/>
                <w:color w:val="1F1F1F"/>
                <w:sz w:val="20"/>
                <w:szCs w:val="20"/>
                <w:lang w:val="en-GB"/>
              </w:rPr>
              <w:t xml:space="preserve"> (LCA); NPV (LCC)</w:t>
            </w:r>
          </w:p>
        </w:tc>
        <w:tc>
          <w:tcPr>
            <w:tcW w:w="4102" w:type="dxa"/>
          </w:tcPr>
          <w:p w14:paraId="0D287A24" w14:textId="77777777" w:rsidR="008B35E5" w:rsidRPr="00DA2DE2" w:rsidRDefault="008B35E5" w:rsidP="001B359D">
            <w:pPr>
              <w:rPr>
                <w:rFonts w:ascii="Arial" w:hAnsi="Arial" w:cs="Arial"/>
                <w:color w:val="1F1F1F"/>
                <w:sz w:val="20"/>
                <w:szCs w:val="20"/>
                <w:lang w:val="en-GB"/>
              </w:rPr>
            </w:pPr>
            <w:r w:rsidRPr="00DA2DE2">
              <w:rPr>
                <w:rFonts w:ascii="Arial" w:hAnsi="Arial" w:cs="Arial"/>
                <w:color w:val="1F1F1F"/>
                <w:sz w:val="20"/>
                <w:szCs w:val="20"/>
                <w:lang w:val="en-GB"/>
              </w:rPr>
              <w:t>NPV</w:t>
            </w:r>
            <w:r>
              <w:rPr>
                <w:rFonts w:ascii="Arial" w:hAnsi="Arial" w:cs="Arial"/>
                <w:color w:val="1F1F1F"/>
                <w:sz w:val="20"/>
                <w:szCs w:val="20"/>
                <w:lang w:val="en-GB"/>
              </w:rPr>
              <w:t>(LCC)</w:t>
            </w:r>
          </w:p>
        </w:tc>
      </w:tr>
      <w:tr w:rsidR="008B35E5" w:rsidRPr="00DA2DE2" w14:paraId="109EF0C0" w14:textId="77777777" w:rsidTr="008B35E5">
        <w:trPr>
          <w:jc w:val="center"/>
        </w:trPr>
        <w:tc>
          <w:tcPr>
            <w:tcW w:w="2692" w:type="dxa"/>
          </w:tcPr>
          <w:p w14:paraId="5D5DD869"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Functional unit</w:t>
            </w:r>
          </w:p>
        </w:tc>
        <w:tc>
          <w:tcPr>
            <w:tcW w:w="2834" w:type="dxa"/>
          </w:tcPr>
          <w:p w14:paraId="744425F5" w14:textId="77777777" w:rsidR="008B35E5" w:rsidRPr="00DA2DE2" w:rsidRDefault="008B35E5" w:rsidP="001B359D">
            <w:pPr>
              <w:keepNext/>
              <w:rPr>
                <w:rFonts w:ascii="Arial" w:hAnsi="Arial" w:cs="Arial"/>
                <w:color w:val="1F1F1F"/>
                <w:sz w:val="20"/>
                <w:szCs w:val="20"/>
                <w:lang w:val="en-GB"/>
              </w:rPr>
            </w:pPr>
            <w:r w:rsidRPr="00DA2DE2">
              <w:rPr>
                <w:rFonts w:ascii="Arial" w:hAnsi="Arial" w:cs="Arial"/>
                <w:color w:val="1F1F1F"/>
                <w:sz w:val="20"/>
                <w:szCs w:val="20"/>
                <w:lang w:val="en-GB"/>
              </w:rPr>
              <w:t>km</w:t>
            </w:r>
          </w:p>
        </w:tc>
        <w:tc>
          <w:tcPr>
            <w:tcW w:w="4102" w:type="dxa"/>
          </w:tcPr>
          <w:p w14:paraId="757124D5" w14:textId="77777777" w:rsidR="008B35E5" w:rsidRPr="00DA2DE2" w:rsidRDefault="008B35E5" w:rsidP="001B359D">
            <w:pPr>
              <w:keepNext/>
              <w:rPr>
                <w:rFonts w:ascii="Arial" w:hAnsi="Arial" w:cs="Arial"/>
                <w:color w:val="1F1F1F"/>
                <w:sz w:val="20"/>
                <w:szCs w:val="20"/>
                <w:lang w:val="en-GB"/>
              </w:rPr>
            </w:pPr>
            <w:r>
              <w:rPr>
                <w:rFonts w:ascii="Arial" w:hAnsi="Arial" w:cs="Arial"/>
                <w:color w:val="1F1F1F"/>
                <w:sz w:val="20"/>
                <w:szCs w:val="20"/>
                <w:lang w:val="en-GB"/>
              </w:rPr>
              <w:t>k</w:t>
            </w:r>
            <w:r w:rsidRPr="00DA2DE2">
              <w:rPr>
                <w:rFonts w:ascii="Arial" w:hAnsi="Arial" w:cs="Arial"/>
                <w:color w:val="1F1F1F"/>
                <w:sz w:val="20"/>
                <w:szCs w:val="20"/>
                <w:lang w:val="en-GB"/>
              </w:rPr>
              <w:t>m</w:t>
            </w:r>
          </w:p>
        </w:tc>
      </w:tr>
      <w:tr w:rsidR="008B35E5" w:rsidRPr="00DA2DE2" w14:paraId="42FDA77C" w14:textId="77777777" w:rsidTr="008B35E5">
        <w:trPr>
          <w:jc w:val="center"/>
        </w:trPr>
        <w:tc>
          <w:tcPr>
            <w:tcW w:w="2692" w:type="dxa"/>
          </w:tcPr>
          <w:p w14:paraId="3C86A27C"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Data sources</w:t>
            </w:r>
          </w:p>
        </w:tc>
        <w:tc>
          <w:tcPr>
            <w:tcW w:w="2834" w:type="dxa"/>
          </w:tcPr>
          <w:p w14:paraId="14143362" w14:textId="4B6844D8" w:rsidR="008B35E5" w:rsidRPr="00DA2DE2" w:rsidRDefault="008B35E5" w:rsidP="001B359D">
            <w:pPr>
              <w:keepNext/>
              <w:rPr>
                <w:rFonts w:ascii="Arial" w:hAnsi="Arial" w:cs="Arial"/>
                <w:color w:val="1F1F1F"/>
                <w:sz w:val="20"/>
                <w:szCs w:val="20"/>
                <w:lang w:val="en-GB"/>
              </w:rPr>
            </w:pPr>
            <w:r w:rsidRPr="009D4FFE">
              <w:rPr>
                <w:rFonts w:ascii="Arial" w:hAnsi="Arial" w:cs="Arial"/>
                <w:color w:val="1F1F1F"/>
                <w:sz w:val="20"/>
                <w:szCs w:val="20"/>
                <w:lang w:val="en-GB"/>
              </w:rPr>
              <w:t>[</w:t>
            </w:r>
            <w:r w:rsidR="009D4FFE" w:rsidRPr="009D4FFE">
              <w:rPr>
                <w:rFonts w:ascii="Arial" w:hAnsi="Arial" w:cs="Arial"/>
                <w:color w:val="1F1F1F"/>
                <w:sz w:val="20"/>
                <w:szCs w:val="20"/>
                <w:lang w:val="en-GB"/>
              </w:rPr>
              <w:fldChar w:fldCharType="begin"/>
            </w:r>
            <w:r w:rsidR="009D4FFE" w:rsidRPr="009D4FFE">
              <w:rPr>
                <w:rFonts w:ascii="Arial" w:hAnsi="Arial" w:cs="Arial"/>
                <w:color w:val="1F1F1F"/>
                <w:sz w:val="20"/>
                <w:szCs w:val="20"/>
                <w:lang w:val="en-GB"/>
              </w:rPr>
              <w:instrText xml:space="preserve"> REF _Ref220851222 \r \h </w:instrText>
            </w:r>
            <w:r w:rsidR="009D4FFE" w:rsidRPr="009D4FFE">
              <w:rPr>
                <w:rFonts w:ascii="Arial" w:hAnsi="Arial" w:cs="Arial"/>
                <w:color w:val="1F1F1F"/>
                <w:sz w:val="20"/>
                <w:szCs w:val="20"/>
                <w:lang w:val="en-GB"/>
              </w:rPr>
            </w:r>
            <w:r w:rsidR="009D4FFE">
              <w:rPr>
                <w:rFonts w:ascii="Arial" w:hAnsi="Arial" w:cs="Arial"/>
                <w:color w:val="1F1F1F"/>
                <w:sz w:val="20"/>
                <w:szCs w:val="20"/>
                <w:lang w:val="en-GB"/>
              </w:rPr>
              <w:instrText xml:space="preserve"> \* MERGEFORMAT </w:instrText>
            </w:r>
            <w:r w:rsidR="009D4FFE" w:rsidRPr="009D4FFE">
              <w:rPr>
                <w:rFonts w:ascii="Arial" w:hAnsi="Arial" w:cs="Arial"/>
                <w:color w:val="1F1F1F"/>
                <w:sz w:val="20"/>
                <w:szCs w:val="20"/>
                <w:lang w:val="en-GB"/>
              </w:rPr>
              <w:fldChar w:fldCharType="separate"/>
            </w:r>
            <w:r w:rsidR="00D515C8">
              <w:rPr>
                <w:rFonts w:ascii="Arial" w:hAnsi="Arial" w:cs="Arial"/>
                <w:color w:val="1F1F1F"/>
                <w:sz w:val="20"/>
                <w:szCs w:val="20"/>
                <w:lang w:val="en-GB"/>
              </w:rPr>
              <w:t>22</w:t>
            </w:r>
            <w:r w:rsidR="009D4FFE" w:rsidRPr="009D4FFE">
              <w:rPr>
                <w:rFonts w:ascii="Arial" w:hAnsi="Arial" w:cs="Arial"/>
                <w:color w:val="1F1F1F"/>
                <w:sz w:val="20"/>
                <w:szCs w:val="20"/>
                <w:lang w:val="en-GB"/>
              </w:rPr>
              <w:fldChar w:fldCharType="end"/>
            </w:r>
            <w:r w:rsidR="009D4FFE" w:rsidRPr="009D4FFE">
              <w:rPr>
                <w:rFonts w:ascii="Arial" w:hAnsi="Arial" w:cs="Arial"/>
                <w:color w:val="1F1F1F"/>
                <w:sz w:val="20"/>
                <w:szCs w:val="20"/>
                <w:lang w:val="en-GB"/>
              </w:rPr>
              <w:t xml:space="preserve">, </w:t>
            </w:r>
            <w:r w:rsidR="009D4FFE" w:rsidRPr="009D4FFE">
              <w:rPr>
                <w:rFonts w:ascii="Arial" w:hAnsi="Arial" w:cs="Arial"/>
                <w:color w:val="1F1F1F"/>
                <w:sz w:val="20"/>
                <w:szCs w:val="20"/>
                <w:lang w:val="en-GB"/>
              </w:rPr>
              <w:fldChar w:fldCharType="begin"/>
            </w:r>
            <w:r w:rsidR="009D4FFE" w:rsidRPr="009D4FFE">
              <w:rPr>
                <w:rFonts w:ascii="Arial" w:hAnsi="Arial" w:cs="Arial"/>
                <w:color w:val="1F1F1F"/>
                <w:sz w:val="20"/>
                <w:szCs w:val="20"/>
                <w:lang w:val="en-GB"/>
              </w:rPr>
              <w:instrText xml:space="preserve"> REF _Ref220851289 \r \h </w:instrText>
            </w:r>
            <w:r w:rsidR="009D4FFE" w:rsidRPr="009D4FFE">
              <w:rPr>
                <w:rFonts w:ascii="Arial" w:hAnsi="Arial" w:cs="Arial"/>
                <w:color w:val="1F1F1F"/>
                <w:sz w:val="20"/>
                <w:szCs w:val="20"/>
                <w:lang w:val="en-GB"/>
              </w:rPr>
            </w:r>
            <w:r w:rsidR="009D4FFE">
              <w:rPr>
                <w:rFonts w:ascii="Arial" w:hAnsi="Arial" w:cs="Arial"/>
                <w:color w:val="1F1F1F"/>
                <w:sz w:val="20"/>
                <w:szCs w:val="20"/>
                <w:lang w:val="en-GB"/>
              </w:rPr>
              <w:instrText xml:space="preserve"> \* MERGEFORMAT </w:instrText>
            </w:r>
            <w:r w:rsidR="009D4FFE" w:rsidRPr="009D4FFE">
              <w:rPr>
                <w:rFonts w:ascii="Arial" w:hAnsi="Arial" w:cs="Arial"/>
                <w:color w:val="1F1F1F"/>
                <w:sz w:val="20"/>
                <w:szCs w:val="20"/>
                <w:lang w:val="en-GB"/>
              </w:rPr>
              <w:fldChar w:fldCharType="separate"/>
            </w:r>
            <w:r w:rsidR="00D515C8">
              <w:rPr>
                <w:rFonts w:ascii="Arial" w:hAnsi="Arial" w:cs="Arial"/>
                <w:color w:val="1F1F1F"/>
                <w:sz w:val="20"/>
                <w:szCs w:val="20"/>
                <w:lang w:val="en-GB"/>
              </w:rPr>
              <w:t>23</w:t>
            </w:r>
            <w:r w:rsidR="009D4FFE" w:rsidRPr="009D4FFE">
              <w:rPr>
                <w:rFonts w:ascii="Arial" w:hAnsi="Arial" w:cs="Arial"/>
                <w:color w:val="1F1F1F"/>
                <w:sz w:val="20"/>
                <w:szCs w:val="20"/>
                <w:lang w:val="en-GB"/>
              </w:rPr>
              <w:fldChar w:fldCharType="end"/>
            </w:r>
            <w:r w:rsidRPr="009D4FFE">
              <w:rPr>
                <w:rFonts w:ascii="Arial" w:hAnsi="Arial" w:cs="Arial"/>
                <w:color w:val="1F1F1F"/>
                <w:sz w:val="20"/>
                <w:szCs w:val="20"/>
                <w:lang w:val="en-GB"/>
              </w:rPr>
              <w:t>]</w:t>
            </w:r>
          </w:p>
        </w:tc>
        <w:tc>
          <w:tcPr>
            <w:tcW w:w="4102" w:type="dxa"/>
          </w:tcPr>
          <w:p w14:paraId="66040340" w14:textId="77777777" w:rsidR="008B35E5" w:rsidRPr="00DA2DE2" w:rsidRDefault="008B35E5" w:rsidP="001B359D">
            <w:pPr>
              <w:keepNext/>
              <w:rPr>
                <w:rFonts w:ascii="Arial" w:hAnsi="Arial" w:cs="Arial"/>
                <w:color w:val="1F1F1F"/>
                <w:sz w:val="20"/>
                <w:szCs w:val="20"/>
                <w:lang w:val="en-GB"/>
              </w:rPr>
            </w:pPr>
            <w:r w:rsidRPr="00DA2DE2">
              <w:rPr>
                <w:rFonts w:ascii="Arial" w:hAnsi="Arial" w:cs="Arial"/>
                <w:color w:val="1F1F1F"/>
                <w:sz w:val="20"/>
                <w:szCs w:val="20"/>
                <w:lang w:val="en-GB"/>
              </w:rPr>
              <w:t>Construction costs databases</w:t>
            </w:r>
            <w:r>
              <w:rPr>
                <w:rFonts w:ascii="Arial" w:hAnsi="Arial" w:cs="Arial"/>
                <w:color w:val="1F1F1F"/>
                <w:sz w:val="20"/>
                <w:szCs w:val="20"/>
                <w:lang w:val="en-GB"/>
              </w:rPr>
              <w:t xml:space="preserve"> (Supplementary Note 4)</w:t>
            </w:r>
          </w:p>
        </w:tc>
      </w:tr>
      <w:tr w:rsidR="008B35E5" w:rsidRPr="00DA2DE2" w14:paraId="62B22A15" w14:textId="77777777" w:rsidTr="008B35E5">
        <w:trPr>
          <w:jc w:val="center"/>
        </w:trPr>
        <w:tc>
          <w:tcPr>
            <w:tcW w:w="2692" w:type="dxa"/>
          </w:tcPr>
          <w:p w14:paraId="180F15D8" w14:textId="77777777" w:rsidR="008B35E5" w:rsidRPr="001B359D" w:rsidRDefault="008B35E5" w:rsidP="001B359D">
            <w:pPr>
              <w:jc w:val="both"/>
              <w:rPr>
                <w:rFonts w:ascii="Arial" w:hAnsi="Arial" w:cs="Arial"/>
                <w:color w:val="1F1F1F"/>
                <w:sz w:val="20"/>
                <w:szCs w:val="20"/>
                <w:lang w:val="en-GB"/>
              </w:rPr>
            </w:pPr>
            <w:r w:rsidRPr="001B359D">
              <w:rPr>
                <w:rFonts w:ascii="Arial" w:hAnsi="Arial" w:cs="Arial"/>
                <w:color w:val="1F1F1F"/>
                <w:sz w:val="20"/>
                <w:szCs w:val="20"/>
                <w:lang w:val="en-GB"/>
              </w:rPr>
              <w:t>Discounting</w:t>
            </w:r>
          </w:p>
        </w:tc>
        <w:tc>
          <w:tcPr>
            <w:tcW w:w="2834" w:type="dxa"/>
          </w:tcPr>
          <w:p w14:paraId="15C5B220" w14:textId="77777777" w:rsidR="008B35E5" w:rsidRPr="00DA2DE2" w:rsidRDefault="008B35E5" w:rsidP="001B359D">
            <w:pPr>
              <w:keepNext/>
              <w:rPr>
                <w:rFonts w:ascii="Arial" w:hAnsi="Arial" w:cs="Arial"/>
                <w:color w:val="1F1F1F"/>
                <w:sz w:val="20"/>
                <w:szCs w:val="20"/>
                <w:lang w:val="en-GB"/>
              </w:rPr>
            </w:pPr>
            <w:proofErr w:type="spellStart"/>
            <w:r w:rsidRPr="00DA2DE2">
              <w:rPr>
                <w:rFonts w:ascii="Arial" w:hAnsi="Arial" w:cs="Arial"/>
                <w:color w:val="1F1F1F"/>
                <w:sz w:val="20"/>
                <w:szCs w:val="20"/>
                <w:lang w:val="en-GB"/>
              </w:rPr>
              <w:t>n.a.</w:t>
            </w:r>
            <w:proofErr w:type="spellEnd"/>
          </w:p>
        </w:tc>
        <w:tc>
          <w:tcPr>
            <w:tcW w:w="4102" w:type="dxa"/>
          </w:tcPr>
          <w:p w14:paraId="5C4F2102" w14:textId="77777777" w:rsidR="008B35E5" w:rsidRPr="00DA2DE2" w:rsidRDefault="008B35E5" w:rsidP="001B359D">
            <w:pPr>
              <w:keepNext/>
              <w:rPr>
                <w:rFonts w:ascii="Arial" w:hAnsi="Arial" w:cs="Arial"/>
                <w:color w:val="1F1F1F"/>
                <w:sz w:val="20"/>
                <w:szCs w:val="20"/>
                <w:lang w:val="en-GB"/>
              </w:rPr>
            </w:pPr>
            <w:r w:rsidRPr="00DA2DE2">
              <w:rPr>
                <w:rFonts w:ascii="Arial" w:hAnsi="Arial" w:cs="Arial"/>
                <w:color w:val="1F1F1F"/>
                <w:sz w:val="20"/>
                <w:szCs w:val="20"/>
                <w:lang w:val="en-GB"/>
              </w:rPr>
              <w:t>2.8%</w:t>
            </w:r>
          </w:p>
        </w:tc>
      </w:tr>
    </w:tbl>
    <w:p w14:paraId="68055818" w14:textId="77777777" w:rsidR="008B35E5" w:rsidRDefault="008B35E5" w:rsidP="008B35E5">
      <w:pPr>
        <w:jc w:val="both"/>
        <w:rPr>
          <w:rFonts w:ascii="Arial" w:hAnsi="Arial" w:cs="Arial"/>
          <w:color w:val="1F1F1F"/>
          <w:lang w:val="en-GB"/>
        </w:rPr>
      </w:pPr>
    </w:p>
    <w:p w14:paraId="30118336" w14:textId="77777777" w:rsidR="008B35E5" w:rsidRPr="00DA2DE2" w:rsidRDefault="008B35E5" w:rsidP="008B35E5">
      <w:pPr>
        <w:jc w:val="both"/>
        <w:rPr>
          <w:rFonts w:ascii="Arial" w:hAnsi="Arial" w:cs="Arial"/>
          <w:color w:val="1F1F1F"/>
          <w:lang w:val="en-GB"/>
        </w:rPr>
      </w:pPr>
      <w:proofErr w:type="gramStart"/>
      <w:r>
        <w:rPr>
          <w:rFonts w:ascii="Arial" w:hAnsi="Arial" w:cs="Arial"/>
          <w:color w:val="1F1F1F"/>
          <w:lang w:val="en-GB"/>
        </w:rPr>
        <w:t>In regard to</w:t>
      </w:r>
      <w:proofErr w:type="gramEnd"/>
      <w:r>
        <w:rPr>
          <w:rFonts w:ascii="Arial" w:hAnsi="Arial" w:cs="Arial"/>
          <w:color w:val="1F1F1F"/>
          <w:lang w:val="en-GB"/>
        </w:rPr>
        <w:t xml:space="preserve"> life cycle inventory (LCI) and impact assessment, f</w:t>
      </w:r>
      <w:r w:rsidRPr="00DA2DE2">
        <w:rPr>
          <w:rFonts w:ascii="Arial" w:hAnsi="Arial" w:cs="Arial"/>
          <w:color w:val="1F1F1F"/>
          <w:lang w:val="en-GB"/>
        </w:rPr>
        <w:t>or each retrofit scenario, a detailed bill of materials is compiled to quantify material production and end-of-life contributions associated with life</w:t>
      </w:r>
      <w:r>
        <w:rPr>
          <w:rFonts w:ascii="Arial" w:hAnsi="Arial" w:cs="Arial"/>
          <w:color w:val="1F1F1F"/>
          <w:lang w:val="en-GB"/>
        </w:rPr>
        <w:t xml:space="preserve"> </w:t>
      </w:r>
      <w:r w:rsidRPr="00DA2DE2">
        <w:rPr>
          <w:rFonts w:ascii="Arial" w:hAnsi="Arial" w:cs="Arial"/>
          <w:color w:val="1F1F1F"/>
          <w:lang w:val="en-GB"/>
        </w:rPr>
        <w:t xml:space="preserve">cycle stages A1–A3 and C3–C4. </w:t>
      </w:r>
      <w:r w:rsidRPr="00D003ED">
        <w:rPr>
          <w:rFonts w:ascii="Arial" w:hAnsi="Arial" w:cs="Arial"/>
          <w:color w:val="1F1F1F"/>
          <w:lang w:val="en-GB"/>
        </w:rPr>
        <w:t>Information on raw material extraction and manufacturing is obtained from manufacturers, who also provide viable end-of-life options. Where multiple end-of-life scenarios are available, a conservative assumption corresponding to the highest environmental impact is adopted.</w:t>
      </w:r>
      <w:r>
        <w:rPr>
          <w:rFonts w:ascii="Arial" w:hAnsi="Arial" w:cs="Arial"/>
          <w:color w:val="1F1F1F"/>
          <w:lang w:val="en-GB"/>
        </w:rPr>
        <w:t xml:space="preserve"> </w:t>
      </w:r>
      <w:r w:rsidRPr="00DA2DE2">
        <w:rPr>
          <w:rFonts w:ascii="Arial" w:hAnsi="Arial" w:cs="Arial"/>
          <w:color w:val="1F1F1F"/>
          <w:lang w:val="en-GB"/>
        </w:rPr>
        <w:t>On-site construction activities (module A5) are characterized for each scenario based on the machinery employed, its power rating, and operating duration, as reported by contractor-specific data and expert inputs. Demolition activities and waste handling operations are explicitly specified to represent end-of-life stages C1 and C2, including material removal, temporary handling, and transport to processing facilities.</w:t>
      </w:r>
    </w:p>
    <w:p w14:paraId="19469326" w14:textId="2AE37713" w:rsidR="008B35E5" w:rsidRDefault="008B35E5" w:rsidP="008B35E5">
      <w:pPr>
        <w:spacing w:before="100" w:beforeAutospacing="1" w:after="100" w:afterAutospacing="1" w:line="240" w:lineRule="auto"/>
        <w:jc w:val="both"/>
        <w:outlineLvl w:val="2"/>
        <w:rPr>
          <w:rFonts w:ascii="Arial" w:eastAsia="Times New Roman" w:hAnsi="Arial" w:cs="Arial"/>
          <w:b/>
          <w:bCs/>
          <w:lang w:val="en-GB"/>
        </w:rPr>
      </w:pPr>
      <w:r w:rsidRPr="00D003ED">
        <w:rPr>
          <w:rFonts w:ascii="Arial" w:hAnsi="Arial" w:cs="Arial"/>
          <w:color w:val="1F1F1F"/>
          <w:lang w:val="en-GB"/>
        </w:rPr>
        <w:lastRenderedPageBreak/>
        <w:t xml:space="preserve">For </w:t>
      </w:r>
      <w:r>
        <w:rPr>
          <w:rFonts w:ascii="Arial" w:hAnsi="Arial" w:cs="Arial"/>
          <w:color w:val="1F1F1F"/>
          <w:lang w:val="en-GB"/>
        </w:rPr>
        <w:t>the application in this paper</w:t>
      </w:r>
      <w:r w:rsidRPr="00D003ED">
        <w:rPr>
          <w:rFonts w:ascii="Arial" w:hAnsi="Arial" w:cs="Arial"/>
          <w:color w:val="1F1F1F"/>
          <w:lang w:val="en-GB"/>
        </w:rPr>
        <w:t xml:space="preserve">, demolition materials are assumed to be transported by barge over </w:t>
      </w:r>
      <w:proofErr w:type="gramStart"/>
      <w:r w:rsidRPr="00D003ED">
        <w:rPr>
          <w:rFonts w:ascii="Arial" w:hAnsi="Arial" w:cs="Arial"/>
          <w:color w:val="1F1F1F"/>
          <w:lang w:val="en-GB"/>
        </w:rPr>
        <w:t>a distance of 500</w:t>
      </w:r>
      <w:proofErr w:type="gramEnd"/>
      <w:r w:rsidRPr="00D003ED">
        <w:rPr>
          <w:rFonts w:ascii="Arial" w:hAnsi="Arial" w:cs="Arial"/>
          <w:color w:val="1F1F1F"/>
          <w:lang w:val="en-GB"/>
        </w:rPr>
        <w:t xml:space="preserve"> m from the demolition site to the lake shore, followed by truck transport over </w:t>
      </w:r>
      <w:proofErr w:type="gramStart"/>
      <w:r w:rsidRPr="00D003ED">
        <w:rPr>
          <w:rFonts w:ascii="Arial" w:hAnsi="Arial" w:cs="Arial"/>
          <w:color w:val="1F1F1F"/>
          <w:lang w:val="en-GB"/>
        </w:rPr>
        <w:t>a distance of 140</w:t>
      </w:r>
      <w:proofErr w:type="gramEnd"/>
      <w:r w:rsidRPr="00D003ED">
        <w:rPr>
          <w:rFonts w:ascii="Arial" w:hAnsi="Arial" w:cs="Arial"/>
          <w:color w:val="1F1F1F"/>
          <w:lang w:val="en-GB"/>
        </w:rPr>
        <w:t xml:space="preserve"> km to the nearest waste processing facility.</w:t>
      </w:r>
      <w:r w:rsidRPr="00DA2DE2">
        <w:rPr>
          <w:rFonts w:ascii="Arial" w:hAnsi="Arial" w:cs="Arial"/>
          <w:color w:val="1F1F1F"/>
          <w:lang w:val="en-GB"/>
        </w:rPr>
        <w:t xml:space="preserve"> All direct life</w:t>
      </w:r>
      <w:r>
        <w:rPr>
          <w:rFonts w:ascii="Arial" w:hAnsi="Arial" w:cs="Arial"/>
          <w:color w:val="1F1F1F"/>
          <w:lang w:val="en-GB"/>
        </w:rPr>
        <w:t xml:space="preserve"> </w:t>
      </w:r>
      <w:r w:rsidRPr="00DA2DE2">
        <w:rPr>
          <w:rFonts w:ascii="Arial" w:hAnsi="Arial" w:cs="Arial"/>
          <w:color w:val="1F1F1F"/>
          <w:lang w:val="en-GB"/>
        </w:rPr>
        <w:t>cycle impacts from stages A1–A3, A5, and C1–C4 are normalized by the bridge length (1.37 km) to enable consistent comparison across retrofit alternatives.</w:t>
      </w:r>
      <w:r>
        <w:rPr>
          <w:rFonts w:ascii="Arial" w:hAnsi="Arial" w:cs="Arial"/>
          <w:color w:val="1F1F1F"/>
          <w:lang w:val="en-GB"/>
        </w:rPr>
        <w:t xml:space="preserve"> </w:t>
      </w:r>
      <w:r w:rsidRPr="00DA2DE2">
        <w:rPr>
          <w:rFonts w:ascii="Arial" w:hAnsi="Arial" w:cs="Arial"/>
          <w:color w:val="1F1F1F"/>
          <w:lang w:val="en-GB"/>
        </w:rPr>
        <w:t xml:space="preserve">Indirect impacts associated with traffic disruptions are evaluated by accounting for vehicle detours. </w:t>
      </w:r>
      <w:r w:rsidRPr="00D003ED">
        <w:rPr>
          <w:rFonts w:ascii="Arial" w:hAnsi="Arial" w:cs="Arial"/>
          <w:color w:val="1F1F1F"/>
          <w:lang w:val="en-GB"/>
        </w:rPr>
        <w:t>A detour length of 60 km is assumed based on OpenStreetMap routing, reflecting the limited network redundancy associated with prolonged closures of the bridge.</w:t>
      </w:r>
      <w:r>
        <w:rPr>
          <w:rFonts w:ascii="Arial" w:hAnsi="Arial" w:cs="Arial"/>
          <w:color w:val="1F1F1F"/>
          <w:lang w:val="en-GB"/>
        </w:rPr>
        <w:t xml:space="preserve"> </w:t>
      </w:r>
      <w:r w:rsidRPr="00DA2DE2">
        <w:rPr>
          <w:rFonts w:ascii="Arial" w:hAnsi="Arial" w:cs="Arial"/>
          <w:color w:val="1F1F1F"/>
          <w:lang w:val="en-GB"/>
        </w:rPr>
        <w:t>Detailed bill-of-materials data, construction and demolition parameters, transport assumptions, and environmental datasets used in the assessment are reported in Supplementary Note 4.</w:t>
      </w:r>
    </w:p>
    <w:p w14:paraId="3DE2E507" w14:textId="4D9B2D68" w:rsidR="00D44D63" w:rsidRPr="00A913F6" w:rsidRDefault="00AB6E0F" w:rsidP="003F4365">
      <w:pPr>
        <w:spacing w:before="100" w:beforeAutospacing="1" w:after="100" w:afterAutospacing="1" w:line="240" w:lineRule="auto"/>
        <w:jc w:val="both"/>
        <w:outlineLvl w:val="2"/>
        <w:rPr>
          <w:rFonts w:ascii="Arial" w:eastAsia="Times New Roman" w:hAnsi="Arial" w:cs="Arial"/>
          <w:b/>
          <w:bCs/>
          <w:sz w:val="20"/>
          <w:szCs w:val="20"/>
          <w:lang w:val="en-GB" w:eastAsia="it-IT"/>
        </w:rPr>
      </w:pPr>
      <w:r w:rsidRPr="00A913F6">
        <w:rPr>
          <w:rFonts w:ascii="Arial" w:eastAsia="Times New Roman" w:hAnsi="Arial" w:cs="Arial"/>
          <w:b/>
          <w:bCs/>
          <w:sz w:val="20"/>
          <w:szCs w:val="20"/>
          <w:lang w:val="en-GB"/>
        </w:rPr>
        <w:t xml:space="preserve">Supplementary Table </w:t>
      </w:r>
      <w:r w:rsidR="008B35E5" w:rsidRPr="00A913F6">
        <w:rPr>
          <w:rFonts w:ascii="Arial" w:eastAsia="Times New Roman" w:hAnsi="Arial" w:cs="Arial"/>
          <w:b/>
          <w:bCs/>
          <w:sz w:val="20"/>
          <w:szCs w:val="20"/>
          <w:lang w:val="en-GB"/>
        </w:rPr>
        <w:t>9</w:t>
      </w:r>
      <w:r w:rsidRPr="00A913F6">
        <w:rPr>
          <w:rFonts w:ascii="Arial" w:eastAsia="Times New Roman" w:hAnsi="Arial" w:cs="Arial"/>
          <w:b/>
          <w:bCs/>
          <w:sz w:val="20"/>
          <w:szCs w:val="20"/>
          <w:lang w:val="en-GB"/>
        </w:rPr>
        <w:t xml:space="preserve">. </w:t>
      </w:r>
      <w:r w:rsidR="00D44D63" w:rsidRPr="00A913F6">
        <w:rPr>
          <w:rFonts w:ascii="Arial" w:eastAsia="Times New Roman" w:hAnsi="Arial" w:cs="Arial"/>
          <w:sz w:val="20"/>
          <w:szCs w:val="20"/>
          <w:lang w:val="en-GB" w:eastAsia="zh-CN"/>
        </w:rPr>
        <w:t>Bill of</w:t>
      </w:r>
      <w:r w:rsidR="009B492C" w:rsidRPr="00A913F6">
        <w:rPr>
          <w:rFonts w:ascii="Arial" w:eastAsia="Times New Roman" w:hAnsi="Arial" w:cs="Arial"/>
          <w:sz w:val="20"/>
          <w:szCs w:val="20"/>
          <w:lang w:val="en-GB" w:eastAsia="zh-CN"/>
        </w:rPr>
        <w:t xml:space="preserve"> </w:t>
      </w:r>
      <w:r w:rsidR="00A913F6" w:rsidRPr="00A913F6">
        <w:rPr>
          <w:rFonts w:ascii="Arial" w:eastAsia="Times New Roman" w:hAnsi="Arial" w:cs="Arial"/>
          <w:sz w:val="20"/>
          <w:szCs w:val="20"/>
          <w:lang w:val="en-GB" w:eastAsia="zh-CN"/>
        </w:rPr>
        <w:t>m</w:t>
      </w:r>
      <w:r w:rsidR="00D44D63" w:rsidRPr="00A913F6">
        <w:rPr>
          <w:rFonts w:ascii="Arial" w:eastAsia="Times New Roman" w:hAnsi="Arial" w:cs="Arial"/>
          <w:sz w:val="20"/>
          <w:szCs w:val="20"/>
          <w:lang w:val="en-GB" w:eastAsia="zh-CN"/>
        </w:rPr>
        <w:t>aterials of restoration options</w:t>
      </w:r>
      <w:r w:rsidR="00754049" w:rsidRPr="00A913F6">
        <w:rPr>
          <w:rFonts w:ascii="Arial" w:eastAsia="Times New Roman" w:hAnsi="Arial" w:cs="Arial"/>
          <w:sz w:val="20"/>
          <w:szCs w:val="20"/>
          <w:lang w:val="en-GB" w:eastAsia="zh-CN"/>
        </w:rPr>
        <w:t xml:space="preserve"> and datasets</w:t>
      </w:r>
    </w:p>
    <w:tbl>
      <w:tblPr>
        <w:tblStyle w:val="TableGrid"/>
        <w:tblW w:w="9864" w:type="dxa"/>
        <w:tblLayout w:type="fixed"/>
        <w:tblLook w:val="04A0" w:firstRow="1" w:lastRow="0" w:firstColumn="1" w:lastColumn="0" w:noHBand="0" w:noVBand="1"/>
      </w:tblPr>
      <w:tblGrid>
        <w:gridCol w:w="562"/>
        <w:gridCol w:w="1701"/>
        <w:gridCol w:w="1985"/>
        <w:gridCol w:w="1253"/>
        <w:gridCol w:w="873"/>
        <w:gridCol w:w="2114"/>
        <w:gridCol w:w="1376"/>
      </w:tblGrid>
      <w:tr w:rsidR="00BF4A93" w:rsidRPr="00DA2DE2" w14:paraId="2FC77841" w14:textId="56020A5B" w:rsidTr="00116794">
        <w:trPr>
          <w:trHeight w:val="362"/>
        </w:trPr>
        <w:tc>
          <w:tcPr>
            <w:tcW w:w="562" w:type="dxa"/>
            <w:hideMark/>
          </w:tcPr>
          <w:p w14:paraId="6D9DD63F" w14:textId="1ADAD4EA" w:rsidR="00BF4A93"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w:t>
            </w:r>
          </w:p>
        </w:tc>
        <w:tc>
          <w:tcPr>
            <w:tcW w:w="1701" w:type="dxa"/>
            <w:hideMark/>
          </w:tcPr>
          <w:p w14:paraId="04ACA7F0" w14:textId="3D30A263" w:rsidR="00BF4A93" w:rsidRPr="00DA2DE2" w:rsidRDefault="00A913F6"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Component</w:t>
            </w:r>
          </w:p>
        </w:tc>
        <w:tc>
          <w:tcPr>
            <w:tcW w:w="1985" w:type="dxa"/>
            <w:hideMark/>
          </w:tcPr>
          <w:p w14:paraId="6EB34FE4" w14:textId="5D7C9DDB" w:rsidR="00BF4A93" w:rsidRPr="00DA2DE2" w:rsidRDefault="00A913F6"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Material</w:t>
            </w:r>
          </w:p>
        </w:tc>
        <w:tc>
          <w:tcPr>
            <w:tcW w:w="1253" w:type="dxa"/>
            <w:hideMark/>
          </w:tcPr>
          <w:p w14:paraId="700CD663" w14:textId="4EBB1D5C" w:rsidR="00BF4A93" w:rsidRPr="00DA2DE2" w:rsidRDefault="00A913F6"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Quantity</w:t>
            </w:r>
          </w:p>
        </w:tc>
        <w:tc>
          <w:tcPr>
            <w:tcW w:w="873" w:type="dxa"/>
            <w:hideMark/>
          </w:tcPr>
          <w:p w14:paraId="378977D8" w14:textId="01DB45E9" w:rsidR="00BF4A93" w:rsidRPr="00DA2DE2" w:rsidRDefault="00A913F6"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Unit</w:t>
            </w:r>
          </w:p>
        </w:tc>
        <w:tc>
          <w:tcPr>
            <w:tcW w:w="2114" w:type="dxa"/>
          </w:tcPr>
          <w:p w14:paraId="12B51DBC" w14:textId="63A9323B" w:rsidR="00BF4A93"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D</w:t>
            </w:r>
            <w:r w:rsidRPr="00DA2DE2">
              <w:rPr>
                <w:rFonts w:ascii="Arial" w:eastAsia="Times New Roman" w:hAnsi="Arial" w:cs="Arial"/>
                <w:b/>
                <w:bCs/>
                <w:color w:val="000000"/>
                <w:sz w:val="20"/>
                <w:szCs w:val="20"/>
                <w:lang w:val="en-GB" w:eastAsia="en-GB"/>
              </w:rPr>
              <w:t>ataset for</w:t>
            </w:r>
            <w:r w:rsidR="00BF4A93" w:rsidRPr="00DA2DE2">
              <w:rPr>
                <w:rFonts w:ascii="Arial" w:eastAsia="Times New Roman" w:hAnsi="Arial" w:cs="Arial"/>
                <w:b/>
                <w:bCs/>
                <w:color w:val="000000"/>
                <w:sz w:val="20"/>
                <w:szCs w:val="20"/>
                <w:lang w:val="en-GB" w:eastAsia="en-GB"/>
              </w:rPr>
              <w:t xml:space="preserve"> LCA</w:t>
            </w:r>
            <w:r w:rsidR="00EE5767" w:rsidRPr="00DA2DE2">
              <w:rPr>
                <w:rFonts w:ascii="Arial" w:eastAsia="Times New Roman" w:hAnsi="Arial" w:cs="Arial"/>
                <w:color w:val="000000"/>
                <w:sz w:val="20"/>
                <w:szCs w:val="20"/>
                <w:lang w:val="en-GB" w:eastAsia="en-GB"/>
              </w:rPr>
              <w:t xml:space="preserve"> </w:t>
            </w:r>
            <w:r w:rsidR="00EE5767" w:rsidRPr="008B35E5">
              <w:rPr>
                <w:rFonts w:ascii="Arial" w:eastAsia="Times New Roman" w:hAnsi="Arial" w:cs="Arial"/>
                <w:b/>
                <w:bCs/>
                <w:color w:val="000000"/>
                <w:sz w:val="20"/>
                <w:szCs w:val="20"/>
                <w:lang w:val="en-GB" w:eastAsia="en-GB"/>
              </w:rPr>
              <w:t>[</w:t>
            </w:r>
            <w:r w:rsidR="008B35E5" w:rsidRPr="008B35E5">
              <w:rPr>
                <w:rFonts w:ascii="Arial" w:eastAsia="Times New Roman" w:hAnsi="Arial" w:cs="Arial"/>
                <w:b/>
                <w:bCs/>
                <w:color w:val="000000"/>
                <w:sz w:val="20"/>
                <w:szCs w:val="20"/>
                <w:lang w:val="en-GB" w:eastAsia="en-GB"/>
              </w:rPr>
              <w:fldChar w:fldCharType="begin"/>
            </w:r>
            <w:r w:rsidR="008B35E5" w:rsidRPr="008B35E5">
              <w:rPr>
                <w:rFonts w:ascii="Arial" w:eastAsia="Times New Roman" w:hAnsi="Arial" w:cs="Arial"/>
                <w:b/>
                <w:bCs/>
                <w:color w:val="000000"/>
                <w:sz w:val="20"/>
                <w:szCs w:val="20"/>
                <w:lang w:val="en-GB" w:eastAsia="en-GB"/>
              </w:rPr>
              <w:instrText xml:space="preserve"> REF _Ref220851222 \r \h </w:instrText>
            </w:r>
            <w:r w:rsidR="008B35E5" w:rsidRPr="008B35E5">
              <w:rPr>
                <w:rFonts w:ascii="Arial" w:eastAsia="Times New Roman" w:hAnsi="Arial" w:cs="Arial"/>
                <w:b/>
                <w:bCs/>
                <w:color w:val="000000"/>
                <w:sz w:val="20"/>
                <w:szCs w:val="20"/>
                <w:lang w:val="en-GB" w:eastAsia="en-GB"/>
              </w:rPr>
            </w:r>
            <w:r w:rsidR="008B35E5">
              <w:rPr>
                <w:rFonts w:ascii="Arial" w:eastAsia="Times New Roman" w:hAnsi="Arial" w:cs="Arial"/>
                <w:b/>
                <w:bCs/>
                <w:color w:val="000000"/>
                <w:sz w:val="20"/>
                <w:szCs w:val="20"/>
                <w:lang w:val="en-GB" w:eastAsia="en-GB"/>
              </w:rPr>
              <w:instrText xml:space="preserve"> \* MERGEFORMAT </w:instrText>
            </w:r>
            <w:r w:rsidR="008B35E5" w:rsidRPr="008B35E5">
              <w:rPr>
                <w:rFonts w:ascii="Arial" w:eastAsia="Times New Roman" w:hAnsi="Arial" w:cs="Arial"/>
                <w:b/>
                <w:bCs/>
                <w:color w:val="000000"/>
                <w:sz w:val="20"/>
                <w:szCs w:val="20"/>
                <w:lang w:val="en-GB" w:eastAsia="en-GB"/>
              </w:rPr>
              <w:fldChar w:fldCharType="separate"/>
            </w:r>
            <w:r w:rsidR="00D515C8">
              <w:rPr>
                <w:rFonts w:ascii="Arial" w:eastAsia="Times New Roman" w:hAnsi="Arial" w:cs="Arial"/>
                <w:b/>
                <w:bCs/>
                <w:color w:val="000000"/>
                <w:sz w:val="20"/>
                <w:szCs w:val="20"/>
                <w:lang w:val="en-GB" w:eastAsia="en-GB"/>
              </w:rPr>
              <w:t>22</w:t>
            </w:r>
            <w:r w:rsidR="008B35E5" w:rsidRPr="008B35E5">
              <w:rPr>
                <w:rFonts w:ascii="Arial" w:eastAsia="Times New Roman" w:hAnsi="Arial" w:cs="Arial"/>
                <w:b/>
                <w:bCs/>
                <w:color w:val="000000"/>
                <w:sz w:val="20"/>
                <w:szCs w:val="20"/>
                <w:lang w:val="en-GB" w:eastAsia="en-GB"/>
              </w:rPr>
              <w:fldChar w:fldCharType="end"/>
            </w:r>
            <w:r w:rsidR="00116794">
              <w:rPr>
                <w:rFonts w:ascii="Arial" w:eastAsia="Times New Roman" w:hAnsi="Arial" w:cs="Arial"/>
                <w:b/>
                <w:bCs/>
                <w:color w:val="000000"/>
                <w:sz w:val="20"/>
                <w:szCs w:val="20"/>
                <w:lang w:val="en-GB" w:eastAsia="en-GB"/>
              </w:rPr>
              <w:t xml:space="preserve">, </w:t>
            </w:r>
            <w:r w:rsidR="00116794">
              <w:rPr>
                <w:rFonts w:ascii="Arial" w:eastAsia="Times New Roman" w:hAnsi="Arial" w:cs="Arial"/>
                <w:b/>
                <w:bCs/>
                <w:color w:val="000000"/>
                <w:sz w:val="20"/>
                <w:szCs w:val="20"/>
                <w:lang w:val="en-GB" w:eastAsia="en-GB"/>
              </w:rPr>
              <w:fldChar w:fldCharType="begin"/>
            </w:r>
            <w:r w:rsidR="00116794">
              <w:rPr>
                <w:rFonts w:ascii="Arial" w:eastAsia="Times New Roman" w:hAnsi="Arial" w:cs="Arial"/>
                <w:b/>
                <w:bCs/>
                <w:color w:val="000000"/>
                <w:sz w:val="20"/>
                <w:szCs w:val="20"/>
                <w:lang w:val="en-GB" w:eastAsia="en-GB"/>
              </w:rPr>
              <w:instrText xml:space="preserve"> REF _Ref220851289 \r \h </w:instrText>
            </w:r>
            <w:r w:rsidR="00116794">
              <w:rPr>
                <w:rFonts w:ascii="Arial" w:eastAsia="Times New Roman" w:hAnsi="Arial" w:cs="Arial"/>
                <w:b/>
                <w:bCs/>
                <w:color w:val="000000"/>
                <w:sz w:val="20"/>
                <w:szCs w:val="20"/>
                <w:lang w:val="en-GB" w:eastAsia="en-GB"/>
              </w:rPr>
            </w:r>
            <w:r w:rsidR="00116794">
              <w:rPr>
                <w:rFonts w:ascii="Arial" w:eastAsia="Times New Roman" w:hAnsi="Arial" w:cs="Arial"/>
                <w:b/>
                <w:bCs/>
                <w:color w:val="000000"/>
                <w:sz w:val="20"/>
                <w:szCs w:val="20"/>
                <w:lang w:val="en-GB" w:eastAsia="en-GB"/>
              </w:rPr>
              <w:instrText xml:space="preserve"> \* MERGEFORMAT </w:instrText>
            </w:r>
            <w:r w:rsidR="00116794">
              <w:rPr>
                <w:rFonts w:ascii="Arial" w:eastAsia="Times New Roman" w:hAnsi="Arial" w:cs="Arial"/>
                <w:b/>
                <w:bCs/>
                <w:color w:val="000000"/>
                <w:sz w:val="20"/>
                <w:szCs w:val="20"/>
                <w:lang w:val="en-GB" w:eastAsia="en-GB"/>
              </w:rPr>
              <w:fldChar w:fldCharType="separate"/>
            </w:r>
            <w:r w:rsidR="00116794">
              <w:rPr>
                <w:rFonts w:ascii="Arial" w:eastAsia="Times New Roman" w:hAnsi="Arial" w:cs="Arial"/>
                <w:b/>
                <w:bCs/>
                <w:color w:val="000000"/>
                <w:sz w:val="20"/>
                <w:szCs w:val="20"/>
                <w:lang w:val="en-GB" w:eastAsia="en-GB"/>
              </w:rPr>
              <w:t>23</w:t>
            </w:r>
            <w:r w:rsidR="00116794">
              <w:rPr>
                <w:rFonts w:ascii="Arial" w:eastAsia="Times New Roman" w:hAnsi="Arial" w:cs="Arial"/>
                <w:b/>
                <w:bCs/>
                <w:color w:val="000000"/>
                <w:sz w:val="20"/>
                <w:szCs w:val="20"/>
                <w:lang w:val="en-GB" w:eastAsia="en-GB"/>
              </w:rPr>
              <w:fldChar w:fldCharType="end"/>
            </w:r>
            <w:r w:rsidR="00F46997" w:rsidRPr="008B35E5">
              <w:rPr>
                <w:rFonts w:ascii="Arial" w:eastAsia="Times New Roman" w:hAnsi="Arial" w:cs="Arial"/>
                <w:b/>
                <w:bCs/>
                <w:color w:val="000000"/>
                <w:sz w:val="20"/>
                <w:szCs w:val="20"/>
                <w:lang w:val="en-GB" w:eastAsia="en-GB"/>
              </w:rPr>
              <w:fldChar w:fldCharType="begin"/>
            </w:r>
            <w:r w:rsidR="00F46997" w:rsidRPr="008B35E5">
              <w:rPr>
                <w:rFonts w:ascii="Arial" w:eastAsia="Times New Roman" w:hAnsi="Arial" w:cs="Arial"/>
                <w:b/>
                <w:bCs/>
                <w:color w:val="000000"/>
                <w:sz w:val="20"/>
                <w:szCs w:val="20"/>
                <w:lang w:val="en-GB" w:eastAsia="en-GB"/>
              </w:rPr>
              <w:instrText xml:space="preserve"> REF _Ref219357543 \r \h </w:instrText>
            </w:r>
            <w:r w:rsidR="008B35E5">
              <w:rPr>
                <w:rFonts w:ascii="Arial" w:eastAsia="Times New Roman" w:hAnsi="Arial" w:cs="Arial"/>
                <w:b/>
                <w:bCs/>
                <w:color w:val="000000"/>
                <w:sz w:val="20"/>
                <w:szCs w:val="20"/>
                <w:lang w:val="en-GB" w:eastAsia="en-GB"/>
              </w:rPr>
              <w:instrText xml:space="preserve"> \* MERGEFORMAT </w:instrText>
            </w:r>
            <w:r w:rsidR="00F46997" w:rsidRPr="008B35E5">
              <w:rPr>
                <w:rFonts w:ascii="Arial" w:eastAsia="Times New Roman" w:hAnsi="Arial" w:cs="Arial"/>
                <w:b/>
                <w:bCs/>
                <w:color w:val="000000"/>
                <w:sz w:val="20"/>
                <w:szCs w:val="20"/>
                <w:lang w:val="en-GB" w:eastAsia="en-GB"/>
              </w:rPr>
              <w:fldChar w:fldCharType="separate"/>
            </w:r>
            <w:r w:rsidR="00F46997" w:rsidRPr="008B35E5">
              <w:rPr>
                <w:rFonts w:ascii="Arial" w:eastAsia="Times New Roman" w:hAnsi="Arial" w:cs="Arial"/>
                <w:b/>
                <w:bCs/>
                <w:color w:val="000000"/>
                <w:sz w:val="20"/>
                <w:szCs w:val="20"/>
                <w:lang w:val="en-GB" w:eastAsia="en-GB"/>
              </w:rPr>
              <w:fldChar w:fldCharType="end"/>
            </w:r>
            <w:r w:rsidR="00EE5767" w:rsidRPr="008B35E5">
              <w:rPr>
                <w:rFonts w:ascii="Arial" w:eastAsia="Times New Roman" w:hAnsi="Arial" w:cs="Arial"/>
                <w:b/>
                <w:bCs/>
                <w:color w:val="000000"/>
                <w:sz w:val="20"/>
                <w:szCs w:val="20"/>
                <w:lang w:val="en-GB" w:eastAsia="en-GB"/>
              </w:rPr>
              <w:t>]</w:t>
            </w:r>
          </w:p>
        </w:tc>
        <w:tc>
          <w:tcPr>
            <w:tcW w:w="1376" w:type="dxa"/>
          </w:tcPr>
          <w:p w14:paraId="275430F5" w14:textId="31388851" w:rsidR="00BF4A93"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Cost for</w:t>
            </w:r>
            <w:r w:rsidR="00BF4A93" w:rsidRPr="00DA2DE2">
              <w:rPr>
                <w:rFonts w:ascii="Arial" w:eastAsia="Times New Roman" w:hAnsi="Arial" w:cs="Arial"/>
                <w:b/>
                <w:bCs/>
                <w:color w:val="000000"/>
                <w:sz w:val="20"/>
                <w:szCs w:val="20"/>
                <w:lang w:val="en-GB" w:eastAsia="en-GB"/>
              </w:rPr>
              <w:t xml:space="preserve"> LCC</w:t>
            </w:r>
            <w:r w:rsidR="00754049" w:rsidRPr="00DA2DE2">
              <w:rPr>
                <w:rFonts w:ascii="Arial" w:eastAsia="Times New Roman" w:hAnsi="Arial" w:cs="Arial"/>
                <w:b/>
                <w:bCs/>
                <w:color w:val="000000"/>
                <w:sz w:val="20"/>
                <w:szCs w:val="20"/>
                <w:lang w:val="en-GB" w:eastAsia="en-GB"/>
              </w:rPr>
              <w:t xml:space="preserve"> [</w:t>
            </w:r>
            <w:r w:rsidR="00116794">
              <w:rPr>
                <w:rFonts w:ascii="Arial" w:eastAsia="Times New Roman" w:hAnsi="Arial" w:cs="Arial"/>
                <w:b/>
                <w:bCs/>
                <w:color w:val="000000"/>
                <w:sz w:val="20"/>
                <w:szCs w:val="20"/>
                <w:lang w:val="en-GB" w:eastAsia="en-GB"/>
              </w:rPr>
              <w:t>EUR</w:t>
            </w:r>
            <w:r w:rsidR="00754049" w:rsidRPr="00DA2DE2">
              <w:rPr>
                <w:rFonts w:ascii="Arial" w:eastAsia="Times New Roman" w:hAnsi="Arial" w:cs="Arial"/>
                <w:b/>
                <w:bCs/>
                <w:color w:val="000000"/>
                <w:sz w:val="20"/>
                <w:szCs w:val="20"/>
                <w:lang w:val="en-GB" w:eastAsia="en-GB"/>
              </w:rPr>
              <w:t>/uni</w:t>
            </w:r>
            <w:r>
              <w:rPr>
                <w:rFonts w:ascii="Arial" w:eastAsia="Times New Roman" w:hAnsi="Arial" w:cs="Arial"/>
                <w:b/>
                <w:bCs/>
                <w:color w:val="000000"/>
                <w:sz w:val="20"/>
                <w:szCs w:val="20"/>
                <w:lang w:val="en-GB" w:eastAsia="en-GB"/>
              </w:rPr>
              <w:t>t</w:t>
            </w:r>
            <w:r w:rsidR="00754049" w:rsidRPr="00DA2DE2">
              <w:rPr>
                <w:rFonts w:ascii="Arial" w:eastAsia="Times New Roman" w:hAnsi="Arial" w:cs="Arial"/>
                <w:b/>
                <w:bCs/>
                <w:color w:val="000000"/>
                <w:sz w:val="20"/>
                <w:szCs w:val="20"/>
                <w:lang w:val="en-GB" w:eastAsia="en-GB"/>
              </w:rPr>
              <w:t>]</w:t>
            </w:r>
          </w:p>
        </w:tc>
      </w:tr>
      <w:tr w:rsidR="00754049" w:rsidRPr="00DA2DE2" w14:paraId="101FD94D" w14:textId="63E6F00F" w:rsidTr="00116794">
        <w:trPr>
          <w:trHeight w:val="337"/>
        </w:trPr>
        <w:tc>
          <w:tcPr>
            <w:tcW w:w="562" w:type="dxa"/>
            <w:vMerge w:val="restart"/>
            <w:hideMark/>
          </w:tcPr>
          <w:p w14:paraId="5673B527" w14:textId="379F80B6"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1</w:t>
            </w:r>
          </w:p>
        </w:tc>
        <w:tc>
          <w:tcPr>
            <w:tcW w:w="1701" w:type="dxa"/>
            <w:vMerge w:val="restart"/>
            <w:hideMark/>
          </w:tcPr>
          <w:p w14:paraId="13A63865" w14:textId="14316249" w:rsidR="00754049" w:rsidRPr="00DA2DE2" w:rsidRDefault="00116794" w:rsidP="00754049">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C</w:t>
            </w:r>
            <w:r w:rsidR="00754049" w:rsidRPr="00DA2DE2">
              <w:rPr>
                <w:rFonts w:ascii="Arial" w:eastAsia="Times New Roman" w:hAnsi="Arial" w:cs="Arial"/>
                <w:color w:val="000000"/>
                <w:sz w:val="20"/>
                <w:szCs w:val="20"/>
                <w:lang w:val="en-GB" w:eastAsia="en-GB"/>
              </w:rPr>
              <w:t>antilever arms</w:t>
            </w:r>
          </w:p>
        </w:tc>
        <w:tc>
          <w:tcPr>
            <w:tcW w:w="1985" w:type="dxa"/>
            <w:hideMark/>
          </w:tcPr>
          <w:p w14:paraId="6ACE4565"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06491135"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512.7</w:t>
            </w:r>
          </w:p>
        </w:tc>
        <w:tc>
          <w:tcPr>
            <w:tcW w:w="873" w:type="dxa"/>
            <w:hideMark/>
          </w:tcPr>
          <w:p w14:paraId="3C25C5BE"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168BC525" w14:textId="1B071287" w:rsidR="00754049"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2D944D1C" w14:textId="0EB988C9" w:rsidR="00754049" w:rsidRPr="00DA2DE2" w:rsidRDefault="00754049"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754049" w:rsidRPr="00DA2DE2" w14:paraId="3C2524B2" w14:textId="2D5F06F6" w:rsidTr="00116794">
        <w:trPr>
          <w:trHeight w:val="337"/>
        </w:trPr>
        <w:tc>
          <w:tcPr>
            <w:tcW w:w="562" w:type="dxa"/>
            <w:vMerge/>
            <w:hideMark/>
          </w:tcPr>
          <w:p w14:paraId="30E01931" w14:textId="00AA8AA1" w:rsidR="00754049" w:rsidRPr="00DA2DE2" w:rsidRDefault="00754049" w:rsidP="00116794">
            <w:pPr>
              <w:rPr>
                <w:rFonts w:ascii="Arial" w:eastAsia="Times New Roman" w:hAnsi="Arial" w:cs="Arial"/>
                <w:b/>
                <w:bCs/>
                <w:color w:val="000000"/>
                <w:sz w:val="20"/>
                <w:szCs w:val="20"/>
                <w:lang w:val="en-GB" w:eastAsia="en-GB"/>
              </w:rPr>
            </w:pPr>
          </w:p>
        </w:tc>
        <w:tc>
          <w:tcPr>
            <w:tcW w:w="1701" w:type="dxa"/>
            <w:vMerge/>
            <w:hideMark/>
          </w:tcPr>
          <w:p w14:paraId="6AF02A53" w14:textId="7F03F255" w:rsidR="00754049" w:rsidRPr="00DA2DE2" w:rsidRDefault="00754049" w:rsidP="00754049">
            <w:pPr>
              <w:rPr>
                <w:rFonts w:ascii="Arial" w:eastAsia="Times New Roman" w:hAnsi="Arial" w:cs="Arial"/>
                <w:color w:val="000000"/>
                <w:sz w:val="20"/>
                <w:szCs w:val="20"/>
                <w:lang w:val="en-GB" w:eastAsia="en-GB"/>
              </w:rPr>
            </w:pPr>
          </w:p>
        </w:tc>
        <w:tc>
          <w:tcPr>
            <w:tcW w:w="1985" w:type="dxa"/>
            <w:hideMark/>
          </w:tcPr>
          <w:p w14:paraId="1A94A21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Y1860</w:t>
            </w:r>
          </w:p>
        </w:tc>
        <w:tc>
          <w:tcPr>
            <w:tcW w:w="1253" w:type="dxa"/>
            <w:hideMark/>
          </w:tcPr>
          <w:p w14:paraId="531B5AF1"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23.07</w:t>
            </w:r>
          </w:p>
        </w:tc>
        <w:tc>
          <w:tcPr>
            <w:tcW w:w="873" w:type="dxa"/>
            <w:hideMark/>
          </w:tcPr>
          <w:p w14:paraId="5B7CC2CA" w14:textId="0609957F" w:rsidR="00754049"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05589A5E" w14:textId="27AABF94" w:rsidR="00754049"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S-P-09634</w:t>
            </w:r>
          </w:p>
        </w:tc>
        <w:tc>
          <w:tcPr>
            <w:tcW w:w="1376" w:type="dxa"/>
            <w:vAlign w:val="center"/>
          </w:tcPr>
          <w:p w14:paraId="319AD267" w14:textId="7EC1322D" w:rsidR="00754049" w:rsidRPr="00DA2DE2" w:rsidRDefault="00754049"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 </w:t>
            </w:r>
          </w:p>
        </w:tc>
      </w:tr>
      <w:tr w:rsidR="00754049" w:rsidRPr="00DA2DE2" w14:paraId="5A8C078D" w14:textId="1B867464" w:rsidTr="00116794">
        <w:trPr>
          <w:trHeight w:val="337"/>
        </w:trPr>
        <w:tc>
          <w:tcPr>
            <w:tcW w:w="562" w:type="dxa"/>
            <w:vMerge/>
            <w:hideMark/>
          </w:tcPr>
          <w:p w14:paraId="109E9954" w14:textId="468ADBE8" w:rsidR="00754049" w:rsidRPr="00DA2DE2" w:rsidRDefault="00754049" w:rsidP="00116794">
            <w:pPr>
              <w:rPr>
                <w:rFonts w:ascii="Arial" w:eastAsia="Times New Roman" w:hAnsi="Arial" w:cs="Arial"/>
                <w:b/>
                <w:bCs/>
                <w:color w:val="000000"/>
                <w:sz w:val="20"/>
                <w:szCs w:val="20"/>
                <w:lang w:val="en-GB" w:eastAsia="en-GB"/>
              </w:rPr>
            </w:pPr>
          </w:p>
        </w:tc>
        <w:tc>
          <w:tcPr>
            <w:tcW w:w="1701" w:type="dxa"/>
            <w:vMerge w:val="restart"/>
            <w:hideMark/>
          </w:tcPr>
          <w:p w14:paraId="7EBF076D" w14:textId="2DE4C168" w:rsidR="00754049" w:rsidRPr="00DA2DE2" w:rsidRDefault="00116794" w:rsidP="00754049">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w:t>
            </w:r>
            <w:r w:rsidR="00754049" w:rsidRPr="00DA2DE2">
              <w:rPr>
                <w:rFonts w:ascii="Arial" w:eastAsia="Times New Roman" w:hAnsi="Arial" w:cs="Arial"/>
                <w:color w:val="000000"/>
                <w:sz w:val="20"/>
                <w:szCs w:val="20"/>
                <w:lang w:val="en-GB" w:eastAsia="en-GB"/>
              </w:rPr>
              <w:t>recast prestressed concrete beams</w:t>
            </w:r>
          </w:p>
        </w:tc>
        <w:tc>
          <w:tcPr>
            <w:tcW w:w="1985" w:type="dxa"/>
            <w:hideMark/>
          </w:tcPr>
          <w:p w14:paraId="018CCFDF"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Precast concrete beam </w:t>
            </w:r>
          </w:p>
        </w:tc>
        <w:tc>
          <w:tcPr>
            <w:tcW w:w="1253" w:type="dxa"/>
            <w:hideMark/>
          </w:tcPr>
          <w:p w14:paraId="120F4773"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280</w:t>
            </w:r>
          </w:p>
        </w:tc>
        <w:tc>
          <w:tcPr>
            <w:tcW w:w="873" w:type="dxa"/>
            <w:hideMark/>
          </w:tcPr>
          <w:p w14:paraId="6F34CB6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6D9FF5D3" w14:textId="03F0E2F0" w:rsidR="00754049"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S-P-12778</w:t>
            </w:r>
          </w:p>
        </w:tc>
        <w:tc>
          <w:tcPr>
            <w:tcW w:w="1376" w:type="dxa"/>
            <w:vAlign w:val="center"/>
          </w:tcPr>
          <w:p w14:paraId="102BD1EF" w14:textId="54AEDA2A" w:rsidR="00754049" w:rsidRPr="00DA2DE2" w:rsidRDefault="00754049"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273</w:t>
            </w:r>
          </w:p>
        </w:tc>
      </w:tr>
      <w:tr w:rsidR="00754049" w:rsidRPr="00DA2DE2" w14:paraId="5BC15D2B" w14:textId="7C217ABD" w:rsidTr="00116794">
        <w:trPr>
          <w:trHeight w:val="337"/>
        </w:trPr>
        <w:tc>
          <w:tcPr>
            <w:tcW w:w="562" w:type="dxa"/>
            <w:vMerge/>
            <w:hideMark/>
          </w:tcPr>
          <w:p w14:paraId="75F1BC21" w14:textId="6FB17161" w:rsidR="00754049" w:rsidRPr="00DA2DE2" w:rsidRDefault="00754049" w:rsidP="00116794">
            <w:pPr>
              <w:rPr>
                <w:rFonts w:ascii="Arial" w:eastAsia="Times New Roman" w:hAnsi="Arial" w:cs="Arial"/>
                <w:b/>
                <w:bCs/>
                <w:color w:val="000000"/>
                <w:sz w:val="20"/>
                <w:szCs w:val="20"/>
                <w:lang w:val="en-GB" w:eastAsia="en-GB"/>
              </w:rPr>
            </w:pPr>
          </w:p>
        </w:tc>
        <w:tc>
          <w:tcPr>
            <w:tcW w:w="1701" w:type="dxa"/>
            <w:vMerge/>
            <w:hideMark/>
          </w:tcPr>
          <w:p w14:paraId="6F7CE25F" w14:textId="60D331BE" w:rsidR="00754049" w:rsidRPr="00DA2DE2" w:rsidRDefault="00754049" w:rsidP="00754049">
            <w:pPr>
              <w:rPr>
                <w:rFonts w:ascii="Arial" w:eastAsia="Times New Roman" w:hAnsi="Arial" w:cs="Arial"/>
                <w:color w:val="000000"/>
                <w:sz w:val="20"/>
                <w:szCs w:val="20"/>
                <w:lang w:val="en-GB" w:eastAsia="en-GB"/>
              </w:rPr>
            </w:pPr>
          </w:p>
        </w:tc>
        <w:tc>
          <w:tcPr>
            <w:tcW w:w="1985" w:type="dxa"/>
            <w:hideMark/>
          </w:tcPr>
          <w:p w14:paraId="250553F2" w14:textId="313E030C"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Prestressed Steel Y1860</w:t>
            </w:r>
          </w:p>
        </w:tc>
        <w:tc>
          <w:tcPr>
            <w:tcW w:w="1253" w:type="dxa"/>
            <w:hideMark/>
          </w:tcPr>
          <w:p w14:paraId="58722116"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9.8</w:t>
            </w:r>
          </w:p>
        </w:tc>
        <w:tc>
          <w:tcPr>
            <w:tcW w:w="873" w:type="dxa"/>
            <w:hideMark/>
          </w:tcPr>
          <w:p w14:paraId="2D6C2F58" w14:textId="22805BC6" w:rsidR="00754049"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0C166B5A" w14:textId="4F52BAAE" w:rsidR="00754049"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000642</w:t>
            </w:r>
          </w:p>
        </w:tc>
        <w:tc>
          <w:tcPr>
            <w:tcW w:w="1376" w:type="dxa"/>
            <w:vAlign w:val="center"/>
          </w:tcPr>
          <w:p w14:paraId="2B6E985A" w14:textId="52F453CD" w:rsidR="00754049" w:rsidRPr="00DA2DE2" w:rsidRDefault="00754049"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7000</w:t>
            </w:r>
          </w:p>
        </w:tc>
      </w:tr>
      <w:tr w:rsidR="00966D7A" w:rsidRPr="00DA2DE2" w14:paraId="157C56F8" w14:textId="4CD7798E" w:rsidTr="00116794">
        <w:trPr>
          <w:trHeight w:val="337"/>
        </w:trPr>
        <w:tc>
          <w:tcPr>
            <w:tcW w:w="562" w:type="dxa"/>
            <w:vMerge/>
            <w:hideMark/>
          </w:tcPr>
          <w:p w14:paraId="6B4D3ADA" w14:textId="47E5E2AA"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47ACF04A" w14:textId="20A06958"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deck slab</w:t>
            </w:r>
          </w:p>
        </w:tc>
        <w:tc>
          <w:tcPr>
            <w:tcW w:w="1985" w:type="dxa"/>
            <w:hideMark/>
          </w:tcPr>
          <w:p w14:paraId="508B257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052842B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260</w:t>
            </w:r>
          </w:p>
        </w:tc>
        <w:tc>
          <w:tcPr>
            <w:tcW w:w="873" w:type="dxa"/>
            <w:hideMark/>
          </w:tcPr>
          <w:p w14:paraId="7494E23D"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354488AF" w14:textId="7888CA93"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015F13A8" w14:textId="023FB17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273</w:t>
            </w:r>
          </w:p>
        </w:tc>
      </w:tr>
      <w:tr w:rsidR="00966D7A" w:rsidRPr="00DA2DE2" w14:paraId="35662144" w14:textId="3781CA0E" w:rsidTr="00116794">
        <w:trPr>
          <w:trHeight w:val="337"/>
        </w:trPr>
        <w:tc>
          <w:tcPr>
            <w:tcW w:w="562" w:type="dxa"/>
            <w:vMerge/>
            <w:hideMark/>
          </w:tcPr>
          <w:p w14:paraId="4949750E" w14:textId="7105C9D1"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387E3DEF" w14:textId="0449601E"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5E1AD1F0" w14:textId="16307A3D"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45F4D56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31.2</w:t>
            </w:r>
          </w:p>
        </w:tc>
        <w:tc>
          <w:tcPr>
            <w:tcW w:w="873" w:type="dxa"/>
            <w:hideMark/>
          </w:tcPr>
          <w:p w14:paraId="5CABBBDD" w14:textId="5AA24C8A"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2837C49B" w14:textId="143CC27E"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09315382" w14:textId="60873150"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003D1102" w14:textId="445D47B1" w:rsidTr="00116794">
        <w:trPr>
          <w:trHeight w:val="337"/>
        </w:trPr>
        <w:tc>
          <w:tcPr>
            <w:tcW w:w="562" w:type="dxa"/>
            <w:vMerge/>
            <w:hideMark/>
          </w:tcPr>
          <w:p w14:paraId="61312900" w14:textId="4AF6B4A1"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08E0904C" w14:textId="3357A242"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2A0C771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3B42ACFD"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07F33FC1" w14:textId="54664435"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48DD0271" w14:textId="5EAB90F0"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4994243F" w14:textId="3D7BAE2B"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966D7A" w:rsidRPr="00DA2DE2" w14:paraId="34DA2E8E" w14:textId="533F61A6" w:rsidTr="00116794">
        <w:trPr>
          <w:trHeight w:val="337"/>
        </w:trPr>
        <w:tc>
          <w:tcPr>
            <w:tcW w:w="562" w:type="dxa"/>
            <w:vMerge/>
            <w:hideMark/>
          </w:tcPr>
          <w:p w14:paraId="7A225A9F" w14:textId="7C64BBB0"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54919A72" w14:textId="42E07999"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70DEF9C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352041F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3190A83B"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3CA60E0A" w14:textId="616AF5E6"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4191F233" w14:textId="4CD58BE0"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966D7A" w:rsidRPr="00DA2DE2" w14:paraId="5FD43B06" w14:textId="170560A7" w:rsidTr="00116794">
        <w:trPr>
          <w:trHeight w:val="337"/>
        </w:trPr>
        <w:tc>
          <w:tcPr>
            <w:tcW w:w="562" w:type="dxa"/>
            <w:vMerge/>
            <w:hideMark/>
          </w:tcPr>
          <w:p w14:paraId="3944DF51" w14:textId="541F29E3"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59832178" w14:textId="75202031"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16A7DB80" w14:textId="2699C1D9"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409C8E5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510DC5CC" w14:textId="7DE11762"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369BE527" w14:textId="580BABA4"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44599D24" w14:textId="3763EB90"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966D7A" w:rsidRPr="00DA2DE2" w14:paraId="4665091B" w14:textId="3CEE49F1" w:rsidTr="00116794">
        <w:trPr>
          <w:trHeight w:val="337"/>
        </w:trPr>
        <w:tc>
          <w:tcPr>
            <w:tcW w:w="562" w:type="dxa"/>
            <w:vMerge/>
            <w:hideMark/>
          </w:tcPr>
          <w:p w14:paraId="34678FF8" w14:textId="712E270B"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31AA97C7" w14:textId="026578FD"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788D6D34"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64A361C5"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6AEAA266" w14:textId="2210DCD1"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966D7A" w:rsidRPr="00DA2DE2">
              <w:rPr>
                <w:rFonts w:ascii="Arial" w:eastAsia="Times New Roman" w:hAnsi="Arial" w:cs="Arial"/>
                <w:color w:val="000000"/>
                <w:sz w:val="20"/>
                <w:szCs w:val="20"/>
                <w:lang w:val="en-GB" w:eastAsia="en-GB"/>
              </w:rPr>
              <w:t xml:space="preserve"> </w:t>
            </w:r>
          </w:p>
        </w:tc>
        <w:tc>
          <w:tcPr>
            <w:tcW w:w="2114" w:type="dxa"/>
          </w:tcPr>
          <w:p w14:paraId="06F0011D" w14:textId="1996022F"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1C97708E" w14:textId="0F50CF54"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966D7A" w:rsidRPr="00DA2DE2" w14:paraId="5F2F3CC1" w14:textId="78C5AE6E" w:rsidTr="00116794">
        <w:trPr>
          <w:trHeight w:val="337"/>
        </w:trPr>
        <w:tc>
          <w:tcPr>
            <w:tcW w:w="562" w:type="dxa"/>
            <w:vMerge/>
            <w:hideMark/>
          </w:tcPr>
          <w:p w14:paraId="2D1B39EF" w14:textId="32A5B732"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3E9BF8E8"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00A8AA36"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6196897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6725A99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5BE9561A" w14:textId="0D783219" w:rsidR="00966D7A" w:rsidRPr="00DA2DE2" w:rsidRDefault="00342208"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52C1B0AA" w14:textId="2A2E7F17"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r w:rsidR="00966D7A" w:rsidRPr="00DA2DE2" w14:paraId="7A0365E9" w14:textId="6BA34997" w:rsidTr="00116794">
        <w:trPr>
          <w:trHeight w:val="337"/>
        </w:trPr>
        <w:tc>
          <w:tcPr>
            <w:tcW w:w="562" w:type="dxa"/>
            <w:vMerge w:val="restart"/>
            <w:hideMark/>
          </w:tcPr>
          <w:p w14:paraId="2A897F8D" w14:textId="3DC3DF9B" w:rsidR="00966D7A"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2</w:t>
            </w:r>
          </w:p>
        </w:tc>
        <w:tc>
          <w:tcPr>
            <w:tcW w:w="1701" w:type="dxa"/>
            <w:hideMark/>
          </w:tcPr>
          <w:p w14:paraId="291997BD"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External prestressing cables</w:t>
            </w:r>
          </w:p>
        </w:tc>
        <w:tc>
          <w:tcPr>
            <w:tcW w:w="1985" w:type="dxa"/>
            <w:hideMark/>
          </w:tcPr>
          <w:p w14:paraId="55DEFFB5" w14:textId="40AB4830"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Prestressed Steel Y1860</w:t>
            </w:r>
          </w:p>
        </w:tc>
        <w:tc>
          <w:tcPr>
            <w:tcW w:w="1253" w:type="dxa"/>
            <w:hideMark/>
          </w:tcPr>
          <w:p w14:paraId="6704989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3.6</w:t>
            </w:r>
          </w:p>
        </w:tc>
        <w:tc>
          <w:tcPr>
            <w:tcW w:w="873" w:type="dxa"/>
            <w:hideMark/>
          </w:tcPr>
          <w:p w14:paraId="365FEBBF" w14:textId="25C6724A"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09053F7C" w14:textId="6E3BC8A0"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000642</w:t>
            </w:r>
          </w:p>
        </w:tc>
        <w:tc>
          <w:tcPr>
            <w:tcW w:w="1376" w:type="dxa"/>
            <w:vAlign w:val="center"/>
          </w:tcPr>
          <w:p w14:paraId="724B0BE8" w14:textId="54CE6A5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 </w:t>
            </w:r>
          </w:p>
        </w:tc>
      </w:tr>
      <w:tr w:rsidR="00966D7A" w:rsidRPr="00DA2DE2" w14:paraId="3BFD2646" w14:textId="4414AC68" w:rsidTr="00116794">
        <w:trPr>
          <w:trHeight w:val="337"/>
        </w:trPr>
        <w:tc>
          <w:tcPr>
            <w:tcW w:w="562" w:type="dxa"/>
            <w:vMerge/>
            <w:hideMark/>
          </w:tcPr>
          <w:p w14:paraId="76166FD2" w14:textId="7A7C2969"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29C4B3D5"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Restoration half-joint</w:t>
            </w:r>
          </w:p>
        </w:tc>
        <w:tc>
          <w:tcPr>
            <w:tcW w:w="1985" w:type="dxa"/>
            <w:hideMark/>
          </w:tcPr>
          <w:p w14:paraId="7A33CAA4"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2FF1F4B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4</w:t>
            </w:r>
          </w:p>
        </w:tc>
        <w:tc>
          <w:tcPr>
            <w:tcW w:w="873" w:type="dxa"/>
            <w:hideMark/>
          </w:tcPr>
          <w:p w14:paraId="70468D36"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0DF81A90" w14:textId="4872282B"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6826E5A0" w14:textId="0DD1CB3F"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5B8AC115" w14:textId="37440EC8" w:rsidTr="00116794">
        <w:trPr>
          <w:trHeight w:val="337"/>
        </w:trPr>
        <w:tc>
          <w:tcPr>
            <w:tcW w:w="562" w:type="dxa"/>
            <w:vMerge/>
            <w:hideMark/>
          </w:tcPr>
          <w:p w14:paraId="01DD4F90" w14:textId="363038AF"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57D48DD7"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Steel beams </w:t>
            </w:r>
          </w:p>
        </w:tc>
        <w:tc>
          <w:tcPr>
            <w:tcW w:w="1985" w:type="dxa"/>
            <w:hideMark/>
          </w:tcPr>
          <w:p w14:paraId="1052608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Structural Steel</w:t>
            </w:r>
          </w:p>
        </w:tc>
        <w:tc>
          <w:tcPr>
            <w:tcW w:w="1253" w:type="dxa"/>
            <w:hideMark/>
          </w:tcPr>
          <w:p w14:paraId="434DD25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312</w:t>
            </w:r>
          </w:p>
        </w:tc>
        <w:tc>
          <w:tcPr>
            <w:tcW w:w="873" w:type="dxa"/>
            <w:hideMark/>
          </w:tcPr>
          <w:p w14:paraId="1B8B2F65" w14:textId="5C07657B"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19A263F7" w14:textId="357BB911"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EPD-IES-0024020</w:t>
            </w:r>
          </w:p>
        </w:tc>
        <w:tc>
          <w:tcPr>
            <w:tcW w:w="1376" w:type="dxa"/>
            <w:vAlign w:val="center"/>
          </w:tcPr>
          <w:p w14:paraId="48F7D876" w14:textId="446EE23D"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371860F4" w14:textId="6737FD7B" w:rsidTr="00116794">
        <w:trPr>
          <w:trHeight w:val="337"/>
        </w:trPr>
        <w:tc>
          <w:tcPr>
            <w:tcW w:w="562" w:type="dxa"/>
            <w:vMerge/>
            <w:hideMark/>
          </w:tcPr>
          <w:p w14:paraId="0BDD268B" w14:textId="1A270576"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01545FF0"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Concrete deck slab </w:t>
            </w:r>
          </w:p>
          <w:p w14:paraId="5FD3265C" w14:textId="1CF12DAA"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w:t>
            </w:r>
          </w:p>
        </w:tc>
        <w:tc>
          <w:tcPr>
            <w:tcW w:w="1985" w:type="dxa"/>
            <w:hideMark/>
          </w:tcPr>
          <w:p w14:paraId="42738B1D"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65AC9C64"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260</w:t>
            </w:r>
          </w:p>
        </w:tc>
        <w:tc>
          <w:tcPr>
            <w:tcW w:w="873" w:type="dxa"/>
            <w:hideMark/>
          </w:tcPr>
          <w:p w14:paraId="29F8A5C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41D8E268" w14:textId="1D1C6BB5"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6A0456FC" w14:textId="6CEA1A65"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0335A636" w14:textId="4389F2B0" w:rsidTr="00116794">
        <w:trPr>
          <w:trHeight w:val="337"/>
        </w:trPr>
        <w:tc>
          <w:tcPr>
            <w:tcW w:w="562" w:type="dxa"/>
            <w:vMerge/>
            <w:hideMark/>
          </w:tcPr>
          <w:p w14:paraId="53C7F9B3" w14:textId="7C06C78F"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0FE57D14" w14:textId="76D5C0DA"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71FC2F5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72B237C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31.2</w:t>
            </w:r>
          </w:p>
        </w:tc>
        <w:tc>
          <w:tcPr>
            <w:tcW w:w="873" w:type="dxa"/>
            <w:hideMark/>
          </w:tcPr>
          <w:p w14:paraId="3A13FA68" w14:textId="2E08CA48"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1CBD4E72" w14:textId="616EAE6B"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1E302E6B" w14:textId="6C038588"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4E884269" w14:textId="3971889A" w:rsidTr="00116794">
        <w:trPr>
          <w:trHeight w:val="337"/>
        </w:trPr>
        <w:tc>
          <w:tcPr>
            <w:tcW w:w="562" w:type="dxa"/>
            <w:vMerge/>
            <w:hideMark/>
          </w:tcPr>
          <w:p w14:paraId="0DAFB15E" w14:textId="01ACD0A6"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703B1678" w14:textId="2118EEFB"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25D9E73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3387F8EE"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02659509" w14:textId="34B9B4F3"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67BD6D6B" w14:textId="2C5D822A"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53924B98" w14:textId="5E26A186"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966D7A" w:rsidRPr="00DA2DE2" w14:paraId="463FD3B7" w14:textId="2E6AE348" w:rsidTr="00116794">
        <w:trPr>
          <w:trHeight w:val="337"/>
        </w:trPr>
        <w:tc>
          <w:tcPr>
            <w:tcW w:w="562" w:type="dxa"/>
            <w:vMerge/>
            <w:hideMark/>
          </w:tcPr>
          <w:p w14:paraId="11C5FEF1" w14:textId="74E8889F"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5FCCC210" w14:textId="346225A1"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4D3DD6E0"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58691AE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5339ED5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6126071A" w14:textId="13D592FA"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559E0B8F" w14:textId="0B0F79E9"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966D7A" w:rsidRPr="00DA2DE2" w14:paraId="35FCE70D" w14:textId="2B2E54F4" w:rsidTr="00116794">
        <w:trPr>
          <w:trHeight w:val="337"/>
        </w:trPr>
        <w:tc>
          <w:tcPr>
            <w:tcW w:w="562" w:type="dxa"/>
            <w:vMerge/>
            <w:hideMark/>
          </w:tcPr>
          <w:p w14:paraId="4ED32AF2" w14:textId="6F6B41C0"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671475A9" w14:textId="7600BDFD"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16F2CB02" w14:textId="70460C8D"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7B62D3CE"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19647C00" w14:textId="24120AC8"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036797D6" w14:textId="0E38CE7C"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2B7DCC9D" w14:textId="6BC48628"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966D7A" w:rsidRPr="00DA2DE2" w14:paraId="17E89BF8" w14:textId="141F70D0" w:rsidTr="00116794">
        <w:trPr>
          <w:trHeight w:val="337"/>
        </w:trPr>
        <w:tc>
          <w:tcPr>
            <w:tcW w:w="562" w:type="dxa"/>
            <w:vMerge/>
            <w:hideMark/>
          </w:tcPr>
          <w:p w14:paraId="77549F3F" w14:textId="61C38CEA"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0EAF57B3" w14:textId="5E6B0AF9"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77C4160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388E5753"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47B8CEF6" w14:textId="4BEA25FB"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966D7A" w:rsidRPr="00DA2DE2">
              <w:rPr>
                <w:rFonts w:ascii="Arial" w:eastAsia="Times New Roman" w:hAnsi="Arial" w:cs="Arial"/>
                <w:color w:val="000000"/>
                <w:sz w:val="20"/>
                <w:szCs w:val="20"/>
                <w:lang w:val="en-GB" w:eastAsia="en-GB"/>
              </w:rPr>
              <w:t xml:space="preserve"> </w:t>
            </w:r>
          </w:p>
        </w:tc>
        <w:tc>
          <w:tcPr>
            <w:tcW w:w="2114" w:type="dxa"/>
          </w:tcPr>
          <w:p w14:paraId="70392C92" w14:textId="461BCA5F"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1537A3DF" w14:textId="6D5B944E"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966D7A" w:rsidRPr="00DA2DE2" w14:paraId="0ABB14CD" w14:textId="1296605B" w:rsidTr="00116794">
        <w:trPr>
          <w:trHeight w:val="337"/>
        </w:trPr>
        <w:tc>
          <w:tcPr>
            <w:tcW w:w="562" w:type="dxa"/>
            <w:vMerge/>
            <w:hideMark/>
          </w:tcPr>
          <w:p w14:paraId="51B44273" w14:textId="3518A7E0"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64721D94"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08E5A5A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6D1117A3"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43C4C0D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4B5EFBA5" w14:textId="1675BBD8" w:rsidR="00966D7A" w:rsidRPr="00DA2DE2" w:rsidRDefault="00342208"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2DFB3B55" w14:textId="6D556434"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r w:rsidR="00966D7A" w:rsidRPr="00DA2DE2" w14:paraId="226D2AE7" w14:textId="1A1FEF2B" w:rsidTr="00116794">
        <w:trPr>
          <w:trHeight w:val="337"/>
        </w:trPr>
        <w:tc>
          <w:tcPr>
            <w:tcW w:w="562" w:type="dxa"/>
            <w:vMerge w:val="restart"/>
            <w:hideMark/>
          </w:tcPr>
          <w:p w14:paraId="705FE0AB" w14:textId="4F4B2077" w:rsidR="00966D7A"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3</w:t>
            </w:r>
          </w:p>
        </w:tc>
        <w:tc>
          <w:tcPr>
            <w:tcW w:w="1701" w:type="dxa"/>
            <w:hideMark/>
          </w:tcPr>
          <w:p w14:paraId="54A86301"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beams (new superstructure)</w:t>
            </w:r>
          </w:p>
        </w:tc>
        <w:tc>
          <w:tcPr>
            <w:tcW w:w="1985" w:type="dxa"/>
            <w:hideMark/>
          </w:tcPr>
          <w:p w14:paraId="5AEB10E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Structural Steel</w:t>
            </w:r>
          </w:p>
        </w:tc>
        <w:tc>
          <w:tcPr>
            <w:tcW w:w="1253" w:type="dxa"/>
            <w:hideMark/>
          </w:tcPr>
          <w:p w14:paraId="06F44B35"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780</w:t>
            </w:r>
          </w:p>
        </w:tc>
        <w:tc>
          <w:tcPr>
            <w:tcW w:w="873" w:type="dxa"/>
            <w:hideMark/>
          </w:tcPr>
          <w:p w14:paraId="64F5E933" w14:textId="102BDDB6"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1F3750CD" w14:textId="0B9AD3EB"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EPD-IES-0024020</w:t>
            </w:r>
          </w:p>
        </w:tc>
        <w:tc>
          <w:tcPr>
            <w:tcW w:w="1376" w:type="dxa"/>
            <w:vAlign w:val="center"/>
          </w:tcPr>
          <w:p w14:paraId="5626FC71" w14:textId="7FF20012"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04114A28" w14:textId="30AF6141" w:rsidTr="00116794">
        <w:trPr>
          <w:trHeight w:val="337"/>
        </w:trPr>
        <w:tc>
          <w:tcPr>
            <w:tcW w:w="562" w:type="dxa"/>
            <w:vMerge/>
            <w:hideMark/>
          </w:tcPr>
          <w:p w14:paraId="259E9BB8" w14:textId="02254A54"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3C70E14E" w14:textId="55659D9B"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deck slab</w:t>
            </w:r>
          </w:p>
        </w:tc>
        <w:tc>
          <w:tcPr>
            <w:tcW w:w="1985" w:type="dxa"/>
            <w:hideMark/>
          </w:tcPr>
          <w:p w14:paraId="5180314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3DF000C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264</w:t>
            </w:r>
          </w:p>
        </w:tc>
        <w:tc>
          <w:tcPr>
            <w:tcW w:w="873" w:type="dxa"/>
            <w:hideMark/>
          </w:tcPr>
          <w:p w14:paraId="3B5AE02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78C0981F" w14:textId="09F7E340"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5332CB29" w14:textId="01F9A30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361A109F" w14:textId="5EA8C7D9" w:rsidTr="00116794">
        <w:trPr>
          <w:trHeight w:val="337"/>
        </w:trPr>
        <w:tc>
          <w:tcPr>
            <w:tcW w:w="562" w:type="dxa"/>
            <w:vMerge/>
            <w:hideMark/>
          </w:tcPr>
          <w:p w14:paraId="6B5BDDB0" w14:textId="602556E3"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4DE45EB0" w14:textId="7E05A08A"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4D11694B" w14:textId="05D20D73"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3001368B"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31.2</w:t>
            </w:r>
          </w:p>
        </w:tc>
        <w:tc>
          <w:tcPr>
            <w:tcW w:w="873" w:type="dxa"/>
            <w:hideMark/>
          </w:tcPr>
          <w:p w14:paraId="3996333C" w14:textId="62D6293F"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75249F2E" w14:textId="25841D00"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0C07B583" w14:textId="60EF4FED"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1F480F0E" w14:textId="1ECB28BA" w:rsidTr="00116794">
        <w:trPr>
          <w:trHeight w:val="337"/>
        </w:trPr>
        <w:tc>
          <w:tcPr>
            <w:tcW w:w="562" w:type="dxa"/>
            <w:vMerge/>
            <w:hideMark/>
          </w:tcPr>
          <w:p w14:paraId="57376906" w14:textId="7B79B430"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3605664C" w14:textId="01988360"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08323AF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0A0CE8E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2C4FB139" w14:textId="3AB4F193"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08EFB323" w14:textId="789BB023"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72E61BA5" w14:textId="57DA2CE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966D7A" w:rsidRPr="00DA2DE2" w14:paraId="49963513" w14:textId="00BF6C00" w:rsidTr="00116794">
        <w:trPr>
          <w:trHeight w:val="337"/>
        </w:trPr>
        <w:tc>
          <w:tcPr>
            <w:tcW w:w="562" w:type="dxa"/>
            <w:vMerge/>
            <w:hideMark/>
          </w:tcPr>
          <w:p w14:paraId="4B661768" w14:textId="70676CAB"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66F3B47E" w14:textId="0E03D233"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2E603FC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3D7AC43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29C6BB3D"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21784EA4" w14:textId="0F899986"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4A9EF492" w14:textId="67F8DF9F"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966D7A" w:rsidRPr="00DA2DE2" w14:paraId="4A7CDF2C" w14:textId="4F196433" w:rsidTr="00116794">
        <w:trPr>
          <w:trHeight w:val="337"/>
        </w:trPr>
        <w:tc>
          <w:tcPr>
            <w:tcW w:w="562" w:type="dxa"/>
            <w:vMerge/>
            <w:hideMark/>
          </w:tcPr>
          <w:p w14:paraId="3F2F322C" w14:textId="2EA77205"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173CB0D8" w14:textId="072F0FC0"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0E59004D" w14:textId="28A6180D"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076D356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03A7A44B" w14:textId="7302D1C1"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4D961815" w14:textId="2D7A465A"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1C25D1B2" w14:textId="51A7CAD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966D7A" w:rsidRPr="00DA2DE2" w14:paraId="034426F7" w14:textId="71EA52FB" w:rsidTr="00116794">
        <w:trPr>
          <w:trHeight w:val="337"/>
        </w:trPr>
        <w:tc>
          <w:tcPr>
            <w:tcW w:w="562" w:type="dxa"/>
            <w:vMerge/>
            <w:hideMark/>
          </w:tcPr>
          <w:p w14:paraId="7C34C126" w14:textId="0C15621C"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2B0A557B" w14:textId="07B74202"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467E27F3"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70CF6E1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60BE6561" w14:textId="353E4D61"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966D7A" w:rsidRPr="00DA2DE2">
              <w:rPr>
                <w:rFonts w:ascii="Arial" w:eastAsia="Times New Roman" w:hAnsi="Arial" w:cs="Arial"/>
                <w:color w:val="000000"/>
                <w:sz w:val="20"/>
                <w:szCs w:val="20"/>
                <w:lang w:val="en-GB" w:eastAsia="en-GB"/>
              </w:rPr>
              <w:t xml:space="preserve"> </w:t>
            </w:r>
          </w:p>
        </w:tc>
        <w:tc>
          <w:tcPr>
            <w:tcW w:w="2114" w:type="dxa"/>
          </w:tcPr>
          <w:p w14:paraId="72594843" w14:textId="0E22D6FD"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457E65AA" w14:textId="2D1CE85B"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966D7A" w:rsidRPr="00DA2DE2" w14:paraId="4607C5D3" w14:textId="1D0EF59D" w:rsidTr="00116794">
        <w:trPr>
          <w:trHeight w:val="337"/>
        </w:trPr>
        <w:tc>
          <w:tcPr>
            <w:tcW w:w="562" w:type="dxa"/>
            <w:vMerge/>
            <w:hideMark/>
          </w:tcPr>
          <w:p w14:paraId="68977458" w14:textId="27F45BC7"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51CC4A17"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25433850"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1ED4146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491E935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482C9105" w14:textId="07A5BE9B" w:rsidR="00966D7A" w:rsidRPr="00DA2DE2" w:rsidRDefault="00BC1E4E"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61F14D1E" w14:textId="490AAD85"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r w:rsidR="00966D7A" w:rsidRPr="00DA2DE2" w14:paraId="495BC612" w14:textId="012863E0" w:rsidTr="00116794">
        <w:trPr>
          <w:trHeight w:val="337"/>
        </w:trPr>
        <w:tc>
          <w:tcPr>
            <w:tcW w:w="562" w:type="dxa"/>
            <w:vMerge w:val="restart"/>
            <w:hideMark/>
          </w:tcPr>
          <w:p w14:paraId="21D4B656" w14:textId="49D8578D" w:rsidR="00966D7A"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4</w:t>
            </w:r>
          </w:p>
        </w:tc>
        <w:tc>
          <w:tcPr>
            <w:tcW w:w="1701" w:type="dxa"/>
            <w:vMerge w:val="restart"/>
            <w:noWrap/>
            <w:hideMark/>
          </w:tcPr>
          <w:p w14:paraId="24D67FFB" w14:textId="4569BA70"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casting pylons</w:t>
            </w:r>
          </w:p>
        </w:tc>
        <w:tc>
          <w:tcPr>
            <w:tcW w:w="1985" w:type="dxa"/>
            <w:hideMark/>
          </w:tcPr>
          <w:p w14:paraId="53F89620"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02A43095"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400</w:t>
            </w:r>
          </w:p>
        </w:tc>
        <w:tc>
          <w:tcPr>
            <w:tcW w:w="873" w:type="dxa"/>
            <w:hideMark/>
          </w:tcPr>
          <w:p w14:paraId="6FE86745"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33C658FD" w14:textId="515E9A46"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058C320A" w14:textId="39AFA594"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4B3B2B2D" w14:textId="6E685CCF" w:rsidTr="00116794">
        <w:trPr>
          <w:trHeight w:val="337"/>
        </w:trPr>
        <w:tc>
          <w:tcPr>
            <w:tcW w:w="562" w:type="dxa"/>
            <w:vMerge/>
            <w:hideMark/>
          </w:tcPr>
          <w:p w14:paraId="2F56CF7D" w14:textId="080BD4F5"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noWrap/>
            <w:hideMark/>
          </w:tcPr>
          <w:p w14:paraId="55DD511F" w14:textId="6C8B0FA7"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267E085A" w14:textId="72B1E2DE"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4C13225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82.9</w:t>
            </w:r>
          </w:p>
        </w:tc>
        <w:tc>
          <w:tcPr>
            <w:tcW w:w="873" w:type="dxa"/>
            <w:hideMark/>
          </w:tcPr>
          <w:p w14:paraId="151A1012" w14:textId="40480D2D"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445EF97D" w14:textId="17BEE8C3"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34BD58DC" w14:textId="226FE59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245C863D" w14:textId="5F06BA79" w:rsidTr="00116794">
        <w:trPr>
          <w:trHeight w:val="337"/>
        </w:trPr>
        <w:tc>
          <w:tcPr>
            <w:tcW w:w="562" w:type="dxa"/>
            <w:vMerge/>
            <w:hideMark/>
          </w:tcPr>
          <w:p w14:paraId="7A3DB008" w14:textId="0FDF37E8"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61053117"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installation of cable-stays (high-strength steel cables)</w:t>
            </w:r>
          </w:p>
        </w:tc>
        <w:tc>
          <w:tcPr>
            <w:tcW w:w="1985" w:type="dxa"/>
            <w:hideMark/>
          </w:tcPr>
          <w:p w14:paraId="1F39196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Y1860</w:t>
            </w:r>
          </w:p>
        </w:tc>
        <w:tc>
          <w:tcPr>
            <w:tcW w:w="1253" w:type="dxa"/>
            <w:hideMark/>
          </w:tcPr>
          <w:p w14:paraId="6C91047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32</w:t>
            </w:r>
          </w:p>
        </w:tc>
        <w:tc>
          <w:tcPr>
            <w:tcW w:w="873" w:type="dxa"/>
            <w:hideMark/>
          </w:tcPr>
          <w:p w14:paraId="12647CCF" w14:textId="2A51ED5F"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T</w:t>
            </w:r>
          </w:p>
        </w:tc>
        <w:tc>
          <w:tcPr>
            <w:tcW w:w="2114" w:type="dxa"/>
          </w:tcPr>
          <w:p w14:paraId="3A7E3AA1" w14:textId="5765F3E4"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000642</w:t>
            </w:r>
          </w:p>
        </w:tc>
        <w:tc>
          <w:tcPr>
            <w:tcW w:w="1376" w:type="dxa"/>
            <w:vAlign w:val="center"/>
          </w:tcPr>
          <w:p w14:paraId="202CA9E5" w14:textId="39C704D4"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 </w:t>
            </w:r>
          </w:p>
        </w:tc>
      </w:tr>
      <w:tr w:rsidR="00966D7A" w:rsidRPr="00DA2DE2" w14:paraId="6CD019FC" w14:textId="6C7E8C48" w:rsidTr="00116794">
        <w:trPr>
          <w:trHeight w:val="337"/>
        </w:trPr>
        <w:tc>
          <w:tcPr>
            <w:tcW w:w="562" w:type="dxa"/>
            <w:vMerge/>
            <w:hideMark/>
          </w:tcPr>
          <w:p w14:paraId="1A3784A1" w14:textId="0FDFE16C"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7D175E97"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Restoration half-joint</w:t>
            </w:r>
          </w:p>
        </w:tc>
        <w:tc>
          <w:tcPr>
            <w:tcW w:w="1985" w:type="dxa"/>
            <w:hideMark/>
          </w:tcPr>
          <w:p w14:paraId="0494B34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57AE7E56"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4</w:t>
            </w:r>
          </w:p>
        </w:tc>
        <w:tc>
          <w:tcPr>
            <w:tcW w:w="873" w:type="dxa"/>
            <w:hideMark/>
          </w:tcPr>
          <w:p w14:paraId="5C319763"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556CE866" w14:textId="6A9F1B2D"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4DD89B0B" w14:textId="23111D59"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60D00843" w14:textId="09C0DCA0" w:rsidTr="00116794">
        <w:trPr>
          <w:trHeight w:val="337"/>
        </w:trPr>
        <w:tc>
          <w:tcPr>
            <w:tcW w:w="562" w:type="dxa"/>
            <w:vMerge/>
            <w:hideMark/>
          </w:tcPr>
          <w:p w14:paraId="38B011BC" w14:textId="48E40CDC"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39E1C2D7"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beams (new superstructure)</w:t>
            </w:r>
          </w:p>
        </w:tc>
        <w:tc>
          <w:tcPr>
            <w:tcW w:w="1985" w:type="dxa"/>
            <w:hideMark/>
          </w:tcPr>
          <w:p w14:paraId="24FC8F1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Structural Steel</w:t>
            </w:r>
          </w:p>
        </w:tc>
        <w:tc>
          <w:tcPr>
            <w:tcW w:w="1253" w:type="dxa"/>
            <w:hideMark/>
          </w:tcPr>
          <w:p w14:paraId="080A4F2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312</w:t>
            </w:r>
          </w:p>
        </w:tc>
        <w:tc>
          <w:tcPr>
            <w:tcW w:w="873" w:type="dxa"/>
            <w:hideMark/>
          </w:tcPr>
          <w:p w14:paraId="0E8B774B" w14:textId="3740CC5C"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339F6078" w14:textId="77777777" w:rsidR="00966D7A" w:rsidRPr="00DA2DE2" w:rsidRDefault="00966D7A" w:rsidP="00116794">
            <w:pPr>
              <w:rPr>
                <w:rFonts w:ascii="Arial" w:eastAsia="Times New Roman" w:hAnsi="Arial" w:cs="Arial"/>
                <w:color w:val="000000"/>
                <w:sz w:val="20"/>
                <w:szCs w:val="20"/>
                <w:lang w:val="en-GB" w:eastAsia="en-GB"/>
              </w:rPr>
            </w:pPr>
          </w:p>
        </w:tc>
        <w:tc>
          <w:tcPr>
            <w:tcW w:w="1376" w:type="dxa"/>
            <w:vAlign w:val="center"/>
          </w:tcPr>
          <w:p w14:paraId="46DCA19E" w14:textId="629F9B1F"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03968F29" w14:textId="19310CC8" w:rsidTr="00116794">
        <w:trPr>
          <w:trHeight w:val="337"/>
        </w:trPr>
        <w:tc>
          <w:tcPr>
            <w:tcW w:w="562" w:type="dxa"/>
            <w:vMerge/>
            <w:hideMark/>
          </w:tcPr>
          <w:p w14:paraId="2C7442C4" w14:textId="0D1B2494"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3852D95E" w14:textId="25C43EE0"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Concrete deck slab </w:t>
            </w:r>
          </w:p>
        </w:tc>
        <w:tc>
          <w:tcPr>
            <w:tcW w:w="1985" w:type="dxa"/>
            <w:hideMark/>
          </w:tcPr>
          <w:p w14:paraId="5D69B50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3B52C22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104</w:t>
            </w:r>
          </w:p>
        </w:tc>
        <w:tc>
          <w:tcPr>
            <w:tcW w:w="873" w:type="dxa"/>
            <w:hideMark/>
          </w:tcPr>
          <w:p w14:paraId="70EE5E1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571FE0F7" w14:textId="5585F3B1"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09C41B18" w14:textId="200EF285"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09D6A240" w14:textId="4350114E" w:rsidTr="00116794">
        <w:trPr>
          <w:trHeight w:val="337"/>
        </w:trPr>
        <w:tc>
          <w:tcPr>
            <w:tcW w:w="562" w:type="dxa"/>
            <w:vMerge/>
            <w:hideMark/>
          </w:tcPr>
          <w:p w14:paraId="38C0E90D" w14:textId="12447885"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7591041C" w14:textId="5B15D254"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5757985D" w14:textId="59C040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567CFABB"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12.48</w:t>
            </w:r>
          </w:p>
        </w:tc>
        <w:tc>
          <w:tcPr>
            <w:tcW w:w="873" w:type="dxa"/>
            <w:hideMark/>
          </w:tcPr>
          <w:p w14:paraId="13ABB4B3" w14:textId="53B7676B"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7665F9D3" w14:textId="6A6DA5B6"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71B4AFE7" w14:textId="787A8E4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708A06AF" w14:textId="3BCD3791" w:rsidTr="00116794">
        <w:trPr>
          <w:trHeight w:val="337"/>
        </w:trPr>
        <w:tc>
          <w:tcPr>
            <w:tcW w:w="562" w:type="dxa"/>
            <w:vMerge/>
            <w:hideMark/>
          </w:tcPr>
          <w:p w14:paraId="57567112" w14:textId="31D275D5"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7247EABC" w14:textId="1131C846"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4C0522A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7C0F8AAD"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7B481484" w14:textId="0410DB4D"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1ED694A7" w14:textId="3EE1A3C4"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4AD978E3" w14:textId="10B09827"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966D7A" w:rsidRPr="00DA2DE2" w14:paraId="00D930EF" w14:textId="13FF73AF" w:rsidTr="00116794">
        <w:trPr>
          <w:trHeight w:val="337"/>
        </w:trPr>
        <w:tc>
          <w:tcPr>
            <w:tcW w:w="562" w:type="dxa"/>
            <w:vMerge/>
            <w:hideMark/>
          </w:tcPr>
          <w:p w14:paraId="424C292D" w14:textId="40FDE6AD"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367AA724" w14:textId="7632E5F3"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1A6AD47E"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0F66930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6D2368A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2385108D" w14:textId="61B02F79"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4A05C489" w14:textId="61C9D4BA"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966D7A" w:rsidRPr="00DA2DE2" w14:paraId="574B0D2B" w14:textId="5A518BF1" w:rsidTr="00116794">
        <w:trPr>
          <w:trHeight w:val="337"/>
        </w:trPr>
        <w:tc>
          <w:tcPr>
            <w:tcW w:w="562" w:type="dxa"/>
            <w:vMerge/>
            <w:hideMark/>
          </w:tcPr>
          <w:p w14:paraId="08EA392D" w14:textId="69070FB1"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44C80ECC" w14:textId="1083573C"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49EC6F67" w14:textId="21DB9A72"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0E7AA8E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12AF2BCC" w14:textId="6FE58AF4"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0C1F199C" w14:textId="67C43036"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05728408" w14:textId="16F2C521"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966D7A" w:rsidRPr="00DA2DE2" w14:paraId="726DBB65" w14:textId="153FD477" w:rsidTr="00116794">
        <w:trPr>
          <w:trHeight w:val="337"/>
        </w:trPr>
        <w:tc>
          <w:tcPr>
            <w:tcW w:w="562" w:type="dxa"/>
            <w:vMerge/>
            <w:hideMark/>
          </w:tcPr>
          <w:p w14:paraId="786CCB27" w14:textId="59B96096"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11FD414C" w14:textId="36110290"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3BBEC4C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20909054"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64FDA9F3" w14:textId="3911F2BB"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966D7A" w:rsidRPr="00DA2DE2">
              <w:rPr>
                <w:rFonts w:ascii="Arial" w:eastAsia="Times New Roman" w:hAnsi="Arial" w:cs="Arial"/>
                <w:color w:val="000000"/>
                <w:sz w:val="20"/>
                <w:szCs w:val="20"/>
                <w:lang w:val="en-GB" w:eastAsia="en-GB"/>
              </w:rPr>
              <w:t xml:space="preserve"> </w:t>
            </w:r>
          </w:p>
        </w:tc>
        <w:tc>
          <w:tcPr>
            <w:tcW w:w="2114" w:type="dxa"/>
          </w:tcPr>
          <w:p w14:paraId="718719AD" w14:textId="793FDB3D"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4CC69D7D" w14:textId="7A81497E"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966D7A" w:rsidRPr="00DA2DE2" w14:paraId="18860DB8" w14:textId="7A94B074" w:rsidTr="00116794">
        <w:trPr>
          <w:trHeight w:val="337"/>
        </w:trPr>
        <w:tc>
          <w:tcPr>
            <w:tcW w:w="562" w:type="dxa"/>
            <w:vMerge/>
            <w:hideMark/>
          </w:tcPr>
          <w:p w14:paraId="76BB1603" w14:textId="668B16B4"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2EED2A7B"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5B836BE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5BCE743F"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1A4E891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42BE0E60" w14:textId="28F3186F" w:rsidR="00966D7A" w:rsidRPr="00DA2DE2" w:rsidRDefault="00BC1E4E"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35424F7F" w14:textId="4CED640E"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r w:rsidR="00966D7A" w:rsidRPr="00DA2DE2" w14:paraId="59CC9A60" w14:textId="4BF090A1" w:rsidTr="00116794">
        <w:trPr>
          <w:trHeight w:val="337"/>
        </w:trPr>
        <w:tc>
          <w:tcPr>
            <w:tcW w:w="562" w:type="dxa"/>
            <w:vMerge w:val="restart"/>
            <w:hideMark/>
          </w:tcPr>
          <w:p w14:paraId="44C0686D" w14:textId="239E0DD3" w:rsidR="00966D7A"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5</w:t>
            </w:r>
          </w:p>
        </w:tc>
        <w:tc>
          <w:tcPr>
            <w:tcW w:w="1701" w:type="dxa"/>
            <w:hideMark/>
          </w:tcPr>
          <w:p w14:paraId="6A51AC6F"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High-strength steel cables</w:t>
            </w:r>
          </w:p>
        </w:tc>
        <w:tc>
          <w:tcPr>
            <w:tcW w:w="1985" w:type="dxa"/>
            <w:hideMark/>
          </w:tcPr>
          <w:p w14:paraId="5A510E44"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Y1860</w:t>
            </w:r>
          </w:p>
        </w:tc>
        <w:tc>
          <w:tcPr>
            <w:tcW w:w="1253" w:type="dxa"/>
            <w:hideMark/>
          </w:tcPr>
          <w:p w14:paraId="729D2EC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3.78</w:t>
            </w:r>
          </w:p>
        </w:tc>
        <w:tc>
          <w:tcPr>
            <w:tcW w:w="873" w:type="dxa"/>
            <w:hideMark/>
          </w:tcPr>
          <w:p w14:paraId="13186D99" w14:textId="24913D1E"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279B32A1" w14:textId="1F475991"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S-P-09634</w:t>
            </w:r>
          </w:p>
        </w:tc>
        <w:tc>
          <w:tcPr>
            <w:tcW w:w="1376" w:type="dxa"/>
            <w:vAlign w:val="center"/>
          </w:tcPr>
          <w:p w14:paraId="66E953FE" w14:textId="4A243B89"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 </w:t>
            </w:r>
          </w:p>
        </w:tc>
      </w:tr>
      <w:tr w:rsidR="00966D7A" w:rsidRPr="00DA2DE2" w14:paraId="4CA61F2D" w14:textId="20481982" w:rsidTr="00116794">
        <w:trPr>
          <w:trHeight w:val="337"/>
        </w:trPr>
        <w:tc>
          <w:tcPr>
            <w:tcW w:w="562" w:type="dxa"/>
            <w:vMerge/>
            <w:hideMark/>
          </w:tcPr>
          <w:p w14:paraId="1DDFFCD8" w14:textId="2DBE1136"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0218D1EB" w14:textId="2537954D"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deck slab</w:t>
            </w:r>
          </w:p>
        </w:tc>
        <w:tc>
          <w:tcPr>
            <w:tcW w:w="1985" w:type="dxa"/>
            <w:hideMark/>
          </w:tcPr>
          <w:p w14:paraId="0D39C32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7C011532"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69</w:t>
            </w:r>
          </w:p>
        </w:tc>
        <w:tc>
          <w:tcPr>
            <w:tcW w:w="873" w:type="dxa"/>
            <w:hideMark/>
          </w:tcPr>
          <w:p w14:paraId="5097286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6D9F70BF" w14:textId="369A67F6"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090748BA" w14:textId="6B0CD76D"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966D7A" w:rsidRPr="00DA2DE2" w14:paraId="7F9299D3" w14:textId="777DB965" w:rsidTr="00116794">
        <w:trPr>
          <w:trHeight w:val="337"/>
        </w:trPr>
        <w:tc>
          <w:tcPr>
            <w:tcW w:w="562" w:type="dxa"/>
            <w:vMerge/>
            <w:hideMark/>
          </w:tcPr>
          <w:p w14:paraId="7D4A7F00" w14:textId="4CEB9254"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7AA16F92" w14:textId="40F8376A"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1E421C3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694049DB"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7.85</w:t>
            </w:r>
          </w:p>
        </w:tc>
        <w:tc>
          <w:tcPr>
            <w:tcW w:w="873" w:type="dxa"/>
            <w:hideMark/>
          </w:tcPr>
          <w:p w14:paraId="625E5064" w14:textId="70E6AE66"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7F1FC126" w14:textId="77777777" w:rsidR="00966D7A" w:rsidRPr="00DA2DE2" w:rsidRDefault="00966D7A" w:rsidP="00116794">
            <w:pPr>
              <w:rPr>
                <w:rFonts w:ascii="Arial" w:eastAsia="Times New Roman" w:hAnsi="Arial" w:cs="Arial"/>
                <w:color w:val="000000"/>
                <w:sz w:val="20"/>
                <w:szCs w:val="20"/>
                <w:lang w:val="en-GB" w:eastAsia="en-GB"/>
              </w:rPr>
            </w:pPr>
          </w:p>
        </w:tc>
        <w:tc>
          <w:tcPr>
            <w:tcW w:w="1376" w:type="dxa"/>
            <w:vAlign w:val="center"/>
          </w:tcPr>
          <w:p w14:paraId="2D3E4FE1" w14:textId="66B15693"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966D7A" w:rsidRPr="00DA2DE2" w14:paraId="07581038" w14:textId="4A8B2BB3" w:rsidTr="00116794">
        <w:trPr>
          <w:trHeight w:val="337"/>
        </w:trPr>
        <w:tc>
          <w:tcPr>
            <w:tcW w:w="562" w:type="dxa"/>
            <w:vMerge/>
            <w:hideMark/>
          </w:tcPr>
          <w:p w14:paraId="25107A46" w14:textId="431FA53D"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val="restart"/>
            <w:hideMark/>
          </w:tcPr>
          <w:p w14:paraId="32BA1689" w14:textId="6AB9D61F"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27FF447C"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06F3242A"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38BF0DF0" w14:textId="2B28B683"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75568C93" w14:textId="47A7E242"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58185E5F" w14:textId="3C53277C"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966D7A" w:rsidRPr="00DA2DE2" w14:paraId="61EDBBF1" w14:textId="39E95561" w:rsidTr="00116794">
        <w:trPr>
          <w:trHeight w:val="337"/>
        </w:trPr>
        <w:tc>
          <w:tcPr>
            <w:tcW w:w="562" w:type="dxa"/>
            <w:vMerge/>
            <w:hideMark/>
          </w:tcPr>
          <w:p w14:paraId="0958957C" w14:textId="786C10B7"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02266692" w14:textId="4EBB5B34"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1639A30B"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3C3092B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2E7996C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23153E6E" w14:textId="1BE3AE0E"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477D2F2C" w14:textId="5D1E90F8"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966D7A" w:rsidRPr="00DA2DE2" w14:paraId="00725A74" w14:textId="28878905" w:rsidTr="00116794">
        <w:trPr>
          <w:trHeight w:val="337"/>
        </w:trPr>
        <w:tc>
          <w:tcPr>
            <w:tcW w:w="562" w:type="dxa"/>
            <w:vMerge/>
            <w:hideMark/>
          </w:tcPr>
          <w:p w14:paraId="551BF87B" w14:textId="5EACD3DC"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1A86AE80" w14:textId="12CDE98B"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3BE134F9" w14:textId="6CDE8D35"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49BA1171"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023C05DB" w14:textId="03727CA9"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4A3E8C28" w14:textId="3EB122F6"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72A05D14" w14:textId="78AC5A86"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966D7A" w:rsidRPr="00DA2DE2" w14:paraId="1D6D17E7" w14:textId="0D1FC76C" w:rsidTr="00116794">
        <w:trPr>
          <w:trHeight w:val="337"/>
        </w:trPr>
        <w:tc>
          <w:tcPr>
            <w:tcW w:w="562" w:type="dxa"/>
            <w:vMerge/>
            <w:hideMark/>
          </w:tcPr>
          <w:p w14:paraId="05240B9B" w14:textId="636737CB" w:rsidR="00966D7A" w:rsidRPr="00DA2DE2" w:rsidRDefault="00966D7A" w:rsidP="00116794">
            <w:pPr>
              <w:rPr>
                <w:rFonts w:ascii="Arial" w:eastAsia="Times New Roman" w:hAnsi="Arial" w:cs="Arial"/>
                <w:b/>
                <w:bCs/>
                <w:color w:val="000000"/>
                <w:sz w:val="20"/>
                <w:szCs w:val="20"/>
                <w:lang w:val="en-GB" w:eastAsia="en-GB"/>
              </w:rPr>
            </w:pPr>
          </w:p>
        </w:tc>
        <w:tc>
          <w:tcPr>
            <w:tcW w:w="1701" w:type="dxa"/>
            <w:vMerge/>
            <w:hideMark/>
          </w:tcPr>
          <w:p w14:paraId="28FC73BC" w14:textId="25EC1E04" w:rsidR="00966D7A" w:rsidRPr="00DA2DE2" w:rsidRDefault="00966D7A" w:rsidP="00966D7A">
            <w:pPr>
              <w:rPr>
                <w:rFonts w:ascii="Arial" w:eastAsia="Times New Roman" w:hAnsi="Arial" w:cs="Arial"/>
                <w:color w:val="000000"/>
                <w:sz w:val="20"/>
                <w:szCs w:val="20"/>
                <w:lang w:val="en-GB" w:eastAsia="en-GB"/>
              </w:rPr>
            </w:pPr>
          </w:p>
        </w:tc>
        <w:tc>
          <w:tcPr>
            <w:tcW w:w="1985" w:type="dxa"/>
            <w:hideMark/>
          </w:tcPr>
          <w:p w14:paraId="77F0B096"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67B35AA8"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66A9DC16" w14:textId="6BD0A3D8" w:rsidR="00966D7A"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966D7A" w:rsidRPr="00DA2DE2">
              <w:rPr>
                <w:rFonts w:ascii="Arial" w:eastAsia="Times New Roman" w:hAnsi="Arial" w:cs="Arial"/>
                <w:color w:val="000000"/>
                <w:sz w:val="20"/>
                <w:szCs w:val="20"/>
                <w:lang w:val="en-GB" w:eastAsia="en-GB"/>
              </w:rPr>
              <w:t xml:space="preserve"> </w:t>
            </w:r>
          </w:p>
        </w:tc>
        <w:tc>
          <w:tcPr>
            <w:tcW w:w="2114" w:type="dxa"/>
          </w:tcPr>
          <w:p w14:paraId="2836AC43" w14:textId="6D4DFF19" w:rsidR="00966D7A"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17323727" w14:textId="0719BE1F"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966D7A" w:rsidRPr="00DA2DE2" w14:paraId="7FDA50E3" w14:textId="7C7AA07E" w:rsidTr="00116794">
        <w:trPr>
          <w:trHeight w:val="337"/>
        </w:trPr>
        <w:tc>
          <w:tcPr>
            <w:tcW w:w="562" w:type="dxa"/>
            <w:vMerge/>
            <w:hideMark/>
          </w:tcPr>
          <w:p w14:paraId="7D3ABF92" w14:textId="67EEF035" w:rsidR="00966D7A" w:rsidRPr="00DA2DE2" w:rsidRDefault="00966D7A" w:rsidP="00116794">
            <w:pPr>
              <w:rPr>
                <w:rFonts w:ascii="Arial" w:eastAsia="Times New Roman" w:hAnsi="Arial" w:cs="Arial"/>
                <w:b/>
                <w:bCs/>
                <w:color w:val="000000"/>
                <w:sz w:val="20"/>
                <w:szCs w:val="20"/>
                <w:lang w:val="en-GB" w:eastAsia="en-GB"/>
              </w:rPr>
            </w:pPr>
          </w:p>
        </w:tc>
        <w:tc>
          <w:tcPr>
            <w:tcW w:w="1701" w:type="dxa"/>
            <w:hideMark/>
          </w:tcPr>
          <w:p w14:paraId="58F15D55"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3E967539"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2D1BE26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21C942F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1BACDBD1" w14:textId="693CDA95" w:rsidR="00966D7A" w:rsidRPr="00DA2DE2" w:rsidRDefault="00BC1E4E"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076BED00" w14:textId="019F4D0F"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r w:rsidR="00966D7A" w:rsidRPr="00DA2DE2" w14:paraId="1273E156" w14:textId="526FC9C7" w:rsidTr="00116794">
        <w:trPr>
          <w:trHeight w:val="337"/>
        </w:trPr>
        <w:tc>
          <w:tcPr>
            <w:tcW w:w="562" w:type="dxa"/>
            <w:vMerge w:val="restart"/>
            <w:hideMark/>
          </w:tcPr>
          <w:p w14:paraId="3AECEED2" w14:textId="4996E939" w:rsidR="00966D7A"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6</w:t>
            </w:r>
          </w:p>
        </w:tc>
        <w:tc>
          <w:tcPr>
            <w:tcW w:w="1701" w:type="dxa"/>
            <w:vMerge w:val="restart"/>
            <w:hideMark/>
          </w:tcPr>
          <w:p w14:paraId="4D234D8B" w14:textId="77777777" w:rsidR="00966D7A" w:rsidRPr="00DA2DE2" w:rsidRDefault="00966D7A" w:rsidP="00966D7A">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Prefabricated concrete segments (+ passive reinforcement inside </w:t>
            </w:r>
            <w:r w:rsidRPr="00DA2DE2">
              <w:rPr>
                <w:rFonts w:ascii="Arial" w:eastAsia="Times New Roman" w:hAnsi="Arial" w:cs="Arial"/>
                <w:color w:val="000000"/>
                <w:sz w:val="20"/>
                <w:szCs w:val="20"/>
                <w:lang w:val="en-GB" w:eastAsia="en-GB"/>
              </w:rPr>
              <w:lastRenderedPageBreak/>
              <w:t>prefabricated elements)</w:t>
            </w:r>
          </w:p>
        </w:tc>
        <w:tc>
          <w:tcPr>
            <w:tcW w:w="1985" w:type="dxa"/>
            <w:hideMark/>
          </w:tcPr>
          <w:p w14:paraId="5E62AC6E"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lastRenderedPageBreak/>
              <w:t>Concrete C50-60</w:t>
            </w:r>
          </w:p>
        </w:tc>
        <w:tc>
          <w:tcPr>
            <w:tcW w:w="1253" w:type="dxa"/>
            <w:hideMark/>
          </w:tcPr>
          <w:p w14:paraId="0A7DD720"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520</w:t>
            </w:r>
          </w:p>
        </w:tc>
        <w:tc>
          <w:tcPr>
            <w:tcW w:w="873" w:type="dxa"/>
            <w:hideMark/>
          </w:tcPr>
          <w:p w14:paraId="18B28DF7" w14:textId="77777777" w:rsidR="00966D7A" w:rsidRPr="00DA2DE2" w:rsidRDefault="00966D7A"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431EE3FC" w14:textId="5C5E4A9A" w:rsidR="00966D7A" w:rsidRPr="00DA2DE2" w:rsidRDefault="00BC1E4E"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GaBi</w:t>
            </w:r>
            <w:proofErr w:type="spellEnd"/>
            <w:r w:rsidRPr="00DA2DE2">
              <w:rPr>
                <w:rFonts w:ascii="Arial" w:eastAsia="Times New Roman" w:hAnsi="Arial" w:cs="Arial"/>
                <w:color w:val="000000"/>
                <w:sz w:val="20"/>
                <w:szCs w:val="20"/>
                <w:lang w:val="en-GB" w:eastAsia="en-GB"/>
              </w:rPr>
              <w:t xml:space="preserve"> database (</w:t>
            </w:r>
            <w:hyperlink r:id="rId24" w:history="1">
              <w:r w:rsidRPr="00DA2DE2">
                <w:rPr>
                  <w:rStyle w:val="Hyperlink"/>
                  <w:rFonts w:ascii="Arial" w:eastAsia="Times New Roman" w:hAnsi="Arial" w:cs="Arial"/>
                  <w:sz w:val="20"/>
                  <w:szCs w:val="20"/>
                  <w:lang w:val="en-GB" w:eastAsia="en-GB"/>
                </w:rPr>
                <w:t>link</w:t>
              </w:r>
            </w:hyperlink>
            <w:r w:rsidRPr="00DA2DE2">
              <w:rPr>
                <w:rFonts w:ascii="Arial" w:eastAsia="Times New Roman" w:hAnsi="Arial" w:cs="Arial"/>
                <w:color w:val="000000"/>
                <w:sz w:val="20"/>
                <w:szCs w:val="20"/>
                <w:lang w:val="en-GB" w:eastAsia="en-GB"/>
              </w:rPr>
              <w:t>)</w:t>
            </w:r>
          </w:p>
        </w:tc>
        <w:tc>
          <w:tcPr>
            <w:tcW w:w="1376" w:type="dxa"/>
            <w:vAlign w:val="center"/>
          </w:tcPr>
          <w:p w14:paraId="259CBAA6" w14:textId="575BE8DA" w:rsidR="00966D7A" w:rsidRPr="00DA2DE2" w:rsidRDefault="00966D7A"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 </w:t>
            </w:r>
          </w:p>
        </w:tc>
      </w:tr>
      <w:tr w:rsidR="00BC1E4E" w:rsidRPr="00DA2DE2" w14:paraId="466774E7" w14:textId="08B1469A" w:rsidTr="00116794">
        <w:trPr>
          <w:trHeight w:val="337"/>
        </w:trPr>
        <w:tc>
          <w:tcPr>
            <w:tcW w:w="562" w:type="dxa"/>
            <w:vMerge/>
            <w:hideMark/>
          </w:tcPr>
          <w:p w14:paraId="48ABBB00" w14:textId="080E87F6" w:rsidR="00BC1E4E" w:rsidRPr="00DA2DE2" w:rsidRDefault="00BC1E4E" w:rsidP="00116794">
            <w:pPr>
              <w:rPr>
                <w:rFonts w:ascii="Arial" w:eastAsia="Times New Roman" w:hAnsi="Arial" w:cs="Arial"/>
                <w:b/>
                <w:bCs/>
                <w:color w:val="000000"/>
                <w:sz w:val="20"/>
                <w:szCs w:val="20"/>
                <w:lang w:val="en-GB" w:eastAsia="en-GB"/>
              </w:rPr>
            </w:pPr>
          </w:p>
        </w:tc>
        <w:tc>
          <w:tcPr>
            <w:tcW w:w="1701" w:type="dxa"/>
            <w:vMerge/>
            <w:hideMark/>
          </w:tcPr>
          <w:p w14:paraId="349C4A26" w14:textId="545F93AC" w:rsidR="00BC1E4E" w:rsidRPr="00DA2DE2" w:rsidRDefault="00BC1E4E" w:rsidP="00BC1E4E">
            <w:pPr>
              <w:rPr>
                <w:rFonts w:ascii="Arial" w:eastAsia="Times New Roman" w:hAnsi="Arial" w:cs="Arial"/>
                <w:color w:val="000000"/>
                <w:sz w:val="20"/>
                <w:szCs w:val="20"/>
                <w:lang w:val="en-GB" w:eastAsia="en-GB"/>
              </w:rPr>
            </w:pPr>
          </w:p>
        </w:tc>
        <w:tc>
          <w:tcPr>
            <w:tcW w:w="1985" w:type="dxa"/>
            <w:hideMark/>
          </w:tcPr>
          <w:p w14:paraId="6AD5604E" w14:textId="22A2767A"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 B450-B500</w:t>
            </w:r>
          </w:p>
        </w:tc>
        <w:tc>
          <w:tcPr>
            <w:tcW w:w="1253" w:type="dxa"/>
            <w:hideMark/>
          </w:tcPr>
          <w:p w14:paraId="16DC7BA3"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78</w:t>
            </w:r>
          </w:p>
        </w:tc>
        <w:tc>
          <w:tcPr>
            <w:tcW w:w="873" w:type="dxa"/>
            <w:hideMark/>
          </w:tcPr>
          <w:p w14:paraId="237FD3E3" w14:textId="7F55C057" w:rsidR="00BC1E4E"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p>
        </w:tc>
        <w:tc>
          <w:tcPr>
            <w:tcW w:w="2114" w:type="dxa"/>
          </w:tcPr>
          <w:p w14:paraId="5AB2CD85" w14:textId="587274C2"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AA_EPD_001 (EPDITALY0004)</w:t>
            </w:r>
          </w:p>
        </w:tc>
        <w:tc>
          <w:tcPr>
            <w:tcW w:w="1376" w:type="dxa"/>
            <w:vAlign w:val="center"/>
          </w:tcPr>
          <w:p w14:paraId="13EE42B0" w14:textId="7C00DA12"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1050</w:t>
            </w:r>
          </w:p>
        </w:tc>
      </w:tr>
      <w:tr w:rsidR="00BC1E4E" w:rsidRPr="00DA2DE2" w14:paraId="7FBCD16C" w14:textId="36810B04" w:rsidTr="00116794">
        <w:trPr>
          <w:trHeight w:val="337"/>
        </w:trPr>
        <w:tc>
          <w:tcPr>
            <w:tcW w:w="562" w:type="dxa"/>
            <w:vMerge/>
            <w:hideMark/>
          </w:tcPr>
          <w:p w14:paraId="1AFA75BA" w14:textId="3895255A" w:rsidR="00BC1E4E" w:rsidRPr="00DA2DE2" w:rsidRDefault="00BC1E4E" w:rsidP="00116794">
            <w:pPr>
              <w:rPr>
                <w:rFonts w:ascii="Arial" w:eastAsia="Times New Roman" w:hAnsi="Arial" w:cs="Arial"/>
                <w:b/>
                <w:bCs/>
                <w:color w:val="000000"/>
                <w:sz w:val="20"/>
                <w:szCs w:val="20"/>
                <w:lang w:val="en-GB" w:eastAsia="en-GB"/>
              </w:rPr>
            </w:pPr>
          </w:p>
        </w:tc>
        <w:tc>
          <w:tcPr>
            <w:tcW w:w="1701" w:type="dxa"/>
            <w:hideMark/>
          </w:tcPr>
          <w:p w14:paraId="620F11BC" w14:textId="77777777" w:rsidR="00BC1E4E" w:rsidRPr="00DA2DE2" w:rsidRDefault="00BC1E4E" w:rsidP="00BC1E4E">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Grouting material</w:t>
            </w:r>
          </w:p>
        </w:tc>
        <w:tc>
          <w:tcPr>
            <w:tcW w:w="1985" w:type="dxa"/>
            <w:hideMark/>
          </w:tcPr>
          <w:p w14:paraId="77284484"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High-Strength Grout</w:t>
            </w:r>
          </w:p>
        </w:tc>
        <w:tc>
          <w:tcPr>
            <w:tcW w:w="1253" w:type="dxa"/>
            <w:hideMark/>
          </w:tcPr>
          <w:p w14:paraId="5ED97962"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15990</w:t>
            </w:r>
          </w:p>
        </w:tc>
        <w:tc>
          <w:tcPr>
            <w:tcW w:w="873" w:type="dxa"/>
            <w:hideMark/>
          </w:tcPr>
          <w:p w14:paraId="58128123"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kg </w:t>
            </w:r>
          </w:p>
        </w:tc>
        <w:tc>
          <w:tcPr>
            <w:tcW w:w="2114" w:type="dxa"/>
          </w:tcPr>
          <w:p w14:paraId="7F2AE468" w14:textId="77777777" w:rsidR="00BC1E4E" w:rsidRPr="00DA2DE2" w:rsidRDefault="00BC1E4E" w:rsidP="00116794">
            <w:pPr>
              <w:rPr>
                <w:rFonts w:ascii="Arial" w:eastAsia="Times New Roman" w:hAnsi="Arial" w:cs="Arial"/>
                <w:color w:val="000000"/>
                <w:sz w:val="20"/>
                <w:szCs w:val="20"/>
                <w:lang w:val="en-GB" w:eastAsia="en-GB"/>
              </w:rPr>
            </w:pPr>
          </w:p>
        </w:tc>
        <w:tc>
          <w:tcPr>
            <w:tcW w:w="1376" w:type="dxa"/>
            <w:vAlign w:val="center"/>
          </w:tcPr>
          <w:p w14:paraId="0F907152" w14:textId="47BAD8E7"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0.414</w:t>
            </w:r>
          </w:p>
        </w:tc>
      </w:tr>
      <w:tr w:rsidR="00BC1E4E" w:rsidRPr="00DA2DE2" w14:paraId="4D24B7CB" w14:textId="33581A9A" w:rsidTr="00116794">
        <w:trPr>
          <w:trHeight w:val="337"/>
        </w:trPr>
        <w:tc>
          <w:tcPr>
            <w:tcW w:w="562" w:type="dxa"/>
            <w:vMerge/>
            <w:hideMark/>
          </w:tcPr>
          <w:p w14:paraId="30E924A9" w14:textId="394CFB4D" w:rsidR="00BC1E4E" w:rsidRPr="00DA2DE2" w:rsidRDefault="00BC1E4E" w:rsidP="00116794">
            <w:pPr>
              <w:rPr>
                <w:rFonts w:ascii="Arial" w:eastAsia="Times New Roman" w:hAnsi="Arial" w:cs="Arial"/>
                <w:b/>
                <w:bCs/>
                <w:color w:val="000000"/>
                <w:sz w:val="20"/>
                <w:szCs w:val="20"/>
                <w:lang w:val="en-GB" w:eastAsia="en-GB"/>
              </w:rPr>
            </w:pPr>
          </w:p>
        </w:tc>
        <w:tc>
          <w:tcPr>
            <w:tcW w:w="1701" w:type="dxa"/>
            <w:hideMark/>
          </w:tcPr>
          <w:p w14:paraId="058B493D" w14:textId="77777777" w:rsidR="00BC1E4E" w:rsidRPr="00DA2DE2" w:rsidRDefault="00BC1E4E" w:rsidP="00BC1E4E">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Half-joint restoration concrete</w:t>
            </w:r>
          </w:p>
        </w:tc>
        <w:tc>
          <w:tcPr>
            <w:tcW w:w="1985" w:type="dxa"/>
            <w:hideMark/>
          </w:tcPr>
          <w:p w14:paraId="4B856853"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Concrete C40-50</w:t>
            </w:r>
          </w:p>
        </w:tc>
        <w:tc>
          <w:tcPr>
            <w:tcW w:w="1253" w:type="dxa"/>
            <w:hideMark/>
          </w:tcPr>
          <w:p w14:paraId="580016B6"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4</w:t>
            </w:r>
          </w:p>
        </w:tc>
        <w:tc>
          <w:tcPr>
            <w:tcW w:w="873" w:type="dxa"/>
            <w:hideMark/>
          </w:tcPr>
          <w:p w14:paraId="167426CD"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m³</w:t>
            </w:r>
          </w:p>
        </w:tc>
        <w:tc>
          <w:tcPr>
            <w:tcW w:w="2114" w:type="dxa"/>
          </w:tcPr>
          <w:p w14:paraId="4FE20F3E" w14:textId="503F8DAD"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S-P-12742</w:t>
            </w:r>
          </w:p>
        </w:tc>
        <w:tc>
          <w:tcPr>
            <w:tcW w:w="1376" w:type="dxa"/>
            <w:vAlign w:val="center"/>
          </w:tcPr>
          <w:p w14:paraId="5601482E" w14:textId="661FF334"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194</w:t>
            </w:r>
          </w:p>
        </w:tc>
      </w:tr>
      <w:tr w:rsidR="00BC1E4E" w:rsidRPr="00DA2DE2" w14:paraId="55A0E74A" w14:textId="0A3AFC6F" w:rsidTr="00116794">
        <w:trPr>
          <w:trHeight w:val="337"/>
        </w:trPr>
        <w:tc>
          <w:tcPr>
            <w:tcW w:w="562" w:type="dxa"/>
            <w:vMerge/>
            <w:hideMark/>
          </w:tcPr>
          <w:p w14:paraId="285DC256" w14:textId="4601DDCB" w:rsidR="00BC1E4E" w:rsidRPr="00DA2DE2" w:rsidRDefault="00BC1E4E" w:rsidP="00116794">
            <w:pPr>
              <w:rPr>
                <w:rFonts w:ascii="Arial" w:eastAsia="Times New Roman" w:hAnsi="Arial" w:cs="Arial"/>
                <w:b/>
                <w:bCs/>
                <w:color w:val="000000"/>
                <w:sz w:val="20"/>
                <w:szCs w:val="20"/>
                <w:lang w:val="en-GB" w:eastAsia="en-GB"/>
              </w:rPr>
            </w:pPr>
          </w:p>
        </w:tc>
        <w:tc>
          <w:tcPr>
            <w:tcW w:w="1701" w:type="dxa"/>
            <w:vMerge w:val="restart"/>
            <w:hideMark/>
          </w:tcPr>
          <w:p w14:paraId="6C71A7C2" w14:textId="605F9018" w:rsidR="00BC1E4E" w:rsidRPr="00DA2DE2" w:rsidRDefault="00BC1E4E" w:rsidP="00BC1E4E">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Pavement</w:t>
            </w:r>
          </w:p>
        </w:tc>
        <w:tc>
          <w:tcPr>
            <w:tcW w:w="1985" w:type="dxa"/>
            <w:hideMark/>
          </w:tcPr>
          <w:p w14:paraId="5F3DAFEE"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Primer Asphalt</w:t>
            </w:r>
          </w:p>
        </w:tc>
        <w:tc>
          <w:tcPr>
            <w:tcW w:w="1253" w:type="dxa"/>
            <w:hideMark/>
          </w:tcPr>
          <w:p w14:paraId="5C9315A6"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130000</w:t>
            </w:r>
          </w:p>
        </w:tc>
        <w:tc>
          <w:tcPr>
            <w:tcW w:w="873" w:type="dxa"/>
            <w:hideMark/>
          </w:tcPr>
          <w:p w14:paraId="11B2797E" w14:textId="059BC4ED"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0D58D691" w14:textId="1E35A196"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S-P-06176</w:t>
            </w:r>
          </w:p>
        </w:tc>
        <w:tc>
          <w:tcPr>
            <w:tcW w:w="1376" w:type="dxa"/>
            <w:vAlign w:val="center"/>
          </w:tcPr>
          <w:p w14:paraId="13F2DB22" w14:textId="72C1F132"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1.1</w:t>
            </w:r>
          </w:p>
        </w:tc>
      </w:tr>
      <w:tr w:rsidR="00BC1E4E" w:rsidRPr="00DA2DE2" w14:paraId="7A444CD4" w14:textId="66CD72A7" w:rsidTr="00116794">
        <w:trPr>
          <w:trHeight w:val="337"/>
        </w:trPr>
        <w:tc>
          <w:tcPr>
            <w:tcW w:w="562" w:type="dxa"/>
            <w:vMerge/>
            <w:hideMark/>
          </w:tcPr>
          <w:p w14:paraId="1728F3A5" w14:textId="4CFB6BFC" w:rsidR="00BC1E4E" w:rsidRPr="00DA2DE2" w:rsidRDefault="00BC1E4E" w:rsidP="00116794">
            <w:pPr>
              <w:rPr>
                <w:rFonts w:ascii="Arial" w:eastAsia="Times New Roman" w:hAnsi="Arial" w:cs="Arial"/>
                <w:b/>
                <w:bCs/>
                <w:color w:val="000000"/>
                <w:sz w:val="20"/>
                <w:szCs w:val="20"/>
                <w:lang w:val="en-GB" w:eastAsia="en-GB"/>
              </w:rPr>
            </w:pPr>
          </w:p>
        </w:tc>
        <w:tc>
          <w:tcPr>
            <w:tcW w:w="1701" w:type="dxa"/>
            <w:vMerge/>
            <w:hideMark/>
          </w:tcPr>
          <w:p w14:paraId="41315359" w14:textId="6DBE5F27" w:rsidR="00BC1E4E" w:rsidRPr="00DA2DE2" w:rsidRDefault="00BC1E4E" w:rsidP="00BC1E4E">
            <w:pPr>
              <w:rPr>
                <w:rFonts w:ascii="Arial" w:eastAsia="Times New Roman" w:hAnsi="Arial" w:cs="Arial"/>
                <w:color w:val="000000"/>
                <w:sz w:val="20"/>
                <w:szCs w:val="20"/>
                <w:lang w:val="en-GB" w:eastAsia="en-GB"/>
              </w:rPr>
            </w:pPr>
          </w:p>
        </w:tc>
        <w:tc>
          <w:tcPr>
            <w:tcW w:w="1985" w:type="dxa"/>
            <w:hideMark/>
          </w:tcPr>
          <w:p w14:paraId="1C575B5F"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Waterproofing Membrane</w:t>
            </w:r>
          </w:p>
        </w:tc>
        <w:tc>
          <w:tcPr>
            <w:tcW w:w="1253" w:type="dxa"/>
            <w:hideMark/>
          </w:tcPr>
          <w:p w14:paraId="5E58FD6A"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1300</w:t>
            </w:r>
          </w:p>
        </w:tc>
        <w:tc>
          <w:tcPr>
            <w:tcW w:w="873" w:type="dxa"/>
            <w:hideMark/>
          </w:tcPr>
          <w:p w14:paraId="16FEA44D"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w:t>
            </w:r>
            <w:r w:rsidRPr="00DA2DE2">
              <w:rPr>
                <w:rFonts w:ascii="Arial" w:eastAsia="Times New Roman" w:hAnsi="Arial" w:cs="Arial"/>
                <w:color w:val="000000"/>
                <w:sz w:val="20"/>
                <w:szCs w:val="20"/>
                <w:vertAlign w:val="superscript"/>
                <w:lang w:val="en-GB" w:eastAsia="en-GB"/>
              </w:rPr>
              <w:t>2</w:t>
            </w:r>
          </w:p>
        </w:tc>
        <w:tc>
          <w:tcPr>
            <w:tcW w:w="2114" w:type="dxa"/>
          </w:tcPr>
          <w:p w14:paraId="509AA3D4" w14:textId="26662A4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EPD-IES-0017715</w:t>
            </w:r>
          </w:p>
        </w:tc>
        <w:tc>
          <w:tcPr>
            <w:tcW w:w="1376" w:type="dxa"/>
            <w:vAlign w:val="center"/>
          </w:tcPr>
          <w:p w14:paraId="72B45F8F" w14:textId="154F0D2B"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9.3</w:t>
            </w:r>
          </w:p>
        </w:tc>
      </w:tr>
      <w:tr w:rsidR="00BC1E4E" w:rsidRPr="00DA2DE2" w14:paraId="52560567" w14:textId="0CC2EA90" w:rsidTr="00116794">
        <w:trPr>
          <w:trHeight w:val="337"/>
        </w:trPr>
        <w:tc>
          <w:tcPr>
            <w:tcW w:w="562" w:type="dxa"/>
            <w:vMerge/>
            <w:hideMark/>
          </w:tcPr>
          <w:p w14:paraId="76644A48" w14:textId="4C40E1E4" w:rsidR="00BC1E4E" w:rsidRPr="00DA2DE2" w:rsidRDefault="00BC1E4E" w:rsidP="00116794">
            <w:pPr>
              <w:rPr>
                <w:rFonts w:ascii="Arial" w:eastAsia="Times New Roman" w:hAnsi="Arial" w:cs="Arial"/>
                <w:b/>
                <w:bCs/>
                <w:color w:val="000000"/>
                <w:sz w:val="20"/>
                <w:szCs w:val="20"/>
                <w:lang w:val="en-GB" w:eastAsia="en-GB"/>
              </w:rPr>
            </w:pPr>
          </w:p>
        </w:tc>
        <w:tc>
          <w:tcPr>
            <w:tcW w:w="1701" w:type="dxa"/>
            <w:vMerge/>
            <w:hideMark/>
          </w:tcPr>
          <w:p w14:paraId="2D945458" w14:textId="443AA75E" w:rsidR="00BC1E4E" w:rsidRPr="00DA2DE2" w:rsidRDefault="00BC1E4E" w:rsidP="00BC1E4E">
            <w:pPr>
              <w:rPr>
                <w:rFonts w:ascii="Arial" w:eastAsia="Times New Roman" w:hAnsi="Arial" w:cs="Arial"/>
                <w:color w:val="000000"/>
                <w:sz w:val="20"/>
                <w:szCs w:val="20"/>
                <w:lang w:val="en-GB" w:eastAsia="en-GB"/>
              </w:rPr>
            </w:pPr>
          </w:p>
        </w:tc>
        <w:tc>
          <w:tcPr>
            <w:tcW w:w="1985" w:type="dxa"/>
            <w:hideMark/>
          </w:tcPr>
          <w:p w14:paraId="2E747B74" w14:textId="624B3AC6"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Concrete (Binder layout)</w:t>
            </w:r>
          </w:p>
        </w:tc>
        <w:tc>
          <w:tcPr>
            <w:tcW w:w="1253" w:type="dxa"/>
            <w:hideMark/>
          </w:tcPr>
          <w:p w14:paraId="45B0DB0F"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184600</w:t>
            </w:r>
          </w:p>
        </w:tc>
        <w:tc>
          <w:tcPr>
            <w:tcW w:w="873" w:type="dxa"/>
            <w:hideMark/>
          </w:tcPr>
          <w:p w14:paraId="2CD09C57" w14:textId="2BDCDF4E"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kg</w:t>
            </w:r>
          </w:p>
        </w:tc>
        <w:tc>
          <w:tcPr>
            <w:tcW w:w="2114" w:type="dxa"/>
          </w:tcPr>
          <w:p w14:paraId="2913F5B1" w14:textId="42C57C4C"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EPD-IES-0009887:001</w:t>
            </w:r>
          </w:p>
        </w:tc>
        <w:tc>
          <w:tcPr>
            <w:tcW w:w="1376" w:type="dxa"/>
            <w:vAlign w:val="center"/>
          </w:tcPr>
          <w:p w14:paraId="2CAD424C" w14:textId="14B8E3CB"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6.2</w:t>
            </w:r>
          </w:p>
        </w:tc>
      </w:tr>
      <w:tr w:rsidR="00BC1E4E" w:rsidRPr="00DA2DE2" w14:paraId="0F9407C0" w14:textId="0DD528FE" w:rsidTr="00116794">
        <w:trPr>
          <w:trHeight w:val="337"/>
        </w:trPr>
        <w:tc>
          <w:tcPr>
            <w:tcW w:w="562" w:type="dxa"/>
            <w:vMerge/>
            <w:hideMark/>
          </w:tcPr>
          <w:p w14:paraId="5E3CE77A" w14:textId="5DBFDC65" w:rsidR="00BC1E4E" w:rsidRPr="00DA2DE2" w:rsidRDefault="00BC1E4E" w:rsidP="00116794">
            <w:pPr>
              <w:rPr>
                <w:rFonts w:ascii="Arial" w:eastAsia="Times New Roman" w:hAnsi="Arial" w:cs="Arial"/>
                <w:b/>
                <w:bCs/>
                <w:color w:val="000000"/>
                <w:sz w:val="20"/>
                <w:szCs w:val="20"/>
                <w:lang w:val="en-GB" w:eastAsia="en-GB"/>
              </w:rPr>
            </w:pPr>
          </w:p>
        </w:tc>
        <w:tc>
          <w:tcPr>
            <w:tcW w:w="1701" w:type="dxa"/>
            <w:vMerge/>
            <w:hideMark/>
          </w:tcPr>
          <w:p w14:paraId="65C721A7" w14:textId="66F6A0AC" w:rsidR="00BC1E4E" w:rsidRPr="00DA2DE2" w:rsidRDefault="00BC1E4E" w:rsidP="00BC1E4E">
            <w:pPr>
              <w:rPr>
                <w:rFonts w:ascii="Arial" w:eastAsia="Times New Roman" w:hAnsi="Arial" w:cs="Arial"/>
                <w:color w:val="000000"/>
                <w:sz w:val="20"/>
                <w:szCs w:val="20"/>
                <w:lang w:val="en-GB" w:eastAsia="en-GB"/>
              </w:rPr>
            </w:pPr>
          </w:p>
        </w:tc>
        <w:tc>
          <w:tcPr>
            <w:tcW w:w="1985" w:type="dxa"/>
            <w:hideMark/>
          </w:tcPr>
          <w:p w14:paraId="2362FE41"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Asphalt (Draining wear layer)</w:t>
            </w:r>
          </w:p>
        </w:tc>
        <w:tc>
          <w:tcPr>
            <w:tcW w:w="1253" w:type="dxa"/>
            <w:noWrap/>
            <w:hideMark/>
          </w:tcPr>
          <w:p w14:paraId="27C0BD63"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184.6</w:t>
            </w:r>
          </w:p>
        </w:tc>
        <w:tc>
          <w:tcPr>
            <w:tcW w:w="873" w:type="dxa"/>
            <w:noWrap/>
            <w:hideMark/>
          </w:tcPr>
          <w:p w14:paraId="282E342A" w14:textId="57619A85" w:rsidR="00BC1E4E" w:rsidRPr="00DA2DE2" w:rsidRDefault="00116794" w:rsidP="00116794">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t</w:t>
            </w:r>
            <w:r w:rsidR="00BC1E4E" w:rsidRPr="00DA2DE2">
              <w:rPr>
                <w:rFonts w:ascii="Arial" w:eastAsia="Times New Roman" w:hAnsi="Arial" w:cs="Arial"/>
                <w:color w:val="000000"/>
                <w:sz w:val="20"/>
                <w:szCs w:val="20"/>
                <w:lang w:val="en-GB" w:eastAsia="en-GB"/>
              </w:rPr>
              <w:t xml:space="preserve"> </w:t>
            </w:r>
          </w:p>
        </w:tc>
        <w:tc>
          <w:tcPr>
            <w:tcW w:w="2114" w:type="dxa"/>
          </w:tcPr>
          <w:p w14:paraId="153E3582" w14:textId="5EE5A86E"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EPD-IES-0018643:002</w:t>
            </w:r>
          </w:p>
        </w:tc>
        <w:tc>
          <w:tcPr>
            <w:tcW w:w="1376" w:type="dxa"/>
            <w:vAlign w:val="center"/>
          </w:tcPr>
          <w:p w14:paraId="45924169" w14:textId="1407ACEE"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7.2</w:t>
            </w:r>
          </w:p>
        </w:tc>
      </w:tr>
      <w:tr w:rsidR="00BC1E4E" w:rsidRPr="00DA2DE2" w14:paraId="6B78C697" w14:textId="16E42846" w:rsidTr="00116794">
        <w:trPr>
          <w:trHeight w:val="337"/>
        </w:trPr>
        <w:tc>
          <w:tcPr>
            <w:tcW w:w="562" w:type="dxa"/>
            <w:vMerge/>
            <w:hideMark/>
          </w:tcPr>
          <w:p w14:paraId="3CFA1815" w14:textId="7F04B31D" w:rsidR="00BC1E4E" w:rsidRPr="00DA2DE2" w:rsidRDefault="00BC1E4E" w:rsidP="00116794">
            <w:pPr>
              <w:rPr>
                <w:rFonts w:ascii="Arial" w:eastAsia="Times New Roman" w:hAnsi="Arial" w:cs="Arial"/>
                <w:b/>
                <w:bCs/>
                <w:color w:val="000000"/>
                <w:sz w:val="20"/>
                <w:szCs w:val="20"/>
                <w:lang w:val="en-GB" w:eastAsia="en-GB"/>
              </w:rPr>
            </w:pPr>
          </w:p>
        </w:tc>
        <w:tc>
          <w:tcPr>
            <w:tcW w:w="1701" w:type="dxa"/>
            <w:hideMark/>
          </w:tcPr>
          <w:p w14:paraId="3B6A4D70" w14:textId="77777777" w:rsidR="00BC1E4E" w:rsidRPr="00DA2DE2" w:rsidRDefault="00BC1E4E" w:rsidP="00BC1E4E">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Expansion joints</w:t>
            </w:r>
          </w:p>
        </w:tc>
        <w:tc>
          <w:tcPr>
            <w:tcW w:w="1985" w:type="dxa"/>
            <w:hideMark/>
          </w:tcPr>
          <w:p w14:paraId="7829A677"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Steel/Rubber assemblies</w:t>
            </w:r>
          </w:p>
        </w:tc>
        <w:tc>
          <w:tcPr>
            <w:tcW w:w="1253" w:type="dxa"/>
            <w:hideMark/>
          </w:tcPr>
          <w:p w14:paraId="70E408D5"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26</w:t>
            </w:r>
          </w:p>
        </w:tc>
        <w:tc>
          <w:tcPr>
            <w:tcW w:w="873" w:type="dxa"/>
            <w:hideMark/>
          </w:tcPr>
          <w:p w14:paraId="7733B8E7" w14:textId="77777777" w:rsidR="00BC1E4E" w:rsidRPr="00DA2DE2" w:rsidRDefault="00BC1E4E"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units/m</w:t>
            </w:r>
          </w:p>
        </w:tc>
        <w:tc>
          <w:tcPr>
            <w:tcW w:w="2114" w:type="dxa"/>
          </w:tcPr>
          <w:p w14:paraId="62CD5C40" w14:textId="1AA37F16" w:rsidR="00BC1E4E" w:rsidRPr="00DA2DE2" w:rsidRDefault="00342208" w:rsidP="00116794">
            <w:pPr>
              <w:rPr>
                <w:rFonts w:ascii="Arial" w:eastAsia="Times New Roman" w:hAnsi="Arial" w:cs="Arial"/>
                <w:color w:val="000000"/>
                <w:sz w:val="20"/>
                <w:szCs w:val="20"/>
                <w:lang w:val="en-GB" w:eastAsia="en-GB"/>
              </w:rPr>
            </w:pPr>
            <w:proofErr w:type="spellStart"/>
            <w:r w:rsidRPr="00DA2DE2">
              <w:rPr>
                <w:rFonts w:ascii="Arial" w:eastAsia="Times New Roman" w:hAnsi="Arial" w:cs="Arial"/>
                <w:color w:val="000000"/>
                <w:sz w:val="20"/>
                <w:szCs w:val="20"/>
                <w:lang w:val="en-GB" w:eastAsia="en-GB"/>
              </w:rPr>
              <w:t>n.a.</w:t>
            </w:r>
            <w:proofErr w:type="spellEnd"/>
          </w:p>
        </w:tc>
        <w:tc>
          <w:tcPr>
            <w:tcW w:w="1376" w:type="dxa"/>
            <w:vAlign w:val="center"/>
          </w:tcPr>
          <w:p w14:paraId="49E9B1B6" w14:textId="0581D332" w:rsidR="00BC1E4E" w:rsidRPr="00DA2DE2" w:rsidRDefault="00BC1E4E" w:rsidP="00116794">
            <w:pPr>
              <w:rPr>
                <w:rFonts w:ascii="Arial" w:eastAsia="Times New Roman" w:hAnsi="Arial" w:cs="Arial"/>
                <w:color w:val="000000"/>
                <w:sz w:val="20"/>
                <w:szCs w:val="20"/>
                <w:lang w:val="en-GB" w:eastAsia="en-GB"/>
              </w:rPr>
            </w:pPr>
            <w:r w:rsidRPr="00DA2DE2">
              <w:rPr>
                <w:rFonts w:ascii="Arial" w:hAnsi="Arial" w:cs="Arial"/>
                <w:color w:val="000000"/>
                <w:sz w:val="20"/>
                <w:szCs w:val="20"/>
                <w:lang w:val="en-GB"/>
              </w:rPr>
              <w:t>0</w:t>
            </w:r>
          </w:p>
        </w:tc>
      </w:tr>
    </w:tbl>
    <w:p w14:paraId="7801DACB" w14:textId="77777777" w:rsidR="002923BE" w:rsidRPr="00DA2DE2" w:rsidRDefault="002923BE">
      <w:pPr>
        <w:jc w:val="both"/>
        <w:rPr>
          <w:rFonts w:ascii="Arial" w:hAnsi="Arial" w:cs="Arial"/>
          <w:color w:val="1F1F1F"/>
          <w:lang w:val="en-GB"/>
        </w:rPr>
      </w:pPr>
    </w:p>
    <w:p w14:paraId="3C74FABD" w14:textId="0E019AAC" w:rsidR="009B492C" w:rsidRPr="00DA2DE2" w:rsidRDefault="00AB6E0F" w:rsidP="009B492C">
      <w:pPr>
        <w:spacing w:before="100" w:beforeAutospacing="1" w:after="100" w:afterAutospacing="1" w:line="240" w:lineRule="auto"/>
        <w:jc w:val="both"/>
        <w:outlineLvl w:val="2"/>
        <w:rPr>
          <w:rFonts w:ascii="Arial" w:eastAsia="Times New Roman" w:hAnsi="Arial" w:cs="Arial"/>
          <w:sz w:val="20"/>
          <w:szCs w:val="20"/>
          <w:lang w:val="en-GB" w:eastAsia="zh-CN"/>
        </w:rPr>
      </w:pPr>
      <w:r w:rsidRPr="00DA2DE2">
        <w:rPr>
          <w:rFonts w:ascii="Arial" w:eastAsia="Times New Roman" w:hAnsi="Arial" w:cs="Arial"/>
          <w:b/>
          <w:bCs/>
          <w:lang w:val="en-GB"/>
        </w:rPr>
        <w:t xml:space="preserve">Supplementary Table </w:t>
      </w:r>
      <w:r w:rsidR="004E4656" w:rsidRPr="00DA2DE2">
        <w:rPr>
          <w:rFonts w:ascii="Arial" w:eastAsia="Times New Roman" w:hAnsi="Arial" w:cs="Arial"/>
          <w:b/>
          <w:bCs/>
          <w:lang w:val="en-GB"/>
        </w:rPr>
        <w:t>9</w:t>
      </w:r>
      <w:r w:rsidRPr="00DA2DE2">
        <w:rPr>
          <w:rFonts w:ascii="Arial" w:eastAsia="Times New Roman" w:hAnsi="Arial" w:cs="Arial"/>
          <w:b/>
          <w:bCs/>
          <w:lang w:val="en-GB"/>
        </w:rPr>
        <w:t xml:space="preserve">. </w:t>
      </w:r>
      <w:r w:rsidR="009B492C" w:rsidRPr="00DA2DE2">
        <w:rPr>
          <w:rFonts w:ascii="Arial" w:eastAsia="Times New Roman" w:hAnsi="Arial" w:cs="Arial"/>
          <w:sz w:val="20"/>
          <w:szCs w:val="20"/>
          <w:lang w:val="en-GB" w:eastAsia="zh-CN"/>
        </w:rPr>
        <w:t>Additional machinery of restoration options: Detailed information</w:t>
      </w:r>
      <w:r w:rsidR="00342208" w:rsidRPr="00DA2DE2">
        <w:rPr>
          <w:rFonts w:ascii="Arial" w:eastAsia="Times New Roman" w:hAnsi="Arial" w:cs="Arial"/>
          <w:sz w:val="20"/>
          <w:szCs w:val="20"/>
          <w:lang w:val="en-GB" w:eastAsia="zh-CN"/>
        </w:rPr>
        <w:t>/datasets</w:t>
      </w:r>
    </w:p>
    <w:tbl>
      <w:tblPr>
        <w:tblStyle w:val="TableGrid"/>
        <w:tblW w:w="5077" w:type="pct"/>
        <w:tblLook w:val="04A0" w:firstRow="1" w:lastRow="0" w:firstColumn="1" w:lastColumn="0" w:noHBand="0" w:noVBand="1"/>
      </w:tblPr>
      <w:tblGrid>
        <w:gridCol w:w="562"/>
        <w:gridCol w:w="2282"/>
        <w:gridCol w:w="1240"/>
        <w:gridCol w:w="972"/>
        <w:gridCol w:w="1525"/>
        <w:gridCol w:w="1525"/>
        <w:gridCol w:w="1670"/>
      </w:tblGrid>
      <w:tr w:rsidR="00754049" w:rsidRPr="00DA2DE2" w14:paraId="1247D200" w14:textId="7C2583B8" w:rsidTr="00966D7A">
        <w:trPr>
          <w:trHeight w:val="428"/>
        </w:trPr>
        <w:tc>
          <w:tcPr>
            <w:tcW w:w="287" w:type="pct"/>
            <w:hideMark/>
          </w:tcPr>
          <w:p w14:paraId="6BF5F79F" w14:textId="4AEBE02A" w:rsidR="00754049" w:rsidRPr="00DA2DE2" w:rsidRDefault="00966D7A"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w:t>
            </w:r>
          </w:p>
        </w:tc>
        <w:tc>
          <w:tcPr>
            <w:tcW w:w="1167" w:type="pct"/>
            <w:hideMark/>
          </w:tcPr>
          <w:p w14:paraId="56297BB5" w14:textId="1816412B" w:rsidR="00754049"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M</w:t>
            </w:r>
            <w:r w:rsidRPr="00DA2DE2">
              <w:rPr>
                <w:rFonts w:ascii="Arial" w:eastAsia="Times New Roman" w:hAnsi="Arial" w:cs="Arial"/>
                <w:b/>
                <w:bCs/>
                <w:color w:val="000000"/>
                <w:sz w:val="20"/>
                <w:szCs w:val="20"/>
                <w:lang w:val="en-GB" w:eastAsia="en-GB"/>
              </w:rPr>
              <w:t xml:space="preserve">achinery </w:t>
            </w:r>
          </w:p>
        </w:tc>
        <w:tc>
          <w:tcPr>
            <w:tcW w:w="634" w:type="pct"/>
            <w:hideMark/>
          </w:tcPr>
          <w:p w14:paraId="107BACCB" w14:textId="100CD123" w:rsidR="00754049"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Q</w:t>
            </w:r>
            <w:r w:rsidRPr="00DA2DE2">
              <w:rPr>
                <w:rFonts w:ascii="Arial" w:eastAsia="Times New Roman" w:hAnsi="Arial" w:cs="Arial"/>
                <w:b/>
                <w:bCs/>
                <w:color w:val="000000"/>
                <w:sz w:val="20"/>
                <w:szCs w:val="20"/>
                <w:lang w:val="en-GB" w:eastAsia="en-GB"/>
              </w:rPr>
              <w:t>uantity</w:t>
            </w:r>
          </w:p>
        </w:tc>
        <w:tc>
          <w:tcPr>
            <w:tcW w:w="497" w:type="pct"/>
            <w:hideMark/>
          </w:tcPr>
          <w:p w14:paraId="73A099A5" w14:textId="1FFBBF1E" w:rsidR="00754049"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P</w:t>
            </w:r>
            <w:r w:rsidRPr="00DA2DE2">
              <w:rPr>
                <w:rFonts w:ascii="Arial" w:eastAsia="Times New Roman" w:hAnsi="Arial" w:cs="Arial"/>
                <w:b/>
                <w:bCs/>
                <w:color w:val="000000"/>
                <w:sz w:val="20"/>
                <w:szCs w:val="20"/>
                <w:lang w:val="en-GB" w:eastAsia="en-GB"/>
              </w:rPr>
              <w:t>ower</w:t>
            </w:r>
          </w:p>
        </w:tc>
        <w:tc>
          <w:tcPr>
            <w:tcW w:w="780" w:type="pct"/>
            <w:hideMark/>
          </w:tcPr>
          <w:p w14:paraId="73334E18" w14:textId="7949C056" w:rsidR="00754049" w:rsidRPr="00DA2DE2"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O</w:t>
            </w:r>
            <w:r w:rsidRPr="00DA2DE2">
              <w:rPr>
                <w:rFonts w:ascii="Arial" w:eastAsia="Times New Roman" w:hAnsi="Arial" w:cs="Arial"/>
                <w:b/>
                <w:bCs/>
                <w:color w:val="000000"/>
                <w:sz w:val="20"/>
                <w:szCs w:val="20"/>
                <w:lang w:val="en-GB" w:eastAsia="en-GB"/>
              </w:rPr>
              <w:t xml:space="preserve">perating time </w:t>
            </w:r>
          </w:p>
        </w:tc>
        <w:tc>
          <w:tcPr>
            <w:tcW w:w="780" w:type="pct"/>
          </w:tcPr>
          <w:p w14:paraId="6B654A25" w14:textId="1BB7AB38"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D</w:t>
            </w:r>
            <w:r w:rsidR="00A913F6">
              <w:rPr>
                <w:rFonts w:ascii="Arial" w:eastAsia="Times New Roman" w:hAnsi="Arial" w:cs="Arial"/>
                <w:b/>
                <w:bCs/>
                <w:color w:val="000000"/>
                <w:sz w:val="20"/>
                <w:szCs w:val="20"/>
                <w:lang w:val="en-GB" w:eastAsia="en-GB"/>
              </w:rPr>
              <w:t xml:space="preserve">ataset for </w:t>
            </w:r>
            <w:r w:rsidRPr="00DA2DE2">
              <w:rPr>
                <w:rFonts w:ascii="Arial" w:eastAsia="Times New Roman" w:hAnsi="Arial" w:cs="Arial"/>
                <w:b/>
                <w:bCs/>
                <w:color w:val="000000"/>
                <w:sz w:val="20"/>
                <w:szCs w:val="20"/>
                <w:lang w:val="en-GB" w:eastAsia="en-GB"/>
              </w:rPr>
              <w:t>LCA</w:t>
            </w:r>
            <w:r w:rsidR="00EE5767" w:rsidRPr="00DA2DE2">
              <w:rPr>
                <w:rFonts w:ascii="Arial" w:eastAsia="Times New Roman" w:hAnsi="Arial" w:cs="Arial"/>
                <w:bCs/>
                <w:color w:val="000000"/>
                <w:sz w:val="20"/>
                <w:szCs w:val="20"/>
                <w:lang w:val="en-GB" w:eastAsia="en-GB"/>
              </w:rPr>
              <w:t xml:space="preserve"> [</w:t>
            </w:r>
            <w:r w:rsidR="00F46997">
              <w:rPr>
                <w:rFonts w:ascii="Arial" w:eastAsia="Times New Roman" w:hAnsi="Arial" w:cs="Arial"/>
                <w:bCs/>
                <w:color w:val="000000"/>
                <w:sz w:val="20"/>
                <w:szCs w:val="20"/>
                <w:lang w:val="en-GB" w:eastAsia="en-GB"/>
              </w:rPr>
              <w:fldChar w:fldCharType="begin"/>
            </w:r>
            <w:r w:rsidR="00F46997">
              <w:rPr>
                <w:rFonts w:ascii="Arial" w:eastAsia="Times New Roman" w:hAnsi="Arial" w:cs="Arial"/>
                <w:bCs/>
                <w:color w:val="000000"/>
                <w:sz w:val="20"/>
                <w:szCs w:val="20"/>
                <w:lang w:val="en-GB" w:eastAsia="en-GB"/>
              </w:rPr>
              <w:instrText xml:space="preserve"> REF _Ref219357622 \r \h </w:instrText>
            </w:r>
            <w:r w:rsidR="00F46997">
              <w:rPr>
                <w:rFonts w:ascii="Arial" w:eastAsia="Times New Roman" w:hAnsi="Arial" w:cs="Arial"/>
                <w:bCs/>
                <w:color w:val="000000"/>
                <w:sz w:val="20"/>
                <w:szCs w:val="20"/>
                <w:lang w:val="en-GB" w:eastAsia="en-GB"/>
              </w:rPr>
            </w:r>
            <w:r w:rsidR="00116794">
              <w:rPr>
                <w:rFonts w:ascii="Arial" w:eastAsia="Times New Roman" w:hAnsi="Arial" w:cs="Arial"/>
                <w:bCs/>
                <w:color w:val="000000"/>
                <w:sz w:val="20"/>
                <w:szCs w:val="20"/>
                <w:lang w:val="en-GB" w:eastAsia="en-GB"/>
              </w:rPr>
              <w:instrText xml:space="preserve"> \* MERGEFORMAT </w:instrText>
            </w:r>
            <w:r w:rsidR="00F46997">
              <w:rPr>
                <w:rFonts w:ascii="Arial" w:eastAsia="Times New Roman" w:hAnsi="Arial" w:cs="Arial"/>
                <w:bCs/>
                <w:color w:val="000000"/>
                <w:sz w:val="20"/>
                <w:szCs w:val="20"/>
                <w:lang w:val="en-GB" w:eastAsia="en-GB"/>
              </w:rPr>
              <w:fldChar w:fldCharType="separate"/>
            </w:r>
            <w:r w:rsidR="00D515C8">
              <w:rPr>
                <w:rFonts w:ascii="Arial" w:eastAsia="Times New Roman" w:hAnsi="Arial" w:cs="Arial"/>
                <w:bCs/>
                <w:color w:val="000000"/>
                <w:sz w:val="20"/>
                <w:szCs w:val="20"/>
                <w:lang w:val="en-GB" w:eastAsia="en-GB"/>
              </w:rPr>
              <w:t>26</w:t>
            </w:r>
            <w:r w:rsidR="00F46997">
              <w:rPr>
                <w:rFonts w:ascii="Arial" w:eastAsia="Times New Roman" w:hAnsi="Arial" w:cs="Arial"/>
                <w:bCs/>
                <w:color w:val="000000"/>
                <w:sz w:val="20"/>
                <w:szCs w:val="20"/>
                <w:lang w:val="en-GB" w:eastAsia="en-GB"/>
              </w:rPr>
              <w:fldChar w:fldCharType="end"/>
            </w:r>
            <w:r w:rsidR="00EE5767" w:rsidRPr="00DA2DE2">
              <w:rPr>
                <w:rFonts w:ascii="Arial" w:eastAsia="Times New Roman" w:hAnsi="Arial" w:cs="Arial"/>
                <w:bCs/>
                <w:color w:val="000000"/>
                <w:sz w:val="20"/>
                <w:szCs w:val="20"/>
                <w:lang w:val="en-GB" w:eastAsia="en-GB"/>
              </w:rPr>
              <w:t>]</w:t>
            </w:r>
          </w:p>
        </w:tc>
        <w:tc>
          <w:tcPr>
            <w:tcW w:w="854" w:type="pct"/>
          </w:tcPr>
          <w:p w14:paraId="463B1AB0" w14:textId="3B8A16A8"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C</w:t>
            </w:r>
            <w:r w:rsidR="00A913F6">
              <w:rPr>
                <w:rFonts w:ascii="Arial" w:eastAsia="Times New Roman" w:hAnsi="Arial" w:cs="Arial"/>
                <w:b/>
                <w:bCs/>
                <w:color w:val="000000"/>
                <w:sz w:val="20"/>
                <w:szCs w:val="20"/>
                <w:lang w:val="en-GB" w:eastAsia="en-GB"/>
              </w:rPr>
              <w:t>osts for</w:t>
            </w:r>
            <w:r w:rsidRPr="00DA2DE2">
              <w:rPr>
                <w:rFonts w:ascii="Arial" w:eastAsia="Times New Roman" w:hAnsi="Arial" w:cs="Arial"/>
                <w:b/>
                <w:bCs/>
                <w:color w:val="000000"/>
                <w:sz w:val="20"/>
                <w:szCs w:val="20"/>
                <w:lang w:val="en-GB" w:eastAsia="en-GB"/>
              </w:rPr>
              <w:t xml:space="preserve"> LCC</w:t>
            </w:r>
          </w:p>
        </w:tc>
      </w:tr>
      <w:tr w:rsidR="00754049" w:rsidRPr="00DA2DE2" w14:paraId="5C620BE9" w14:textId="5E83080C" w:rsidTr="00966D7A">
        <w:trPr>
          <w:trHeight w:val="338"/>
        </w:trPr>
        <w:tc>
          <w:tcPr>
            <w:tcW w:w="287" w:type="pct"/>
            <w:hideMark/>
          </w:tcPr>
          <w:p w14:paraId="1C067E7A" w14:textId="77777777"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1 </w:t>
            </w:r>
          </w:p>
        </w:tc>
        <w:tc>
          <w:tcPr>
            <w:tcW w:w="1167" w:type="pct"/>
            <w:hideMark/>
          </w:tcPr>
          <w:p w14:paraId="402EBFB3" w14:textId="74C5C6AF"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multi-strand jack</w:t>
            </w:r>
          </w:p>
        </w:tc>
        <w:tc>
          <w:tcPr>
            <w:tcW w:w="634" w:type="pct"/>
            <w:noWrap/>
            <w:hideMark/>
          </w:tcPr>
          <w:p w14:paraId="5C7D0467"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w:t>
            </w:r>
          </w:p>
        </w:tc>
        <w:tc>
          <w:tcPr>
            <w:tcW w:w="497" w:type="pct"/>
            <w:noWrap/>
            <w:hideMark/>
          </w:tcPr>
          <w:p w14:paraId="431EBD1B"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4</w:t>
            </w:r>
          </w:p>
        </w:tc>
        <w:tc>
          <w:tcPr>
            <w:tcW w:w="780" w:type="pct"/>
            <w:noWrap/>
            <w:hideMark/>
          </w:tcPr>
          <w:p w14:paraId="0D499EE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504</w:t>
            </w:r>
          </w:p>
        </w:tc>
        <w:tc>
          <w:tcPr>
            <w:tcW w:w="780" w:type="pct"/>
          </w:tcPr>
          <w:p w14:paraId="7F2661DC" w14:textId="24B413AA" w:rsidR="00754049" w:rsidRPr="00DA2DE2" w:rsidRDefault="00342208"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Electricity mix Greece </w:t>
            </w:r>
          </w:p>
        </w:tc>
        <w:tc>
          <w:tcPr>
            <w:tcW w:w="854" w:type="pct"/>
            <w:vMerge w:val="restart"/>
          </w:tcPr>
          <w:p w14:paraId="63D8A054" w14:textId="7AD453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Included in costs of </w:t>
            </w:r>
            <w:r w:rsidR="00C45ECE" w:rsidRPr="00DA2DE2">
              <w:rPr>
                <w:rFonts w:ascii="Arial" w:eastAsia="Times New Roman" w:hAnsi="Arial" w:cs="Arial"/>
                <w:color w:val="000000"/>
                <w:sz w:val="20"/>
                <w:szCs w:val="20"/>
                <w:lang w:val="en-GB" w:eastAsia="en-GB"/>
              </w:rPr>
              <w:t xml:space="preserve">Supplementary Table </w:t>
            </w:r>
            <w:r w:rsidR="00BA1DD5" w:rsidRPr="00DA2DE2">
              <w:rPr>
                <w:rFonts w:ascii="Arial" w:eastAsia="Times New Roman" w:hAnsi="Arial" w:cs="Arial"/>
                <w:color w:val="000000"/>
                <w:sz w:val="20"/>
                <w:szCs w:val="20"/>
                <w:lang w:val="en-GB" w:eastAsia="en-GB"/>
              </w:rPr>
              <w:t>8</w:t>
            </w:r>
          </w:p>
        </w:tc>
      </w:tr>
      <w:tr w:rsidR="00754049" w:rsidRPr="00DA2DE2" w14:paraId="2D47AF57" w14:textId="088BACE8" w:rsidTr="00966D7A">
        <w:trPr>
          <w:trHeight w:val="338"/>
        </w:trPr>
        <w:tc>
          <w:tcPr>
            <w:tcW w:w="287" w:type="pct"/>
            <w:hideMark/>
          </w:tcPr>
          <w:p w14:paraId="386FDD7C" w14:textId="77777777"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2</w:t>
            </w:r>
          </w:p>
        </w:tc>
        <w:tc>
          <w:tcPr>
            <w:tcW w:w="1167" w:type="pct"/>
            <w:hideMark/>
          </w:tcPr>
          <w:p w14:paraId="3690B0D8" w14:textId="10F329DD"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DA2DE2">
              <w:rPr>
                <w:rFonts w:ascii="Arial" w:eastAsia="Times New Roman" w:hAnsi="Arial" w:cs="Arial"/>
                <w:color w:val="000000"/>
                <w:sz w:val="20"/>
                <w:szCs w:val="20"/>
                <w:lang w:val="en-GB" w:eastAsia="en-GB"/>
              </w:rPr>
              <w:t xml:space="preserve"> </w:t>
            </w:r>
          </w:p>
        </w:tc>
        <w:tc>
          <w:tcPr>
            <w:tcW w:w="634" w:type="pct"/>
            <w:noWrap/>
            <w:hideMark/>
          </w:tcPr>
          <w:p w14:paraId="67DD1D4B"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w:t>
            </w:r>
          </w:p>
        </w:tc>
        <w:tc>
          <w:tcPr>
            <w:tcW w:w="497" w:type="pct"/>
            <w:noWrap/>
            <w:hideMark/>
          </w:tcPr>
          <w:p w14:paraId="28B9A362"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505</w:t>
            </w:r>
          </w:p>
        </w:tc>
        <w:tc>
          <w:tcPr>
            <w:tcW w:w="780" w:type="pct"/>
            <w:noWrap/>
            <w:hideMark/>
          </w:tcPr>
          <w:p w14:paraId="74BDB7F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6</w:t>
            </w:r>
          </w:p>
        </w:tc>
        <w:tc>
          <w:tcPr>
            <w:tcW w:w="780" w:type="pct"/>
          </w:tcPr>
          <w:p w14:paraId="54939E21" w14:textId="7E2A3F69" w:rsidR="00754049" w:rsidRPr="00DA2DE2" w:rsidRDefault="00342208"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Electricity mix Greece </w:t>
            </w:r>
          </w:p>
        </w:tc>
        <w:tc>
          <w:tcPr>
            <w:tcW w:w="854" w:type="pct"/>
            <w:vMerge/>
          </w:tcPr>
          <w:p w14:paraId="7174F374" w14:textId="7E8522C3" w:rsidR="00754049" w:rsidRPr="00DA2DE2" w:rsidRDefault="00754049" w:rsidP="00116794">
            <w:pPr>
              <w:rPr>
                <w:rFonts w:ascii="Arial" w:eastAsia="Times New Roman" w:hAnsi="Arial" w:cs="Arial"/>
                <w:color w:val="000000"/>
                <w:sz w:val="20"/>
                <w:szCs w:val="20"/>
                <w:lang w:val="en-GB" w:eastAsia="en-GB"/>
              </w:rPr>
            </w:pPr>
          </w:p>
        </w:tc>
      </w:tr>
      <w:tr w:rsidR="00754049" w:rsidRPr="00DA2DE2" w14:paraId="73DEC445" w14:textId="2EACABAB" w:rsidTr="00966D7A">
        <w:trPr>
          <w:trHeight w:val="338"/>
        </w:trPr>
        <w:tc>
          <w:tcPr>
            <w:tcW w:w="287" w:type="pct"/>
            <w:noWrap/>
            <w:hideMark/>
          </w:tcPr>
          <w:p w14:paraId="321E5507" w14:textId="428120F8"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3</w:t>
            </w:r>
          </w:p>
        </w:tc>
        <w:tc>
          <w:tcPr>
            <w:tcW w:w="1167" w:type="pct"/>
            <w:hideMark/>
          </w:tcPr>
          <w:p w14:paraId="50B0BEC4" w14:textId="33726399"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DA2DE2">
              <w:rPr>
                <w:rFonts w:ascii="Arial" w:eastAsia="Times New Roman" w:hAnsi="Arial" w:cs="Arial"/>
                <w:color w:val="000000"/>
                <w:sz w:val="20"/>
                <w:szCs w:val="20"/>
                <w:lang w:val="en-GB" w:eastAsia="en-GB"/>
              </w:rPr>
              <w:t xml:space="preserve"> </w:t>
            </w:r>
          </w:p>
        </w:tc>
        <w:tc>
          <w:tcPr>
            <w:tcW w:w="634" w:type="pct"/>
            <w:noWrap/>
            <w:hideMark/>
          </w:tcPr>
          <w:p w14:paraId="27933B26"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w:t>
            </w:r>
          </w:p>
        </w:tc>
        <w:tc>
          <w:tcPr>
            <w:tcW w:w="497" w:type="pct"/>
            <w:noWrap/>
            <w:hideMark/>
          </w:tcPr>
          <w:p w14:paraId="5650E164"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505</w:t>
            </w:r>
          </w:p>
        </w:tc>
        <w:tc>
          <w:tcPr>
            <w:tcW w:w="780" w:type="pct"/>
            <w:noWrap/>
            <w:hideMark/>
          </w:tcPr>
          <w:p w14:paraId="77E3A931"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6</w:t>
            </w:r>
          </w:p>
        </w:tc>
        <w:tc>
          <w:tcPr>
            <w:tcW w:w="780" w:type="pct"/>
          </w:tcPr>
          <w:p w14:paraId="5E2F3733" w14:textId="00CE22B1" w:rsidR="00754049" w:rsidRPr="00DA2DE2" w:rsidRDefault="00342208"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Electricity mix Greece </w:t>
            </w:r>
          </w:p>
        </w:tc>
        <w:tc>
          <w:tcPr>
            <w:tcW w:w="854" w:type="pct"/>
            <w:vMerge/>
          </w:tcPr>
          <w:p w14:paraId="314282C8" w14:textId="3E264B9A" w:rsidR="00754049" w:rsidRPr="00DA2DE2" w:rsidRDefault="00754049" w:rsidP="00116794">
            <w:pPr>
              <w:rPr>
                <w:rFonts w:ascii="Arial" w:eastAsia="Times New Roman" w:hAnsi="Arial" w:cs="Arial"/>
                <w:color w:val="000000"/>
                <w:sz w:val="20"/>
                <w:szCs w:val="20"/>
                <w:lang w:val="en-GB" w:eastAsia="en-GB"/>
              </w:rPr>
            </w:pPr>
          </w:p>
        </w:tc>
      </w:tr>
      <w:tr w:rsidR="00754049" w:rsidRPr="00DA2DE2" w14:paraId="1D26F3B3" w14:textId="5FA00D51" w:rsidTr="00966D7A">
        <w:trPr>
          <w:trHeight w:val="338"/>
        </w:trPr>
        <w:tc>
          <w:tcPr>
            <w:tcW w:w="287" w:type="pct"/>
            <w:hideMark/>
          </w:tcPr>
          <w:p w14:paraId="441C747E" w14:textId="77777777"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4</w:t>
            </w:r>
          </w:p>
        </w:tc>
        <w:tc>
          <w:tcPr>
            <w:tcW w:w="1167" w:type="pct"/>
            <w:hideMark/>
          </w:tcPr>
          <w:p w14:paraId="12ADCF22" w14:textId="7B030D1C"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DA2DE2">
              <w:rPr>
                <w:rFonts w:ascii="Arial" w:eastAsia="Times New Roman" w:hAnsi="Arial" w:cs="Arial"/>
                <w:color w:val="000000"/>
                <w:sz w:val="20"/>
                <w:szCs w:val="20"/>
                <w:lang w:val="en-GB" w:eastAsia="en-GB"/>
              </w:rPr>
              <w:t xml:space="preserve"> </w:t>
            </w:r>
          </w:p>
        </w:tc>
        <w:tc>
          <w:tcPr>
            <w:tcW w:w="634" w:type="pct"/>
            <w:noWrap/>
            <w:hideMark/>
          </w:tcPr>
          <w:p w14:paraId="30EFF82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w:t>
            </w:r>
          </w:p>
        </w:tc>
        <w:tc>
          <w:tcPr>
            <w:tcW w:w="497" w:type="pct"/>
            <w:noWrap/>
            <w:hideMark/>
          </w:tcPr>
          <w:p w14:paraId="01100834"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505</w:t>
            </w:r>
          </w:p>
        </w:tc>
        <w:tc>
          <w:tcPr>
            <w:tcW w:w="780" w:type="pct"/>
            <w:noWrap/>
            <w:hideMark/>
          </w:tcPr>
          <w:p w14:paraId="5F17550E"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6</w:t>
            </w:r>
          </w:p>
        </w:tc>
        <w:tc>
          <w:tcPr>
            <w:tcW w:w="780" w:type="pct"/>
          </w:tcPr>
          <w:p w14:paraId="54219A7E" w14:textId="20A4F5B9" w:rsidR="00754049" w:rsidRPr="00DA2DE2" w:rsidRDefault="00342208"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Electricity mix Greece </w:t>
            </w:r>
          </w:p>
        </w:tc>
        <w:tc>
          <w:tcPr>
            <w:tcW w:w="854" w:type="pct"/>
            <w:vMerge/>
          </w:tcPr>
          <w:p w14:paraId="1A2BD463" w14:textId="54657AB7" w:rsidR="00754049" w:rsidRPr="00DA2DE2" w:rsidRDefault="00754049" w:rsidP="00116794">
            <w:pPr>
              <w:rPr>
                <w:rFonts w:ascii="Arial" w:eastAsia="Times New Roman" w:hAnsi="Arial" w:cs="Arial"/>
                <w:color w:val="000000"/>
                <w:sz w:val="20"/>
                <w:szCs w:val="20"/>
                <w:lang w:val="en-GB" w:eastAsia="en-GB"/>
              </w:rPr>
            </w:pPr>
          </w:p>
        </w:tc>
      </w:tr>
      <w:tr w:rsidR="00754049" w:rsidRPr="00DA2DE2" w14:paraId="2D0428F9" w14:textId="1E7FAC63" w:rsidTr="00966D7A">
        <w:trPr>
          <w:trHeight w:val="338"/>
        </w:trPr>
        <w:tc>
          <w:tcPr>
            <w:tcW w:w="287" w:type="pct"/>
            <w:hideMark/>
          </w:tcPr>
          <w:p w14:paraId="7A5FD165" w14:textId="77777777"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5</w:t>
            </w:r>
          </w:p>
        </w:tc>
        <w:tc>
          <w:tcPr>
            <w:tcW w:w="1167" w:type="pct"/>
            <w:hideMark/>
          </w:tcPr>
          <w:p w14:paraId="48F118CF" w14:textId="2FE27AD5"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No machinery </w:t>
            </w:r>
          </w:p>
        </w:tc>
        <w:tc>
          <w:tcPr>
            <w:tcW w:w="634" w:type="pct"/>
            <w:noWrap/>
            <w:hideMark/>
          </w:tcPr>
          <w:p w14:paraId="6451A69F" w14:textId="7D38AA3E" w:rsidR="00754049" w:rsidRPr="00DA2DE2" w:rsidRDefault="00754049" w:rsidP="00116794">
            <w:pPr>
              <w:rPr>
                <w:rFonts w:ascii="Arial" w:eastAsia="Times New Roman" w:hAnsi="Arial" w:cs="Arial"/>
                <w:color w:val="000000"/>
                <w:sz w:val="20"/>
                <w:szCs w:val="20"/>
                <w:lang w:val="en-GB" w:eastAsia="en-GB"/>
              </w:rPr>
            </w:pPr>
          </w:p>
        </w:tc>
        <w:tc>
          <w:tcPr>
            <w:tcW w:w="497" w:type="pct"/>
            <w:noWrap/>
            <w:hideMark/>
          </w:tcPr>
          <w:p w14:paraId="2B721168"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w:t>
            </w:r>
          </w:p>
        </w:tc>
        <w:tc>
          <w:tcPr>
            <w:tcW w:w="780" w:type="pct"/>
            <w:noWrap/>
            <w:hideMark/>
          </w:tcPr>
          <w:p w14:paraId="52128EFC"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w:t>
            </w:r>
          </w:p>
        </w:tc>
        <w:tc>
          <w:tcPr>
            <w:tcW w:w="780" w:type="pct"/>
          </w:tcPr>
          <w:p w14:paraId="6ED1AE15" w14:textId="77777777" w:rsidR="00754049" w:rsidRPr="00DA2DE2" w:rsidRDefault="00754049" w:rsidP="00116794">
            <w:pPr>
              <w:rPr>
                <w:rFonts w:ascii="Arial" w:eastAsia="Times New Roman" w:hAnsi="Arial" w:cs="Arial"/>
                <w:color w:val="000000"/>
                <w:sz w:val="20"/>
                <w:szCs w:val="20"/>
                <w:lang w:val="en-GB" w:eastAsia="en-GB"/>
              </w:rPr>
            </w:pPr>
          </w:p>
        </w:tc>
        <w:tc>
          <w:tcPr>
            <w:tcW w:w="854" w:type="pct"/>
            <w:vMerge/>
          </w:tcPr>
          <w:p w14:paraId="23052450" w14:textId="2830AFB6" w:rsidR="00754049" w:rsidRPr="00DA2DE2" w:rsidRDefault="00754049" w:rsidP="00116794">
            <w:pPr>
              <w:rPr>
                <w:rFonts w:ascii="Arial" w:eastAsia="Times New Roman" w:hAnsi="Arial" w:cs="Arial"/>
                <w:color w:val="000000"/>
                <w:sz w:val="20"/>
                <w:szCs w:val="20"/>
                <w:lang w:val="en-GB" w:eastAsia="en-GB"/>
              </w:rPr>
            </w:pPr>
          </w:p>
        </w:tc>
      </w:tr>
      <w:tr w:rsidR="00754049" w:rsidRPr="00DA2DE2" w14:paraId="3D272772" w14:textId="174EDC71" w:rsidTr="00966D7A">
        <w:trPr>
          <w:trHeight w:val="338"/>
        </w:trPr>
        <w:tc>
          <w:tcPr>
            <w:tcW w:w="287" w:type="pct"/>
            <w:noWrap/>
            <w:hideMark/>
          </w:tcPr>
          <w:p w14:paraId="13A4A09E" w14:textId="77777777" w:rsidR="00754049" w:rsidRPr="00DA2DE2" w:rsidRDefault="00754049" w:rsidP="00116794">
            <w:pPr>
              <w:rPr>
                <w:rFonts w:ascii="Arial" w:eastAsia="Times New Roman" w:hAnsi="Arial" w:cs="Arial"/>
                <w:b/>
                <w:bCs/>
                <w:color w:val="000000"/>
                <w:sz w:val="20"/>
                <w:szCs w:val="20"/>
                <w:lang w:val="en-GB" w:eastAsia="en-GB"/>
              </w:rPr>
            </w:pPr>
            <w:r w:rsidRPr="00DA2DE2">
              <w:rPr>
                <w:rFonts w:ascii="Arial" w:eastAsia="Times New Roman" w:hAnsi="Arial" w:cs="Arial"/>
                <w:b/>
                <w:bCs/>
                <w:color w:val="000000"/>
                <w:sz w:val="20"/>
                <w:szCs w:val="20"/>
                <w:lang w:val="en-GB" w:eastAsia="en-GB"/>
              </w:rPr>
              <w:t>6</w:t>
            </w:r>
          </w:p>
        </w:tc>
        <w:tc>
          <w:tcPr>
            <w:tcW w:w="1167" w:type="pct"/>
            <w:hideMark/>
          </w:tcPr>
          <w:p w14:paraId="2DB27DCE" w14:textId="07994A0E"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DA2DE2">
              <w:rPr>
                <w:rFonts w:ascii="Arial" w:eastAsia="Times New Roman" w:hAnsi="Arial" w:cs="Arial"/>
                <w:color w:val="000000"/>
                <w:sz w:val="20"/>
                <w:szCs w:val="20"/>
                <w:lang w:val="en-GB" w:eastAsia="en-GB"/>
              </w:rPr>
              <w:t xml:space="preserve"> </w:t>
            </w:r>
          </w:p>
        </w:tc>
        <w:tc>
          <w:tcPr>
            <w:tcW w:w="634" w:type="pct"/>
            <w:noWrap/>
            <w:hideMark/>
          </w:tcPr>
          <w:p w14:paraId="3391085A"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1</w:t>
            </w:r>
          </w:p>
        </w:tc>
        <w:tc>
          <w:tcPr>
            <w:tcW w:w="497" w:type="pct"/>
            <w:noWrap/>
            <w:hideMark/>
          </w:tcPr>
          <w:p w14:paraId="5DFA273B"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505</w:t>
            </w:r>
          </w:p>
        </w:tc>
        <w:tc>
          <w:tcPr>
            <w:tcW w:w="780" w:type="pct"/>
            <w:noWrap/>
            <w:hideMark/>
          </w:tcPr>
          <w:p w14:paraId="60BFE7A9" w14:textId="77777777" w:rsidR="00754049" w:rsidRPr="00DA2DE2" w:rsidRDefault="00754049"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9</w:t>
            </w:r>
          </w:p>
        </w:tc>
        <w:tc>
          <w:tcPr>
            <w:tcW w:w="780" w:type="pct"/>
          </w:tcPr>
          <w:p w14:paraId="77830D6A" w14:textId="0131C121" w:rsidR="00754049" w:rsidRPr="00DA2DE2" w:rsidRDefault="00342208" w:rsidP="00116794">
            <w:pPr>
              <w:rPr>
                <w:rFonts w:ascii="Arial" w:eastAsia="Times New Roman" w:hAnsi="Arial" w:cs="Arial"/>
                <w:color w:val="000000"/>
                <w:sz w:val="20"/>
                <w:szCs w:val="20"/>
                <w:lang w:val="en-GB" w:eastAsia="en-GB"/>
              </w:rPr>
            </w:pPr>
            <w:r w:rsidRPr="00DA2DE2">
              <w:rPr>
                <w:rFonts w:ascii="Arial" w:eastAsia="Times New Roman" w:hAnsi="Arial" w:cs="Arial"/>
                <w:color w:val="000000"/>
                <w:sz w:val="20"/>
                <w:szCs w:val="20"/>
                <w:lang w:val="en-GB" w:eastAsia="en-GB"/>
              </w:rPr>
              <w:t>Electricity mix Greece</w:t>
            </w:r>
          </w:p>
        </w:tc>
        <w:tc>
          <w:tcPr>
            <w:tcW w:w="854" w:type="pct"/>
            <w:vMerge/>
          </w:tcPr>
          <w:p w14:paraId="476BAA8D" w14:textId="7D105B14" w:rsidR="00754049" w:rsidRPr="00DA2DE2" w:rsidRDefault="00754049" w:rsidP="00116794">
            <w:pPr>
              <w:rPr>
                <w:rFonts w:ascii="Arial" w:eastAsia="Times New Roman" w:hAnsi="Arial" w:cs="Arial"/>
                <w:color w:val="000000"/>
                <w:sz w:val="20"/>
                <w:szCs w:val="20"/>
                <w:lang w:val="en-GB" w:eastAsia="en-GB"/>
              </w:rPr>
            </w:pPr>
          </w:p>
        </w:tc>
      </w:tr>
    </w:tbl>
    <w:p w14:paraId="35366E05" w14:textId="77777777" w:rsidR="009B492C" w:rsidRPr="00DA2DE2" w:rsidRDefault="009B492C" w:rsidP="00116794">
      <w:pPr>
        <w:rPr>
          <w:rFonts w:ascii="Arial" w:hAnsi="Arial" w:cs="Arial"/>
          <w:color w:val="1F1F1F"/>
          <w:lang w:val="en-GB"/>
        </w:rPr>
      </w:pPr>
    </w:p>
    <w:p w14:paraId="4A018500" w14:textId="15102D94" w:rsidR="00D44D63" w:rsidRPr="00DA2DE2" w:rsidRDefault="00AB6E0F" w:rsidP="00BF4A93">
      <w:pPr>
        <w:spacing w:before="100" w:beforeAutospacing="1" w:after="100" w:afterAutospacing="1" w:line="240" w:lineRule="auto"/>
        <w:jc w:val="both"/>
        <w:outlineLvl w:val="2"/>
        <w:rPr>
          <w:rFonts w:ascii="Arial" w:eastAsia="Times New Roman" w:hAnsi="Arial" w:cs="Arial"/>
          <w:sz w:val="20"/>
          <w:szCs w:val="20"/>
          <w:lang w:val="en-GB" w:eastAsia="zh-CN"/>
        </w:rPr>
      </w:pPr>
      <w:r w:rsidRPr="00DA2DE2">
        <w:rPr>
          <w:rFonts w:ascii="Arial" w:eastAsia="Times New Roman" w:hAnsi="Arial" w:cs="Arial"/>
          <w:b/>
          <w:bCs/>
          <w:lang w:val="en-GB"/>
        </w:rPr>
        <w:t xml:space="preserve">Supplementary Table </w:t>
      </w:r>
      <w:r w:rsidR="004E4656" w:rsidRPr="00DA2DE2">
        <w:rPr>
          <w:rFonts w:ascii="Arial" w:eastAsia="Times New Roman" w:hAnsi="Arial" w:cs="Arial"/>
          <w:b/>
          <w:bCs/>
          <w:lang w:val="en-GB"/>
        </w:rPr>
        <w:t>10</w:t>
      </w:r>
      <w:r w:rsidRPr="00DA2DE2">
        <w:rPr>
          <w:rFonts w:ascii="Arial" w:eastAsia="Times New Roman" w:hAnsi="Arial" w:cs="Arial"/>
          <w:b/>
          <w:bCs/>
          <w:lang w:val="en-GB"/>
        </w:rPr>
        <w:t xml:space="preserve">. </w:t>
      </w:r>
      <w:r w:rsidR="009B492C" w:rsidRPr="00DA2DE2">
        <w:rPr>
          <w:rFonts w:ascii="Arial" w:eastAsia="Times New Roman" w:hAnsi="Arial" w:cs="Arial"/>
          <w:sz w:val="20"/>
          <w:szCs w:val="20"/>
          <w:lang w:val="en-GB" w:eastAsia="zh-CN"/>
        </w:rPr>
        <w:t xml:space="preserve">Demolition of old bridge components: </w:t>
      </w:r>
      <w:r w:rsidR="0096699A">
        <w:rPr>
          <w:rFonts w:ascii="Arial" w:eastAsia="Times New Roman" w:hAnsi="Arial" w:cs="Arial"/>
          <w:sz w:val="20"/>
          <w:szCs w:val="20"/>
          <w:lang w:val="en-GB" w:eastAsia="zh-CN"/>
        </w:rPr>
        <w:t>d</w:t>
      </w:r>
      <w:r w:rsidR="009B492C" w:rsidRPr="00DA2DE2">
        <w:rPr>
          <w:rFonts w:ascii="Arial" w:eastAsia="Times New Roman" w:hAnsi="Arial" w:cs="Arial"/>
          <w:sz w:val="20"/>
          <w:szCs w:val="20"/>
          <w:lang w:val="en-GB" w:eastAsia="zh-CN"/>
        </w:rPr>
        <w:t xml:space="preserve">etailed </w:t>
      </w:r>
      <w:r w:rsidR="0096699A">
        <w:rPr>
          <w:rFonts w:ascii="Arial" w:eastAsia="Times New Roman" w:hAnsi="Arial" w:cs="Arial"/>
          <w:sz w:val="20"/>
          <w:szCs w:val="20"/>
          <w:lang w:val="en-GB" w:eastAsia="zh-CN"/>
        </w:rPr>
        <w:t>i</w:t>
      </w:r>
      <w:r w:rsidR="009B492C" w:rsidRPr="00DA2DE2">
        <w:rPr>
          <w:rFonts w:ascii="Arial" w:eastAsia="Times New Roman" w:hAnsi="Arial" w:cs="Arial"/>
          <w:sz w:val="20"/>
          <w:szCs w:val="20"/>
          <w:lang w:val="en-GB" w:eastAsia="zh-CN"/>
        </w:rPr>
        <w:t>nformation</w:t>
      </w:r>
      <w:r w:rsidR="00342208" w:rsidRPr="00DA2DE2">
        <w:rPr>
          <w:rFonts w:ascii="Arial" w:eastAsia="Times New Roman" w:hAnsi="Arial" w:cs="Arial"/>
          <w:sz w:val="20"/>
          <w:szCs w:val="20"/>
          <w:lang w:val="en-GB" w:eastAsia="zh-CN"/>
        </w:rPr>
        <w:t>/datasets</w:t>
      </w:r>
    </w:p>
    <w:tbl>
      <w:tblPr>
        <w:tblStyle w:val="TableGrid"/>
        <w:tblW w:w="9776" w:type="dxa"/>
        <w:tblLayout w:type="fixed"/>
        <w:tblCellMar>
          <w:left w:w="57" w:type="dxa"/>
          <w:right w:w="57" w:type="dxa"/>
        </w:tblCellMar>
        <w:tblLook w:val="04A0" w:firstRow="1" w:lastRow="0" w:firstColumn="1" w:lastColumn="0" w:noHBand="0" w:noVBand="1"/>
      </w:tblPr>
      <w:tblGrid>
        <w:gridCol w:w="1271"/>
        <w:gridCol w:w="1559"/>
        <w:gridCol w:w="1560"/>
        <w:gridCol w:w="1275"/>
        <w:gridCol w:w="993"/>
        <w:gridCol w:w="992"/>
        <w:gridCol w:w="1134"/>
        <w:gridCol w:w="992"/>
      </w:tblGrid>
      <w:tr w:rsidR="00966D7A" w:rsidRPr="00896088" w14:paraId="53D83E59" w14:textId="723604A5" w:rsidTr="00116794">
        <w:trPr>
          <w:trHeight w:val="320"/>
        </w:trPr>
        <w:tc>
          <w:tcPr>
            <w:tcW w:w="1271" w:type="dxa"/>
            <w:hideMark/>
          </w:tcPr>
          <w:p w14:paraId="7FE0347D" w14:textId="6D304284" w:rsidR="00966D7A" w:rsidRPr="00896088" w:rsidRDefault="00A913F6" w:rsidP="00116794">
            <w:pPr>
              <w:rPr>
                <w:rFonts w:ascii="Arial" w:eastAsia="Times New Roman" w:hAnsi="Arial" w:cs="Arial"/>
                <w:b/>
                <w:bCs/>
                <w:color w:val="000000"/>
                <w:sz w:val="20"/>
                <w:szCs w:val="20"/>
                <w:lang w:val="uk-UA" w:eastAsia="en-GB"/>
              </w:rPr>
            </w:pPr>
            <w:r w:rsidRPr="00896088">
              <w:rPr>
                <w:rFonts w:ascii="Arial" w:eastAsia="Times New Roman" w:hAnsi="Arial" w:cs="Arial"/>
                <w:b/>
                <w:bCs/>
                <w:color w:val="000000"/>
                <w:sz w:val="20"/>
                <w:szCs w:val="20"/>
                <w:lang w:val="en-GB" w:eastAsia="en-GB"/>
              </w:rPr>
              <w:t>Dem</w:t>
            </w:r>
            <w:r>
              <w:rPr>
                <w:rFonts w:ascii="Arial" w:eastAsia="Times New Roman" w:hAnsi="Arial" w:cs="Arial"/>
                <w:b/>
                <w:bCs/>
                <w:color w:val="000000"/>
                <w:sz w:val="20"/>
                <w:szCs w:val="20"/>
                <w:lang w:val="en-GB" w:eastAsia="en-GB"/>
              </w:rPr>
              <w:t>olition</w:t>
            </w:r>
            <w:r w:rsidRPr="00896088">
              <w:rPr>
                <w:rFonts w:ascii="Arial" w:eastAsia="Times New Roman" w:hAnsi="Arial" w:cs="Arial"/>
                <w:b/>
                <w:bCs/>
                <w:color w:val="000000"/>
                <w:sz w:val="20"/>
                <w:szCs w:val="20"/>
                <w:lang w:val="en-GB" w:eastAsia="en-GB"/>
              </w:rPr>
              <w:t xml:space="preserve"> </w:t>
            </w:r>
            <w:r>
              <w:rPr>
                <w:rFonts w:ascii="Arial" w:eastAsia="Times New Roman" w:hAnsi="Arial" w:cs="Arial"/>
                <w:b/>
                <w:bCs/>
                <w:color w:val="000000"/>
                <w:sz w:val="20"/>
                <w:szCs w:val="20"/>
                <w:lang w:val="en-GB" w:eastAsia="en-GB"/>
              </w:rPr>
              <w:t>t</w:t>
            </w:r>
            <w:r w:rsidRPr="00896088">
              <w:rPr>
                <w:rFonts w:ascii="Arial" w:eastAsia="Times New Roman" w:hAnsi="Arial" w:cs="Arial"/>
                <w:b/>
                <w:bCs/>
                <w:color w:val="000000"/>
                <w:sz w:val="20"/>
                <w:szCs w:val="20"/>
                <w:lang w:val="en-GB" w:eastAsia="en-GB"/>
              </w:rPr>
              <w:t>yp</w:t>
            </w:r>
            <w:r>
              <w:rPr>
                <w:rFonts w:ascii="Arial" w:eastAsia="Times New Roman" w:hAnsi="Arial" w:cs="Arial"/>
                <w:b/>
                <w:bCs/>
                <w:color w:val="000000"/>
                <w:sz w:val="20"/>
                <w:szCs w:val="20"/>
                <w:lang w:val="en-GB" w:eastAsia="en-GB"/>
              </w:rPr>
              <w:t>e</w:t>
            </w:r>
          </w:p>
        </w:tc>
        <w:tc>
          <w:tcPr>
            <w:tcW w:w="1559" w:type="dxa"/>
            <w:hideMark/>
          </w:tcPr>
          <w:p w14:paraId="61CF1EC1" w14:textId="4FB3D385" w:rsidR="00966D7A" w:rsidRPr="00896088" w:rsidRDefault="00A913F6" w:rsidP="00116794">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Phase</w:t>
            </w:r>
          </w:p>
        </w:tc>
        <w:tc>
          <w:tcPr>
            <w:tcW w:w="1560" w:type="dxa"/>
            <w:hideMark/>
          </w:tcPr>
          <w:p w14:paraId="61DBAFC6" w14:textId="1AB6CB3C" w:rsidR="00966D7A" w:rsidRPr="00896088" w:rsidRDefault="00A913F6" w:rsidP="00116794">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 xml:space="preserve">Machinery </w:t>
            </w:r>
          </w:p>
        </w:tc>
        <w:tc>
          <w:tcPr>
            <w:tcW w:w="1275" w:type="dxa"/>
            <w:hideMark/>
          </w:tcPr>
          <w:p w14:paraId="43F31AB8" w14:textId="0E9FC837" w:rsidR="00966D7A" w:rsidRPr="00896088" w:rsidRDefault="00A913F6" w:rsidP="00116794">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Quantity</w:t>
            </w:r>
          </w:p>
        </w:tc>
        <w:tc>
          <w:tcPr>
            <w:tcW w:w="993" w:type="dxa"/>
            <w:noWrap/>
            <w:hideMark/>
          </w:tcPr>
          <w:p w14:paraId="6054CBE0" w14:textId="377970BA" w:rsidR="00966D7A" w:rsidRPr="00896088" w:rsidRDefault="00A913F6" w:rsidP="00116794">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Power</w:t>
            </w:r>
          </w:p>
        </w:tc>
        <w:tc>
          <w:tcPr>
            <w:tcW w:w="992" w:type="dxa"/>
            <w:noWrap/>
            <w:hideMark/>
          </w:tcPr>
          <w:p w14:paraId="301E31B5" w14:textId="5D0690C6" w:rsidR="00966D7A" w:rsidRPr="00896088"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O</w:t>
            </w:r>
            <w:r w:rsidRPr="00896088">
              <w:rPr>
                <w:rFonts w:ascii="Arial" w:eastAsia="Times New Roman" w:hAnsi="Arial" w:cs="Arial"/>
                <w:b/>
                <w:bCs/>
                <w:color w:val="000000"/>
                <w:sz w:val="20"/>
                <w:szCs w:val="20"/>
                <w:lang w:val="en-GB" w:eastAsia="en-GB"/>
              </w:rPr>
              <w:t>perating time</w:t>
            </w:r>
            <w:r>
              <w:rPr>
                <w:rFonts w:ascii="Arial" w:eastAsia="Times New Roman" w:hAnsi="Arial" w:cs="Arial"/>
                <w:b/>
                <w:bCs/>
                <w:color w:val="000000"/>
                <w:sz w:val="20"/>
                <w:szCs w:val="20"/>
                <w:lang w:val="en-GB" w:eastAsia="en-GB"/>
              </w:rPr>
              <w:t xml:space="preserve"> </w:t>
            </w:r>
            <w:r w:rsidR="00966D7A" w:rsidRPr="00896088">
              <w:rPr>
                <w:rFonts w:ascii="Arial" w:eastAsia="Times New Roman" w:hAnsi="Arial" w:cs="Arial"/>
                <w:b/>
                <w:bCs/>
                <w:color w:val="000000"/>
                <w:sz w:val="20"/>
                <w:szCs w:val="20"/>
                <w:lang w:val="en-GB" w:eastAsia="en-GB"/>
              </w:rPr>
              <w:t>(</w:t>
            </w:r>
            <w:r>
              <w:rPr>
                <w:rFonts w:ascii="Arial" w:eastAsia="Times New Roman" w:hAnsi="Arial" w:cs="Arial"/>
                <w:b/>
                <w:bCs/>
                <w:color w:val="000000"/>
                <w:sz w:val="20"/>
                <w:szCs w:val="20"/>
                <w:lang w:val="en-GB" w:eastAsia="en-GB"/>
              </w:rPr>
              <w:t>hrs</w:t>
            </w:r>
            <w:r w:rsidR="00966D7A" w:rsidRPr="00896088">
              <w:rPr>
                <w:rFonts w:ascii="Arial" w:eastAsia="Times New Roman" w:hAnsi="Arial" w:cs="Arial"/>
                <w:b/>
                <w:bCs/>
                <w:color w:val="000000"/>
                <w:sz w:val="20"/>
                <w:szCs w:val="20"/>
                <w:lang w:val="en-GB" w:eastAsia="en-GB"/>
              </w:rPr>
              <w:t>)</w:t>
            </w:r>
          </w:p>
        </w:tc>
        <w:tc>
          <w:tcPr>
            <w:tcW w:w="1134" w:type="dxa"/>
          </w:tcPr>
          <w:p w14:paraId="5852248A" w14:textId="6560BB6F" w:rsidR="00966D7A" w:rsidRPr="00896088"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D</w:t>
            </w:r>
            <w:r w:rsidRPr="00896088">
              <w:rPr>
                <w:rFonts w:ascii="Arial" w:eastAsia="Times New Roman" w:hAnsi="Arial" w:cs="Arial"/>
                <w:b/>
                <w:bCs/>
                <w:color w:val="000000"/>
                <w:sz w:val="20"/>
                <w:szCs w:val="20"/>
                <w:lang w:val="en-GB" w:eastAsia="en-GB"/>
              </w:rPr>
              <w:t xml:space="preserve">ataset for </w:t>
            </w:r>
            <w:r w:rsidR="00966D7A" w:rsidRPr="00896088">
              <w:rPr>
                <w:rFonts w:ascii="Arial" w:eastAsia="Times New Roman" w:hAnsi="Arial" w:cs="Arial"/>
                <w:b/>
                <w:bCs/>
                <w:color w:val="000000"/>
                <w:sz w:val="20"/>
                <w:szCs w:val="20"/>
                <w:lang w:val="en-GB" w:eastAsia="en-GB"/>
              </w:rPr>
              <w:t>LCA</w:t>
            </w:r>
            <w:r w:rsidR="00EE5767" w:rsidRPr="00896088">
              <w:rPr>
                <w:rFonts w:ascii="Arial" w:eastAsia="Times New Roman" w:hAnsi="Arial" w:cs="Arial"/>
                <w:b/>
                <w:bCs/>
                <w:color w:val="000000"/>
                <w:sz w:val="20"/>
                <w:szCs w:val="20"/>
                <w:lang w:val="en-GB" w:eastAsia="en-GB"/>
              </w:rPr>
              <w:t xml:space="preserve"> </w:t>
            </w:r>
            <w:r w:rsidR="00EE5767" w:rsidRPr="00896088">
              <w:rPr>
                <w:rFonts w:ascii="Arial" w:eastAsia="Times New Roman" w:hAnsi="Arial" w:cs="Arial"/>
                <w:bCs/>
                <w:color w:val="000000"/>
                <w:sz w:val="20"/>
                <w:szCs w:val="20"/>
                <w:lang w:val="en-GB" w:eastAsia="en-GB"/>
              </w:rPr>
              <w:t>[</w:t>
            </w:r>
            <w:r w:rsidR="00F25B0E" w:rsidRPr="00896088">
              <w:rPr>
                <w:rFonts w:ascii="Arial" w:eastAsia="Times New Roman" w:hAnsi="Arial" w:cs="Arial"/>
                <w:bCs/>
                <w:color w:val="000000"/>
                <w:sz w:val="20"/>
                <w:szCs w:val="20"/>
                <w:lang w:val="en-GB" w:eastAsia="en-GB"/>
              </w:rPr>
              <w:fldChar w:fldCharType="begin"/>
            </w:r>
            <w:r w:rsidR="00F25B0E" w:rsidRPr="00896088">
              <w:rPr>
                <w:rFonts w:ascii="Arial" w:eastAsia="Times New Roman" w:hAnsi="Arial" w:cs="Arial"/>
                <w:bCs/>
                <w:color w:val="000000"/>
                <w:sz w:val="20"/>
                <w:szCs w:val="20"/>
                <w:lang w:val="en-GB" w:eastAsia="en-GB"/>
              </w:rPr>
              <w:instrText xml:space="preserve"> REF _Ref219357622 \r \h </w:instrText>
            </w:r>
            <w:r w:rsidR="00F25B0E">
              <w:rPr>
                <w:rFonts w:ascii="Arial" w:eastAsia="Times New Roman" w:hAnsi="Arial" w:cs="Arial"/>
                <w:bCs/>
                <w:color w:val="000000"/>
                <w:sz w:val="20"/>
                <w:szCs w:val="20"/>
                <w:lang w:val="en-GB" w:eastAsia="en-GB"/>
              </w:rPr>
              <w:instrText xml:space="preserve"> \* MERGEFORMAT </w:instrText>
            </w:r>
            <w:r w:rsidR="00F25B0E" w:rsidRPr="00896088">
              <w:rPr>
                <w:rFonts w:ascii="Arial" w:eastAsia="Times New Roman" w:hAnsi="Arial" w:cs="Arial"/>
                <w:bCs/>
                <w:color w:val="000000"/>
                <w:sz w:val="20"/>
                <w:szCs w:val="20"/>
                <w:lang w:val="en-GB" w:eastAsia="en-GB"/>
              </w:rPr>
            </w:r>
            <w:r w:rsidR="00F25B0E" w:rsidRPr="00896088">
              <w:rPr>
                <w:rFonts w:ascii="Arial" w:eastAsia="Times New Roman" w:hAnsi="Arial" w:cs="Arial"/>
                <w:bCs/>
                <w:color w:val="000000"/>
                <w:sz w:val="20"/>
                <w:szCs w:val="20"/>
                <w:lang w:val="en-GB" w:eastAsia="en-GB"/>
              </w:rPr>
              <w:fldChar w:fldCharType="separate"/>
            </w:r>
            <w:r w:rsidR="00D515C8">
              <w:rPr>
                <w:rFonts w:ascii="Arial" w:eastAsia="Times New Roman" w:hAnsi="Arial" w:cs="Arial"/>
                <w:bCs/>
                <w:color w:val="000000"/>
                <w:sz w:val="20"/>
                <w:szCs w:val="20"/>
                <w:lang w:val="en-GB" w:eastAsia="en-GB"/>
              </w:rPr>
              <w:t>26</w:t>
            </w:r>
            <w:r w:rsidR="00F25B0E" w:rsidRPr="00896088">
              <w:rPr>
                <w:rFonts w:ascii="Arial" w:eastAsia="Times New Roman" w:hAnsi="Arial" w:cs="Arial"/>
                <w:bCs/>
                <w:color w:val="000000"/>
                <w:sz w:val="20"/>
                <w:szCs w:val="20"/>
                <w:lang w:val="en-GB" w:eastAsia="en-GB"/>
              </w:rPr>
              <w:fldChar w:fldCharType="end"/>
            </w:r>
            <w:r w:rsidR="00EE5767" w:rsidRPr="00896088">
              <w:rPr>
                <w:rFonts w:ascii="Arial" w:eastAsia="Times New Roman" w:hAnsi="Arial" w:cs="Arial"/>
                <w:bCs/>
                <w:color w:val="000000"/>
                <w:sz w:val="20"/>
                <w:szCs w:val="20"/>
                <w:lang w:val="en-GB" w:eastAsia="en-GB"/>
              </w:rPr>
              <w:t>]</w:t>
            </w:r>
          </w:p>
        </w:tc>
        <w:tc>
          <w:tcPr>
            <w:tcW w:w="992" w:type="dxa"/>
          </w:tcPr>
          <w:p w14:paraId="1D5D218F" w14:textId="14D00FC6" w:rsidR="00966D7A" w:rsidRPr="00896088" w:rsidRDefault="00A913F6" w:rsidP="00116794">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Cost for</w:t>
            </w:r>
            <w:r w:rsidR="00966D7A" w:rsidRPr="00896088">
              <w:rPr>
                <w:rFonts w:ascii="Arial" w:eastAsia="Times New Roman" w:hAnsi="Arial" w:cs="Arial"/>
                <w:b/>
                <w:bCs/>
                <w:color w:val="000000"/>
                <w:sz w:val="20"/>
                <w:szCs w:val="20"/>
                <w:lang w:val="en-GB" w:eastAsia="en-GB"/>
              </w:rPr>
              <w:t xml:space="preserve"> LCC [</w:t>
            </w:r>
            <w:r w:rsidR="00116794">
              <w:rPr>
                <w:rFonts w:ascii="Arial" w:eastAsia="Times New Roman" w:hAnsi="Arial" w:cs="Arial"/>
                <w:b/>
                <w:bCs/>
                <w:color w:val="000000"/>
                <w:sz w:val="20"/>
                <w:szCs w:val="20"/>
                <w:lang w:val="en-GB" w:eastAsia="en-GB"/>
              </w:rPr>
              <w:t>EUR</w:t>
            </w:r>
            <w:r w:rsidR="00966D7A" w:rsidRPr="00896088">
              <w:rPr>
                <w:rFonts w:ascii="Arial" w:eastAsia="Times New Roman" w:hAnsi="Arial" w:cs="Arial"/>
                <w:b/>
                <w:bCs/>
                <w:color w:val="000000"/>
                <w:sz w:val="20"/>
                <w:szCs w:val="20"/>
                <w:lang w:val="en-GB" w:eastAsia="en-GB"/>
              </w:rPr>
              <w:t>/</w:t>
            </w:r>
            <w:r w:rsidR="00116794">
              <w:rPr>
                <w:rFonts w:ascii="Arial" w:eastAsia="Times New Roman" w:hAnsi="Arial" w:cs="Arial"/>
                <w:b/>
                <w:bCs/>
                <w:color w:val="000000"/>
                <w:sz w:val="20"/>
                <w:szCs w:val="20"/>
                <w:lang w:val="en-GB" w:eastAsia="en-GB"/>
              </w:rPr>
              <w:t>t</w:t>
            </w:r>
            <w:r w:rsidR="00966D7A" w:rsidRPr="00896088">
              <w:rPr>
                <w:rFonts w:ascii="Arial" w:eastAsia="Times New Roman" w:hAnsi="Arial" w:cs="Arial"/>
                <w:b/>
                <w:bCs/>
                <w:color w:val="000000"/>
                <w:sz w:val="20"/>
                <w:szCs w:val="20"/>
                <w:lang w:val="en-GB" w:eastAsia="en-GB"/>
              </w:rPr>
              <w:t>]</w:t>
            </w:r>
          </w:p>
        </w:tc>
      </w:tr>
      <w:tr w:rsidR="00342208" w:rsidRPr="00896088" w14:paraId="28463085" w14:textId="18DD28EB" w:rsidTr="00116794">
        <w:trPr>
          <w:trHeight w:val="660"/>
        </w:trPr>
        <w:tc>
          <w:tcPr>
            <w:tcW w:w="1271" w:type="dxa"/>
            <w:vMerge w:val="restart"/>
            <w:noWrap/>
            <w:hideMark/>
          </w:tcPr>
          <w:p w14:paraId="30AA63AC" w14:textId="77777777" w:rsidR="00342208" w:rsidRPr="00896088" w:rsidRDefault="00342208" w:rsidP="00D44D63">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TYPE 1</w:t>
            </w:r>
          </w:p>
          <w:p w14:paraId="0838AA21" w14:textId="0CF9E032" w:rsidR="00342208" w:rsidRPr="00896088" w:rsidRDefault="00342208" w:rsidP="00D44D63">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(Scenarios #1,</w:t>
            </w:r>
            <w:r w:rsidR="00A913F6">
              <w:rPr>
                <w:rFonts w:ascii="Arial" w:eastAsia="Times New Roman" w:hAnsi="Arial" w:cs="Arial"/>
                <w:b/>
                <w:bCs/>
                <w:color w:val="000000"/>
                <w:sz w:val="20"/>
                <w:szCs w:val="20"/>
                <w:lang w:val="en-GB" w:eastAsia="en-GB"/>
              </w:rPr>
              <w:t xml:space="preserve"> </w:t>
            </w:r>
            <w:r w:rsidRPr="00896088">
              <w:rPr>
                <w:rFonts w:ascii="Arial" w:eastAsia="Times New Roman" w:hAnsi="Arial" w:cs="Arial"/>
                <w:b/>
                <w:bCs/>
                <w:color w:val="000000"/>
                <w:sz w:val="20"/>
                <w:szCs w:val="20"/>
                <w:lang w:val="en-GB" w:eastAsia="en-GB"/>
              </w:rPr>
              <w:t>#3)</w:t>
            </w:r>
            <w:r w:rsidRPr="00896088">
              <w:rPr>
                <w:rFonts w:ascii="Arial" w:eastAsia="Times New Roman" w:hAnsi="Arial" w:cs="Arial"/>
                <w:color w:val="000000"/>
                <w:sz w:val="20"/>
                <w:szCs w:val="20"/>
                <w:lang w:val="en-GB" w:eastAsia="en-GB"/>
              </w:rPr>
              <w:t xml:space="preserve"> demolished: beam + cantilever</w:t>
            </w:r>
          </w:p>
        </w:tc>
        <w:tc>
          <w:tcPr>
            <w:tcW w:w="1559" w:type="dxa"/>
            <w:hideMark/>
          </w:tcPr>
          <w:p w14:paraId="2D250780" w14:textId="11BA9E0A"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Demolition deck slab </w:t>
            </w:r>
          </w:p>
        </w:tc>
        <w:tc>
          <w:tcPr>
            <w:tcW w:w="1560" w:type="dxa"/>
            <w:hideMark/>
          </w:tcPr>
          <w:p w14:paraId="009D9092" w14:textId="48D52C69"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crawler excavator</w:t>
            </w:r>
          </w:p>
        </w:tc>
        <w:tc>
          <w:tcPr>
            <w:tcW w:w="1275" w:type="dxa"/>
            <w:hideMark/>
          </w:tcPr>
          <w:p w14:paraId="37BFF291"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w:t>
            </w:r>
          </w:p>
        </w:tc>
        <w:tc>
          <w:tcPr>
            <w:tcW w:w="993" w:type="dxa"/>
            <w:noWrap/>
            <w:hideMark/>
          </w:tcPr>
          <w:p w14:paraId="59C96560"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223.5</w:t>
            </w:r>
          </w:p>
        </w:tc>
        <w:tc>
          <w:tcPr>
            <w:tcW w:w="992" w:type="dxa"/>
            <w:noWrap/>
            <w:hideMark/>
          </w:tcPr>
          <w:p w14:paraId="1E430685"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8</w:t>
            </w:r>
          </w:p>
        </w:tc>
        <w:tc>
          <w:tcPr>
            <w:tcW w:w="1134" w:type="dxa"/>
            <w:vMerge w:val="restart"/>
          </w:tcPr>
          <w:p w14:paraId="499EEF94" w14:textId="2C8E552F" w:rsidR="00342208" w:rsidRPr="00896088" w:rsidRDefault="00342208" w:rsidP="00116794">
            <w:pPr>
              <w:rPr>
                <w:rFonts w:ascii="Arial" w:eastAsia="Times New Roman" w:hAnsi="Arial" w:cs="Arial"/>
                <w:color w:val="000000"/>
                <w:sz w:val="20"/>
                <w:szCs w:val="20"/>
                <w:lang w:val="en-GB" w:eastAsia="en-GB"/>
              </w:rPr>
            </w:pPr>
            <w:r w:rsidRPr="00F25B0E">
              <w:rPr>
                <w:rFonts w:ascii="Arial" w:eastAsia="Times New Roman" w:hAnsi="Arial" w:cs="Arial"/>
                <w:color w:val="000000"/>
                <w:sz w:val="20"/>
                <w:szCs w:val="20"/>
                <w:lang w:val="en-GB" w:eastAsia="en-GB"/>
              </w:rPr>
              <w:t>Electricity mix Greece</w:t>
            </w:r>
          </w:p>
        </w:tc>
        <w:tc>
          <w:tcPr>
            <w:tcW w:w="992" w:type="dxa"/>
            <w:vMerge w:val="restart"/>
          </w:tcPr>
          <w:p w14:paraId="77777B29" w14:textId="62509CDF"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12.5</w:t>
            </w:r>
          </w:p>
        </w:tc>
      </w:tr>
      <w:tr w:rsidR="00342208" w:rsidRPr="00896088" w14:paraId="3B9FCD9A" w14:textId="3DBCD226" w:rsidTr="00116794">
        <w:trPr>
          <w:trHeight w:val="403"/>
        </w:trPr>
        <w:tc>
          <w:tcPr>
            <w:tcW w:w="1271" w:type="dxa"/>
            <w:vMerge/>
            <w:noWrap/>
            <w:hideMark/>
          </w:tcPr>
          <w:p w14:paraId="0575365F" w14:textId="67261548" w:rsidR="00342208" w:rsidRPr="00896088" w:rsidRDefault="00342208" w:rsidP="00D44D63">
            <w:pPr>
              <w:rPr>
                <w:rFonts w:ascii="Arial" w:eastAsia="Times New Roman" w:hAnsi="Arial" w:cs="Arial"/>
                <w:b/>
                <w:bCs/>
                <w:color w:val="000000"/>
                <w:sz w:val="20"/>
                <w:szCs w:val="20"/>
                <w:lang w:val="en-GB" w:eastAsia="en-GB"/>
              </w:rPr>
            </w:pPr>
          </w:p>
        </w:tc>
        <w:tc>
          <w:tcPr>
            <w:tcW w:w="1559" w:type="dxa"/>
            <w:hideMark/>
          </w:tcPr>
          <w:p w14:paraId="0EF3793E" w14:textId="13984A2A"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Connection central beam </w:t>
            </w:r>
          </w:p>
        </w:tc>
        <w:tc>
          <w:tcPr>
            <w:tcW w:w="1560" w:type="dxa"/>
            <w:hideMark/>
          </w:tcPr>
          <w:p w14:paraId="2D7EED9B" w14:textId="7C0C6D5E"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896088">
              <w:rPr>
                <w:rFonts w:ascii="Arial" w:eastAsia="Times New Roman" w:hAnsi="Arial" w:cs="Arial"/>
                <w:color w:val="000000"/>
                <w:sz w:val="20"/>
                <w:szCs w:val="20"/>
                <w:lang w:val="en-GB" w:eastAsia="en-GB"/>
              </w:rPr>
              <w:t xml:space="preserve"> </w:t>
            </w:r>
          </w:p>
        </w:tc>
        <w:tc>
          <w:tcPr>
            <w:tcW w:w="1275" w:type="dxa"/>
            <w:hideMark/>
          </w:tcPr>
          <w:p w14:paraId="796E21FB"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w:t>
            </w:r>
          </w:p>
        </w:tc>
        <w:tc>
          <w:tcPr>
            <w:tcW w:w="993" w:type="dxa"/>
            <w:noWrap/>
            <w:hideMark/>
          </w:tcPr>
          <w:p w14:paraId="111A8FC0"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505</w:t>
            </w:r>
          </w:p>
        </w:tc>
        <w:tc>
          <w:tcPr>
            <w:tcW w:w="992" w:type="dxa"/>
            <w:noWrap/>
            <w:hideMark/>
          </w:tcPr>
          <w:p w14:paraId="43096C13"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8</w:t>
            </w:r>
          </w:p>
        </w:tc>
        <w:tc>
          <w:tcPr>
            <w:tcW w:w="1134" w:type="dxa"/>
            <w:vMerge/>
          </w:tcPr>
          <w:p w14:paraId="1D6991E6" w14:textId="1FCEDB27" w:rsidR="00342208" w:rsidRPr="00896088" w:rsidRDefault="00342208" w:rsidP="00116794">
            <w:pPr>
              <w:rPr>
                <w:rFonts w:ascii="Arial" w:eastAsia="Times New Roman" w:hAnsi="Arial" w:cs="Arial"/>
                <w:color w:val="000000"/>
                <w:sz w:val="20"/>
                <w:szCs w:val="20"/>
                <w:lang w:val="en-GB" w:eastAsia="en-GB"/>
              </w:rPr>
            </w:pPr>
          </w:p>
        </w:tc>
        <w:tc>
          <w:tcPr>
            <w:tcW w:w="992" w:type="dxa"/>
            <w:vMerge/>
          </w:tcPr>
          <w:p w14:paraId="0FD6D832" w14:textId="7159CF10"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19953ABA" w14:textId="4030A837" w:rsidTr="00116794">
        <w:trPr>
          <w:trHeight w:val="403"/>
        </w:trPr>
        <w:tc>
          <w:tcPr>
            <w:tcW w:w="1271" w:type="dxa"/>
            <w:vMerge/>
            <w:noWrap/>
            <w:hideMark/>
          </w:tcPr>
          <w:p w14:paraId="71DA84A1" w14:textId="707D7936" w:rsidR="00342208" w:rsidRPr="00896088" w:rsidRDefault="00342208" w:rsidP="00D44D63">
            <w:pPr>
              <w:rPr>
                <w:rFonts w:ascii="Arial" w:eastAsia="Times New Roman" w:hAnsi="Arial" w:cs="Arial"/>
                <w:b/>
                <w:bCs/>
                <w:color w:val="000000"/>
                <w:sz w:val="20"/>
                <w:szCs w:val="20"/>
                <w:lang w:val="en-GB" w:eastAsia="en-GB"/>
              </w:rPr>
            </w:pPr>
          </w:p>
        </w:tc>
        <w:tc>
          <w:tcPr>
            <w:tcW w:w="1559" w:type="dxa"/>
            <w:hideMark/>
          </w:tcPr>
          <w:p w14:paraId="2C8F5176" w14:textId="1ABDA8BB"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Cable cut </w:t>
            </w:r>
          </w:p>
        </w:tc>
        <w:tc>
          <w:tcPr>
            <w:tcW w:w="1560" w:type="dxa"/>
            <w:hideMark/>
          </w:tcPr>
          <w:p w14:paraId="1134F8A2" w14:textId="7E516819"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crawler excavator</w:t>
            </w:r>
          </w:p>
        </w:tc>
        <w:tc>
          <w:tcPr>
            <w:tcW w:w="3260" w:type="dxa"/>
            <w:gridSpan w:val="3"/>
            <w:vMerge w:val="restart"/>
            <w:hideMark/>
          </w:tcPr>
          <w:p w14:paraId="38330D62"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w:t>
            </w:r>
          </w:p>
        </w:tc>
        <w:tc>
          <w:tcPr>
            <w:tcW w:w="1134" w:type="dxa"/>
            <w:vMerge/>
          </w:tcPr>
          <w:p w14:paraId="35905967" w14:textId="12A9EE7D" w:rsidR="00342208" w:rsidRPr="00896088" w:rsidRDefault="00342208" w:rsidP="00116794">
            <w:pPr>
              <w:rPr>
                <w:rFonts w:ascii="Arial" w:eastAsia="Times New Roman" w:hAnsi="Arial" w:cs="Arial"/>
                <w:color w:val="000000"/>
                <w:sz w:val="20"/>
                <w:szCs w:val="20"/>
                <w:lang w:val="en-GB" w:eastAsia="en-GB"/>
              </w:rPr>
            </w:pPr>
          </w:p>
        </w:tc>
        <w:tc>
          <w:tcPr>
            <w:tcW w:w="992" w:type="dxa"/>
            <w:vMerge/>
          </w:tcPr>
          <w:p w14:paraId="25B22CB6" w14:textId="760EEC68"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7CBE055E" w14:textId="3F69F6B8" w:rsidTr="00116794">
        <w:trPr>
          <w:trHeight w:val="403"/>
        </w:trPr>
        <w:tc>
          <w:tcPr>
            <w:tcW w:w="1271" w:type="dxa"/>
            <w:vMerge/>
            <w:noWrap/>
            <w:hideMark/>
          </w:tcPr>
          <w:p w14:paraId="0CFAA80C" w14:textId="2BAE68C9" w:rsidR="00342208" w:rsidRPr="00896088" w:rsidRDefault="00342208" w:rsidP="00D44D63">
            <w:pPr>
              <w:rPr>
                <w:rFonts w:ascii="Arial" w:eastAsia="Times New Roman" w:hAnsi="Arial" w:cs="Arial"/>
                <w:b/>
                <w:bCs/>
                <w:color w:val="000000"/>
                <w:sz w:val="20"/>
                <w:szCs w:val="20"/>
                <w:lang w:val="en-GB" w:eastAsia="en-GB"/>
              </w:rPr>
            </w:pPr>
          </w:p>
        </w:tc>
        <w:tc>
          <w:tcPr>
            <w:tcW w:w="1559" w:type="dxa"/>
            <w:hideMark/>
          </w:tcPr>
          <w:p w14:paraId="2D6E8AEC" w14:textId="4593F660"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Concrete crushing</w:t>
            </w:r>
          </w:p>
        </w:tc>
        <w:tc>
          <w:tcPr>
            <w:tcW w:w="1560" w:type="dxa"/>
            <w:hideMark/>
          </w:tcPr>
          <w:p w14:paraId="04D45CF3" w14:textId="3B8A07C5"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crawler excavator </w:t>
            </w:r>
          </w:p>
        </w:tc>
        <w:tc>
          <w:tcPr>
            <w:tcW w:w="3260" w:type="dxa"/>
            <w:gridSpan w:val="3"/>
            <w:vMerge/>
            <w:hideMark/>
          </w:tcPr>
          <w:p w14:paraId="61FE8841" w14:textId="77777777" w:rsidR="00342208" w:rsidRPr="00896088" w:rsidRDefault="00342208" w:rsidP="00116794">
            <w:pPr>
              <w:rPr>
                <w:rFonts w:ascii="Arial" w:eastAsia="Times New Roman" w:hAnsi="Arial" w:cs="Arial"/>
                <w:color w:val="000000"/>
                <w:sz w:val="20"/>
                <w:szCs w:val="20"/>
                <w:lang w:val="en-GB" w:eastAsia="en-GB"/>
              </w:rPr>
            </w:pPr>
          </w:p>
        </w:tc>
        <w:tc>
          <w:tcPr>
            <w:tcW w:w="1134" w:type="dxa"/>
            <w:vMerge/>
          </w:tcPr>
          <w:p w14:paraId="2CF0AAA7" w14:textId="77777777" w:rsidR="00342208" w:rsidRPr="00896088" w:rsidRDefault="00342208" w:rsidP="00116794">
            <w:pPr>
              <w:rPr>
                <w:rFonts w:ascii="Arial" w:eastAsia="Times New Roman" w:hAnsi="Arial" w:cs="Arial"/>
                <w:color w:val="000000"/>
                <w:sz w:val="20"/>
                <w:szCs w:val="20"/>
                <w:lang w:val="en-GB" w:eastAsia="en-GB"/>
              </w:rPr>
            </w:pPr>
          </w:p>
        </w:tc>
        <w:tc>
          <w:tcPr>
            <w:tcW w:w="992" w:type="dxa"/>
            <w:vMerge/>
          </w:tcPr>
          <w:p w14:paraId="5F2AB7F3" w14:textId="7DC29590"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47072B71" w14:textId="04DFCD95" w:rsidTr="00116794">
        <w:trPr>
          <w:trHeight w:val="403"/>
        </w:trPr>
        <w:tc>
          <w:tcPr>
            <w:tcW w:w="1271" w:type="dxa"/>
            <w:vMerge/>
            <w:noWrap/>
            <w:hideMark/>
          </w:tcPr>
          <w:p w14:paraId="20E0EC99" w14:textId="565F0A16"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36A178C2" w14:textId="4969CEF6"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Transport waste</w:t>
            </w:r>
          </w:p>
        </w:tc>
        <w:tc>
          <w:tcPr>
            <w:tcW w:w="1560" w:type="dxa"/>
            <w:hideMark/>
          </w:tcPr>
          <w:p w14:paraId="6BA26871" w14:textId="55FADA48"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barge </w:t>
            </w:r>
          </w:p>
        </w:tc>
        <w:tc>
          <w:tcPr>
            <w:tcW w:w="1275" w:type="dxa"/>
            <w:hideMark/>
          </w:tcPr>
          <w:p w14:paraId="508D9935"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1944.893</w:t>
            </w:r>
          </w:p>
        </w:tc>
        <w:tc>
          <w:tcPr>
            <w:tcW w:w="993" w:type="dxa"/>
            <w:noWrap/>
            <w:hideMark/>
          </w:tcPr>
          <w:p w14:paraId="633B5E4B"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w:t>
            </w:r>
          </w:p>
        </w:tc>
        <w:tc>
          <w:tcPr>
            <w:tcW w:w="992" w:type="dxa"/>
            <w:noWrap/>
            <w:hideMark/>
          </w:tcPr>
          <w:p w14:paraId="779D4D7E"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0.765</w:t>
            </w:r>
          </w:p>
        </w:tc>
        <w:tc>
          <w:tcPr>
            <w:tcW w:w="1134" w:type="dxa"/>
          </w:tcPr>
          <w:p w14:paraId="60754B1C" w14:textId="4FB510ED"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Barge Transport Greece </w:t>
            </w:r>
          </w:p>
        </w:tc>
        <w:tc>
          <w:tcPr>
            <w:tcW w:w="992" w:type="dxa"/>
            <w:vMerge w:val="restart"/>
          </w:tcPr>
          <w:p w14:paraId="18DE7A9D" w14:textId="27CF8D8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2.6</w:t>
            </w:r>
          </w:p>
        </w:tc>
      </w:tr>
      <w:tr w:rsidR="00342208" w:rsidRPr="00896088" w14:paraId="69022816" w14:textId="2A129654" w:rsidTr="00116794">
        <w:trPr>
          <w:trHeight w:val="403"/>
        </w:trPr>
        <w:tc>
          <w:tcPr>
            <w:tcW w:w="1271" w:type="dxa"/>
            <w:vMerge/>
            <w:noWrap/>
            <w:hideMark/>
          </w:tcPr>
          <w:p w14:paraId="2E095747" w14:textId="74F4A62E"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62E5AF5C" w14:textId="32CCDE7B"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Transport waste</w:t>
            </w:r>
          </w:p>
        </w:tc>
        <w:tc>
          <w:tcPr>
            <w:tcW w:w="1560" w:type="dxa"/>
            <w:hideMark/>
          </w:tcPr>
          <w:p w14:paraId="20853716" w14:textId="78CFC763"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truck</w:t>
            </w:r>
          </w:p>
        </w:tc>
        <w:tc>
          <w:tcPr>
            <w:tcW w:w="1275" w:type="dxa"/>
            <w:hideMark/>
          </w:tcPr>
          <w:p w14:paraId="319F1897"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1944.893</w:t>
            </w:r>
          </w:p>
        </w:tc>
        <w:tc>
          <w:tcPr>
            <w:tcW w:w="993" w:type="dxa"/>
            <w:noWrap/>
            <w:hideMark/>
          </w:tcPr>
          <w:p w14:paraId="3F7F2B47"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w:t>
            </w:r>
          </w:p>
        </w:tc>
        <w:tc>
          <w:tcPr>
            <w:tcW w:w="992" w:type="dxa"/>
            <w:noWrap/>
            <w:hideMark/>
          </w:tcPr>
          <w:p w14:paraId="0CAC1525"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160</w:t>
            </w:r>
          </w:p>
        </w:tc>
        <w:tc>
          <w:tcPr>
            <w:tcW w:w="1134" w:type="dxa"/>
          </w:tcPr>
          <w:p w14:paraId="41DF3F5D" w14:textId="12ACCAEE"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Truck Transport Greece </w:t>
            </w:r>
          </w:p>
        </w:tc>
        <w:tc>
          <w:tcPr>
            <w:tcW w:w="992" w:type="dxa"/>
            <w:vMerge/>
          </w:tcPr>
          <w:p w14:paraId="261DDE52" w14:textId="0ECF4D90"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5A63779B" w14:textId="62E6C668" w:rsidTr="00116794">
        <w:trPr>
          <w:trHeight w:val="403"/>
        </w:trPr>
        <w:tc>
          <w:tcPr>
            <w:tcW w:w="1271" w:type="dxa"/>
            <w:vMerge w:val="restart"/>
            <w:noWrap/>
            <w:hideMark/>
          </w:tcPr>
          <w:p w14:paraId="780DC1E7" w14:textId="77777777" w:rsidR="00342208" w:rsidRPr="00896088" w:rsidRDefault="00342208" w:rsidP="00342208">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 xml:space="preserve">TYPE 2 </w:t>
            </w:r>
          </w:p>
          <w:p w14:paraId="4D774501" w14:textId="4EFB3E5A" w:rsidR="00342208" w:rsidRPr="00896088" w:rsidRDefault="00342208" w:rsidP="00342208">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lastRenderedPageBreak/>
              <w:t>(Scenarios #</w:t>
            </w:r>
            <w:proofErr w:type="gramStart"/>
            <w:r w:rsidRPr="00896088">
              <w:rPr>
                <w:rFonts w:ascii="Arial" w:eastAsia="Times New Roman" w:hAnsi="Arial" w:cs="Arial"/>
                <w:b/>
                <w:bCs/>
                <w:color w:val="000000"/>
                <w:sz w:val="20"/>
                <w:szCs w:val="20"/>
                <w:lang w:val="en-GB" w:eastAsia="en-GB"/>
              </w:rPr>
              <w:t>2,#4,#</w:t>
            </w:r>
            <w:proofErr w:type="gramEnd"/>
            <w:r w:rsidRPr="00896088">
              <w:rPr>
                <w:rFonts w:ascii="Arial" w:eastAsia="Times New Roman" w:hAnsi="Arial" w:cs="Arial"/>
                <w:b/>
                <w:bCs/>
                <w:color w:val="000000"/>
                <w:sz w:val="20"/>
                <w:szCs w:val="20"/>
                <w:lang w:val="en-GB" w:eastAsia="en-GB"/>
              </w:rPr>
              <w:t>6)</w:t>
            </w:r>
            <w:r w:rsidRPr="00896088">
              <w:rPr>
                <w:rFonts w:ascii="Arial" w:eastAsia="Times New Roman" w:hAnsi="Arial" w:cs="Arial"/>
                <w:color w:val="000000"/>
                <w:sz w:val="20"/>
                <w:szCs w:val="20"/>
                <w:lang w:val="en-GB" w:eastAsia="en-GB"/>
              </w:rPr>
              <w:t xml:space="preserve"> demolished: beam</w:t>
            </w:r>
          </w:p>
        </w:tc>
        <w:tc>
          <w:tcPr>
            <w:tcW w:w="1559" w:type="dxa"/>
            <w:hideMark/>
          </w:tcPr>
          <w:p w14:paraId="36C8BC0F" w14:textId="2889109D"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lastRenderedPageBreak/>
              <w:t>Demolition deck slab</w:t>
            </w:r>
          </w:p>
        </w:tc>
        <w:tc>
          <w:tcPr>
            <w:tcW w:w="1560" w:type="dxa"/>
            <w:hideMark/>
          </w:tcPr>
          <w:p w14:paraId="4DE34C69" w14:textId="26EEF748"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crawler excavator</w:t>
            </w:r>
          </w:p>
        </w:tc>
        <w:tc>
          <w:tcPr>
            <w:tcW w:w="1275" w:type="dxa"/>
            <w:hideMark/>
          </w:tcPr>
          <w:p w14:paraId="23F7447E"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w:t>
            </w:r>
          </w:p>
        </w:tc>
        <w:tc>
          <w:tcPr>
            <w:tcW w:w="993" w:type="dxa"/>
            <w:noWrap/>
            <w:hideMark/>
          </w:tcPr>
          <w:p w14:paraId="600B6246"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223.5</w:t>
            </w:r>
          </w:p>
        </w:tc>
        <w:tc>
          <w:tcPr>
            <w:tcW w:w="992" w:type="dxa"/>
            <w:noWrap/>
            <w:hideMark/>
          </w:tcPr>
          <w:p w14:paraId="2FC602BA"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8</w:t>
            </w:r>
          </w:p>
        </w:tc>
        <w:tc>
          <w:tcPr>
            <w:tcW w:w="1134" w:type="dxa"/>
            <w:vMerge w:val="restart"/>
          </w:tcPr>
          <w:p w14:paraId="7A6FB18D" w14:textId="1DB2E574" w:rsidR="00342208" w:rsidRPr="00896088" w:rsidRDefault="00342208" w:rsidP="00116794">
            <w:pPr>
              <w:rPr>
                <w:rFonts w:ascii="Arial" w:eastAsia="Times New Roman" w:hAnsi="Arial" w:cs="Arial"/>
                <w:color w:val="000000"/>
                <w:sz w:val="20"/>
                <w:szCs w:val="20"/>
                <w:lang w:val="en-GB" w:eastAsia="en-GB"/>
              </w:rPr>
            </w:pPr>
            <w:r w:rsidRPr="00F25B0E">
              <w:rPr>
                <w:rFonts w:ascii="Arial" w:eastAsia="Times New Roman" w:hAnsi="Arial" w:cs="Arial"/>
                <w:color w:val="000000"/>
                <w:sz w:val="20"/>
                <w:szCs w:val="20"/>
                <w:lang w:val="en-GB" w:eastAsia="en-GB"/>
              </w:rPr>
              <w:t xml:space="preserve">Electricity mix Greece </w:t>
            </w:r>
          </w:p>
        </w:tc>
        <w:tc>
          <w:tcPr>
            <w:tcW w:w="992" w:type="dxa"/>
            <w:vMerge w:val="restart"/>
          </w:tcPr>
          <w:p w14:paraId="4A565CB9" w14:textId="2C8EB983"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12.5</w:t>
            </w:r>
          </w:p>
        </w:tc>
      </w:tr>
      <w:tr w:rsidR="00342208" w:rsidRPr="00896088" w14:paraId="4F4E6463" w14:textId="6E2FEFFC" w:rsidTr="00116794">
        <w:trPr>
          <w:trHeight w:val="403"/>
        </w:trPr>
        <w:tc>
          <w:tcPr>
            <w:tcW w:w="1271" w:type="dxa"/>
            <w:vMerge/>
            <w:noWrap/>
            <w:hideMark/>
          </w:tcPr>
          <w:p w14:paraId="34F04D93" w14:textId="4736BBC5"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10851002" w14:textId="08F8CD1B"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Connection central beam </w:t>
            </w:r>
          </w:p>
        </w:tc>
        <w:tc>
          <w:tcPr>
            <w:tcW w:w="1560" w:type="dxa"/>
            <w:hideMark/>
          </w:tcPr>
          <w:p w14:paraId="5BC3E316" w14:textId="5D928B53"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crane truck 500 </w:t>
            </w:r>
            <w:r w:rsidR="00116794">
              <w:rPr>
                <w:rFonts w:ascii="Arial" w:eastAsia="Times New Roman" w:hAnsi="Arial" w:cs="Arial"/>
                <w:color w:val="000000"/>
                <w:sz w:val="20"/>
                <w:szCs w:val="20"/>
                <w:lang w:val="en-GB" w:eastAsia="en-GB"/>
              </w:rPr>
              <w:t>t</w:t>
            </w:r>
            <w:r w:rsidRPr="00896088">
              <w:rPr>
                <w:rFonts w:ascii="Arial" w:eastAsia="Times New Roman" w:hAnsi="Arial" w:cs="Arial"/>
                <w:color w:val="000000"/>
                <w:sz w:val="20"/>
                <w:szCs w:val="20"/>
                <w:lang w:val="en-GB" w:eastAsia="en-GB"/>
              </w:rPr>
              <w:t xml:space="preserve"> </w:t>
            </w:r>
          </w:p>
        </w:tc>
        <w:tc>
          <w:tcPr>
            <w:tcW w:w="1275" w:type="dxa"/>
            <w:hideMark/>
          </w:tcPr>
          <w:p w14:paraId="04EBA2FB"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w:t>
            </w:r>
          </w:p>
        </w:tc>
        <w:tc>
          <w:tcPr>
            <w:tcW w:w="993" w:type="dxa"/>
            <w:noWrap/>
            <w:hideMark/>
          </w:tcPr>
          <w:p w14:paraId="5ED81E72"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505</w:t>
            </w:r>
          </w:p>
        </w:tc>
        <w:tc>
          <w:tcPr>
            <w:tcW w:w="992" w:type="dxa"/>
            <w:noWrap/>
            <w:hideMark/>
          </w:tcPr>
          <w:p w14:paraId="2414DC26"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8</w:t>
            </w:r>
          </w:p>
        </w:tc>
        <w:tc>
          <w:tcPr>
            <w:tcW w:w="1134" w:type="dxa"/>
            <w:vMerge/>
          </w:tcPr>
          <w:p w14:paraId="2AF97DAD" w14:textId="3C8554F5" w:rsidR="00342208" w:rsidRPr="00896088" w:rsidRDefault="00342208" w:rsidP="00116794">
            <w:pPr>
              <w:rPr>
                <w:rFonts w:ascii="Arial" w:eastAsia="Times New Roman" w:hAnsi="Arial" w:cs="Arial"/>
                <w:color w:val="000000"/>
                <w:sz w:val="20"/>
                <w:szCs w:val="20"/>
                <w:lang w:val="en-GB" w:eastAsia="en-GB"/>
              </w:rPr>
            </w:pPr>
          </w:p>
        </w:tc>
        <w:tc>
          <w:tcPr>
            <w:tcW w:w="992" w:type="dxa"/>
            <w:vMerge/>
          </w:tcPr>
          <w:p w14:paraId="40167B07" w14:textId="29FB5BB2"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4096DFAA" w14:textId="397A8559" w:rsidTr="00116794">
        <w:trPr>
          <w:trHeight w:val="403"/>
        </w:trPr>
        <w:tc>
          <w:tcPr>
            <w:tcW w:w="1271" w:type="dxa"/>
            <w:vMerge/>
            <w:noWrap/>
            <w:hideMark/>
          </w:tcPr>
          <w:p w14:paraId="0D6E07DA" w14:textId="3BAB1C09"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3990F5B6" w14:textId="3E35009A"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Cable cut </w:t>
            </w:r>
          </w:p>
        </w:tc>
        <w:tc>
          <w:tcPr>
            <w:tcW w:w="1560" w:type="dxa"/>
            <w:hideMark/>
          </w:tcPr>
          <w:p w14:paraId="092F2994" w14:textId="2E5DFD8D"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crawler excavator</w:t>
            </w:r>
          </w:p>
        </w:tc>
        <w:tc>
          <w:tcPr>
            <w:tcW w:w="3260" w:type="dxa"/>
            <w:gridSpan w:val="3"/>
            <w:hideMark/>
          </w:tcPr>
          <w:p w14:paraId="715AB9CD"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w:t>
            </w:r>
          </w:p>
        </w:tc>
        <w:tc>
          <w:tcPr>
            <w:tcW w:w="1134" w:type="dxa"/>
            <w:vMerge/>
          </w:tcPr>
          <w:p w14:paraId="6BF2A2ED" w14:textId="347E1151" w:rsidR="00342208" w:rsidRPr="00896088" w:rsidRDefault="00342208" w:rsidP="00116794">
            <w:pPr>
              <w:rPr>
                <w:rFonts w:ascii="Arial" w:eastAsia="Times New Roman" w:hAnsi="Arial" w:cs="Arial"/>
                <w:color w:val="000000"/>
                <w:sz w:val="20"/>
                <w:szCs w:val="20"/>
                <w:lang w:val="en-GB" w:eastAsia="en-GB"/>
              </w:rPr>
            </w:pPr>
          </w:p>
        </w:tc>
        <w:tc>
          <w:tcPr>
            <w:tcW w:w="992" w:type="dxa"/>
            <w:vMerge/>
          </w:tcPr>
          <w:p w14:paraId="2C5A7DF3" w14:textId="405730A9"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420B3803" w14:textId="269EAC38" w:rsidTr="00116794">
        <w:trPr>
          <w:trHeight w:val="403"/>
        </w:trPr>
        <w:tc>
          <w:tcPr>
            <w:tcW w:w="1271" w:type="dxa"/>
            <w:vMerge/>
            <w:noWrap/>
            <w:hideMark/>
          </w:tcPr>
          <w:p w14:paraId="770F4FB3" w14:textId="59EC528D"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1BA77237" w14:textId="3A0064DF"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Transport waste</w:t>
            </w:r>
          </w:p>
        </w:tc>
        <w:tc>
          <w:tcPr>
            <w:tcW w:w="1560" w:type="dxa"/>
            <w:hideMark/>
          </w:tcPr>
          <w:p w14:paraId="01D561AE" w14:textId="681F9F1E"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barge </w:t>
            </w:r>
          </w:p>
        </w:tc>
        <w:tc>
          <w:tcPr>
            <w:tcW w:w="1275" w:type="dxa"/>
            <w:hideMark/>
          </w:tcPr>
          <w:p w14:paraId="7210FE70"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709.8</w:t>
            </w:r>
          </w:p>
        </w:tc>
        <w:tc>
          <w:tcPr>
            <w:tcW w:w="993" w:type="dxa"/>
            <w:noWrap/>
            <w:hideMark/>
          </w:tcPr>
          <w:p w14:paraId="10FE11AB"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w:t>
            </w:r>
          </w:p>
        </w:tc>
        <w:tc>
          <w:tcPr>
            <w:tcW w:w="992" w:type="dxa"/>
            <w:noWrap/>
            <w:hideMark/>
          </w:tcPr>
          <w:p w14:paraId="7DF884CA"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0.765</w:t>
            </w:r>
          </w:p>
        </w:tc>
        <w:tc>
          <w:tcPr>
            <w:tcW w:w="1134" w:type="dxa"/>
          </w:tcPr>
          <w:p w14:paraId="6E12BCD2" w14:textId="7EE56546"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Barge Transport Greece </w:t>
            </w:r>
          </w:p>
        </w:tc>
        <w:tc>
          <w:tcPr>
            <w:tcW w:w="992" w:type="dxa"/>
            <w:vMerge w:val="restart"/>
          </w:tcPr>
          <w:p w14:paraId="3041AB20" w14:textId="56614EA4"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2.6</w:t>
            </w:r>
          </w:p>
        </w:tc>
      </w:tr>
      <w:tr w:rsidR="00342208" w:rsidRPr="00896088" w14:paraId="35570BDA" w14:textId="624EA8BD" w:rsidTr="00116794">
        <w:trPr>
          <w:trHeight w:val="403"/>
        </w:trPr>
        <w:tc>
          <w:tcPr>
            <w:tcW w:w="1271" w:type="dxa"/>
            <w:vMerge/>
            <w:noWrap/>
            <w:hideMark/>
          </w:tcPr>
          <w:p w14:paraId="4370A408" w14:textId="23BDBFC3" w:rsidR="00342208" w:rsidRPr="00896088" w:rsidRDefault="00342208" w:rsidP="00342208">
            <w:pPr>
              <w:rPr>
                <w:rFonts w:ascii="Arial" w:eastAsia="Times New Roman" w:hAnsi="Arial" w:cs="Arial"/>
                <w:b/>
                <w:bCs/>
                <w:color w:val="000000"/>
                <w:sz w:val="20"/>
                <w:szCs w:val="20"/>
                <w:lang w:val="en-GB" w:eastAsia="en-GB"/>
              </w:rPr>
            </w:pPr>
          </w:p>
        </w:tc>
        <w:tc>
          <w:tcPr>
            <w:tcW w:w="1559" w:type="dxa"/>
            <w:hideMark/>
          </w:tcPr>
          <w:p w14:paraId="7B4ECB0D" w14:textId="556239E3"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Transport waste</w:t>
            </w:r>
          </w:p>
        </w:tc>
        <w:tc>
          <w:tcPr>
            <w:tcW w:w="1560" w:type="dxa"/>
            <w:hideMark/>
          </w:tcPr>
          <w:p w14:paraId="18D0A1D1" w14:textId="3F1BA38E"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truck</w:t>
            </w:r>
          </w:p>
        </w:tc>
        <w:tc>
          <w:tcPr>
            <w:tcW w:w="1275" w:type="dxa"/>
            <w:hideMark/>
          </w:tcPr>
          <w:p w14:paraId="16DC9E94"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709.8</w:t>
            </w:r>
          </w:p>
        </w:tc>
        <w:tc>
          <w:tcPr>
            <w:tcW w:w="993" w:type="dxa"/>
            <w:noWrap/>
            <w:hideMark/>
          </w:tcPr>
          <w:p w14:paraId="28BC4A77"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w:t>
            </w:r>
          </w:p>
        </w:tc>
        <w:tc>
          <w:tcPr>
            <w:tcW w:w="992" w:type="dxa"/>
            <w:noWrap/>
            <w:hideMark/>
          </w:tcPr>
          <w:p w14:paraId="5A8181A2"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160</w:t>
            </w:r>
          </w:p>
        </w:tc>
        <w:tc>
          <w:tcPr>
            <w:tcW w:w="1134" w:type="dxa"/>
          </w:tcPr>
          <w:p w14:paraId="187694A9" w14:textId="071C72DC"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Truck Transport Greece </w:t>
            </w:r>
          </w:p>
        </w:tc>
        <w:tc>
          <w:tcPr>
            <w:tcW w:w="992" w:type="dxa"/>
            <w:vMerge/>
          </w:tcPr>
          <w:p w14:paraId="7EAC4AC0" w14:textId="5FE2BCEC" w:rsidR="00342208" w:rsidRPr="00896088" w:rsidRDefault="00342208" w:rsidP="00116794">
            <w:pPr>
              <w:rPr>
                <w:rFonts w:ascii="Arial" w:eastAsia="Times New Roman" w:hAnsi="Arial" w:cs="Arial"/>
                <w:color w:val="000000"/>
                <w:sz w:val="20"/>
                <w:szCs w:val="20"/>
                <w:lang w:val="en-GB" w:eastAsia="en-GB"/>
              </w:rPr>
            </w:pPr>
          </w:p>
        </w:tc>
      </w:tr>
      <w:tr w:rsidR="00342208" w:rsidRPr="00896088" w14:paraId="32B8AFAC" w14:textId="32BC9DC3" w:rsidTr="00116794">
        <w:trPr>
          <w:trHeight w:val="1460"/>
        </w:trPr>
        <w:tc>
          <w:tcPr>
            <w:tcW w:w="1271" w:type="dxa"/>
            <w:noWrap/>
            <w:hideMark/>
          </w:tcPr>
          <w:p w14:paraId="6D244198" w14:textId="77777777" w:rsidR="00342208" w:rsidRPr="00896088" w:rsidRDefault="00342208" w:rsidP="00342208">
            <w:pPr>
              <w:rPr>
                <w:rFonts w:ascii="Arial" w:eastAsia="Times New Roman" w:hAnsi="Arial" w:cs="Arial"/>
                <w:b/>
                <w:bCs/>
                <w:color w:val="000000"/>
                <w:sz w:val="20"/>
                <w:szCs w:val="20"/>
                <w:lang w:val="en-GB" w:eastAsia="en-GB"/>
              </w:rPr>
            </w:pPr>
            <w:r w:rsidRPr="00896088">
              <w:rPr>
                <w:rFonts w:ascii="Arial" w:eastAsia="Times New Roman" w:hAnsi="Arial" w:cs="Arial"/>
                <w:b/>
                <w:bCs/>
                <w:color w:val="000000"/>
                <w:sz w:val="20"/>
                <w:szCs w:val="20"/>
                <w:lang w:val="en-GB" w:eastAsia="en-GB"/>
              </w:rPr>
              <w:t>TYPE 3</w:t>
            </w:r>
          </w:p>
          <w:p w14:paraId="31FB6FCA" w14:textId="77777777" w:rsidR="00342208" w:rsidRPr="00896088" w:rsidRDefault="00342208" w:rsidP="00342208">
            <w:pPr>
              <w:rPr>
                <w:rFonts w:ascii="Arial" w:eastAsia="Times New Roman" w:hAnsi="Arial" w:cs="Arial"/>
                <w:color w:val="000000"/>
                <w:sz w:val="20"/>
                <w:szCs w:val="20"/>
                <w:lang w:val="en-GB" w:eastAsia="en-GB"/>
              </w:rPr>
            </w:pPr>
            <w:r w:rsidRPr="00896088">
              <w:rPr>
                <w:rFonts w:ascii="Arial" w:eastAsia="Times New Roman" w:hAnsi="Arial" w:cs="Arial"/>
                <w:b/>
                <w:bCs/>
                <w:color w:val="000000"/>
                <w:sz w:val="20"/>
                <w:szCs w:val="20"/>
                <w:lang w:val="en-GB" w:eastAsia="en-GB"/>
              </w:rPr>
              <w:t xml:space="preserve">(Scenarios #5) </w:t>
            </w:r>
            <w:r w:rsidRPr="00896088">
              <w:rPr>
                <w:rFonts w:ascii="Arial" w:eastAsia="Times New Roman" w:hAnsi="Arial" w:cs="Arial"/>
                <w:color w:val="000000"/>
                <w:sz w:val="20"/>
                <w:szCs w:val="20"/>
                <w:lang w:val="en-GB" w:eastAsia="en-GB"/>
              </w:rPr>
              <w:t>Minor demolition</w:t>
            </w:r>
          </w:p>
          <w:p w14:paraId="676E8887" w14:textId="15FC6051" w:rsidR="00342208" w:rsidRPr="00896088" w:rsidRDefault="00342208" w:rsidP="00342208">
            <w:pPr>
              <w:rPr>
                <w:rFonts w:ascii="Arial" w:eastAsia="Times New Roman" w:hAnsi="Arial" w:cs="Arial"/>
                <w:b/>
                <w:bCs/>
                <w:color w:val="000000"/>
                <w:sz w:val="20"/>
                <w:szCs w:val="20"/>
                <w:lang w:val="en-GB" w:eastAsia="en-GB"/>
              </w:rPr>
            </w:pPr>
            <w:r w:rsidRPr="00896088">
              <w:rPr>
                <w:rFonts w:ascii="Arial" w:eastAsia="Times New Roman" w:hAnsi="Arial" w:cs="Arial"/>
                <w:color w:val="000000"/>
                <w:sz w:val="20"/>
                <w:szCs w:val="20"/>
                <w:lang w:val="en-GB" w:eastAsia="en-GB"/>
              </w:rPr>
              <w:t>Existing cantilever arms and Gerber beams are preserved</w:t>
            </w:r>
          </w:p>
        </w:tc>
        <w:tc>
          <w:tcPr>
            <w:tcW w:w="1559" w:type="dxa"/>
            <w:hideMark/>
          </w:tcPr>
          <w:p w14:paraId="2B4CAE62" w14:textId="2E3F4383"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 xml:space="preserve">Local demolition </w:t>
            </w:r>
          </w:p>
        </w:tc>
        <w:tc>
          <w:tcPr>
            <w:tcW w:w="1560" w:type="dxa"/>
            <w:hideMark/>
          </w:tcPr>
          <w:p w14:paraId="37CAA3F1" w14:textId="6387AA5E"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crawler excavator</w:t>
            </w:r>
          </w:p>
        </w:tc>
        <w:tc>
          <w:tcPr>
            <w:tcW w:w="1275" w:type="dxa"/>
            <w:hideMark/>
          </w:tcPr>
          <w:p w14:paraId="7400332F"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w:t>
            </w:r>
          </w:p>
        </w:tc>
        <w:tc>
          <w:tcPr>
            <w:tcW w:w="993" w:type="dxa"/>
            <w:noWrap/>
            <w:hideMark/>
          </w:tcPr>
          <w:p w14:paraId="46B87BB9"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223.5</w:t>
            </w:r>
          </w:p>
        </w:tc>
        <w:tc>
          <w:tcPr>
            <w:tcW w:w="992" w:type="dxa"/>
            <w:noWrap/>
            <w:hideMark/>
          </w:tcPr>
          <w:p w14:paraId="2E6F468B" w14:textId="7777777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8</w:t>
            </w:r>
          </w:p>
        </w:tc>
        <w:tc>
          <w:tcPr>
            <w:tcW w:w="1134" w:type="dxa"/>
          </w:tcPr>
          <w:p w14:paraId="4A68B15D" w14:textId="663C579C" w:rsidR="00342208" w:rsidRPr="00896088" w:rsidRDefault="00342208" w:rsidP="00116794">
            <w:pPr>
              <w:rPr>
                <w:rFonts w:ascii="Arial" w:eastAsia="Times New Roman" w:hAnsi="Arial" w:cs="Arial"/>
                <w:color w:val="000000"/>
                <w:sz w:val="20"/>
                <w:szCs w:val="20"/>
                <w:lang w:val="en-GB" w:eastAsia="en-GB"/>
              </w:rPr>
            </w:pPr>
            <w:r w:rsidRPr="00F25B0E">
              <w:rPr>
                <w:rFonts w:ascii="Arial" w:eastAsia="Times New Roman" w:hAnsi="Arial" w:cs="Arial"/>
                <w:color w:val="000000"/>
                <w:sz w:val="20"/>
                <w:szCs w:val="20"/>
                <w:lang w:val="en-GB" w:eastAsia="en-GB"/>
              </w:rPr>
              <w:t>Electricity mix Greece</w:t>
            </w:r>
          </w:p>
        </w:tc>
        <w:tc>
          <w:tcPr>
            <w:tcW w:w="992" w:type="dxa"/>
          </w:tcPr>
          <w:p w14:paraId="08FD1EFB" w14:textId="1831D297" w:rsidR="00342208" w:rsidRPr="00896088" w:rsidRDefault="00342208" w:rsidP="00116794">
            <w:pPr>
              <w:rPr>
                <w:rFonts w:ascii="Arial" w:eastAsia="Times New Roman" w:hAnsi="Arial" w:cs="Arial"/>
                <w:color w:val="000000"/>
                <w:sz w:val="20"/>
                <w:szCs w:val="20"/>
                <w:lang w:val="en-GB" w:eastAsia="en-GB"/>
              </w:rPr>
            </w:pPr>
            <w:r w:rsidRPr="00896088">
              <w:rPr>
                <w:rFonts w:ascii="Arial" w:eastAsia="Times New Roman" w:hAnsi="Arial" w:cs="Arial"/>
                <w:color w:val="000000"/>
                <w:sz w:val="20"/>
                <w:szCs w:val="20"/>
                <w:lang w:val="en-GB" w:eastAsia="en-GB"/>
              </w:rPr>
              <w:t>12.5</w:t>
            </w:r>
          </w:p>
        </w:tc>
      </w:tr>
    </w:tbl>
    <w:p w14:paraId="54C8B10C" w14:textId="528DFC24" w:rsidR="00540F93" w:rsidRPr="00DA2DE2" w:rsidRDefault="00540F93" w:rsidP="00BF4A93">
      <w:pPr>
        <w:jc w:val="both"/>
        <w:rPr>
          <w:rFonts w:ascii="Arial" w:hAnsi="Arial" w:cs="Arial"/>
          <w:color w:val="1F1F1F"/>
          <w:lang w:val="en-GB"/>
        </w:rPr>
      </w:pPr>
    </w:p>
    <w:p w14:paraId="2C0EDFF9" w14:textId="77777777" w:rsidR="00540F93" w:rsidRPr="00DA2DE2" w:rsidRDefault="00540F93">
      <w:pPr>
        <w:rPr>
          <w:rFonts w:ascii="Arial" w:hAnsi="Arial" w:cs="Arial"/>
          <w:color w:val="1F1F1F"/>
          <w:lang w:val="en-GB"/>
        </w:rPr>
      </w:pPr>
      <w:r w:rsidRPr="00DA2DE2">
        <w:rPr>
          <w:rFonts w:ascii="Arial" w:hAnsi="Arial" w:cs="Arial"/>
          <w:color w:val="1F1F1F"/>
          <w:lang w:val="en-GB"/>
        </w:rPr>
        <w:br w:type="page"/>
      </w:r>
    </w:p>
    <w:p w14:paraId="6E1735D6" w14:textId="4B1F3451" w:rsidR="00540F93" w:rsidRPr="00DA2DE2" w:rsidRDefault="00540F93" w:rsidP="00540F93">
      <w:pPr>
        <w:spacing w:before="100" w:beforeAutospacing="1" w:after="100" w:afterAutospacing="1" w:line="240" w:lineRule="auto"/>
        <w:jc w:val="both"/>
        <w:outlineLvl w:val="2"/>
        <w:rPr>
          <w:rFonts w:ascii="Arial" w:eastAsia="Times New Roman" w:hAnsi="Arial" w:cs="Arial"/>
          <w:b/>
          <w:bCs/>
          <w:sz w:val="26"/>
          <w:szCs w:val="26"/>
          <w:lang w:val="en-GB" w:eastAsia="it-IT"/>
        </w:rPr>
      </w:pPr>
      <w:r w:rsidRPr="00DA2DE2">
        <w:rPr>
          <w:rFonts w:ascii="Arial" w:eastAsia="Times New Roman" w:hAnsi="Arial" w:cs="Arial"/>
          <w:b/>
          <w:bCs/>
          <w:sz w:val="26"/>
          <w:szCs w:val="26"/>
          <w:lang w:val="en-GB" w:eastAsia="it-IT"/>
        </w:rPr>
        <w:lastRenderedPageBreak/>
        <w:t>Supplementary References</w:t>
      </w:r>
    </w:p>
    <w:p w14:paraId="5515B1A5" w14:textId="2F02E7D0" w:rsidR="00A63139" w:rsidRDefault="00A63139" w:rsidP="00A63139">
      <w:pPr>
        <w:pStyle w:val="ListParagraph"/>
        <w:numPr>
          <w:ilvl w:val="0"/>
          <w:numId w:val="26"/>
        </w:numPr>
        <w:jc w:val="both"/>
        <w:rPr>
          <w:rFonts w:ascii="Arial" w:hAnsi="Arial" w:cs="Arial"/>
          <w:color w:val="1F1F1F"/>
          <w:lang w:val="en-GB"/>
        </w:rPr>
      </w:pPr>
      <w:bookmarkStart w:id="1" w:name="_Ref219357048"/>
      <w:proofErr w:type="spellStart"/>
      <w:r w:rsidRPr="00DA2DE2">
        <w:rPr>
          <w:rFonts w:ascii="Arial" w:hAnsi="Arial" w:cs="Arial"/>
          <w:color w:val="1F1F1F"/>
          <w:lang w:val="en-GB"/>
        </w:rPr>
        <w:t>Markogiannaki</w:t>
      </w:r>
      <w:proofErr w:type="spellEnd"/>
      <w:r w:rsidRPr="00DA2DE2">
        <w:rPr>
          <w:rFonts w:ascii="Arial" w:hAnsi="Arial" w:cs="Arial"/>
          <w:color w:val="1F1F1F"/>
          <w:lang w:val="en-GB"/>
        </w:rPr>
        <w:t xml:space="preserve">, O., Xu, H., Chen, F., Mitoulis, S.A., </w:t>
      </w:r>
      <w:proofErr w:type="spellStart"/>
      <w:r w:rsidRPr="00DA2DE2">
        <w:rPr>
          <w:rFonts w:ascii="Arial" w:hAnsi="Arial" w:cs="Arial"/>
          <w:color w:val="1F1F1F"/>
          <w:lang w:val="en-GB"/>
        </w:rPr>
        <w:t>Parcharidis</w:t>
      </w:r>
      <w:proofErr w:type="spellEnd"/>
      <w:r w:rsidRPr="00DA2DE2">
        <w:rPr>
          <w:rFonts w:ascii="Arial" w:hAnsi="Arial" w:cs="Arial"/>
          <w:color w:val="1F1F1F"/>
          <w:lang w:val="en-GB"/>
        </w:rPr>
        <w:t xml:space="preserve">, I., </w:t>
      </w:r>
      <w:r w:rsidR="00D0779E">
        <w:rPr>
          <w:rFonts w:ascii="Arial" w:hAnsi="Arial" w:cs="Arial"/>
          <w:color w:val="1F1F1F"/>
          <w:lang w:val="en-GB"/>
        </w:rPr>
        <w:t>(</w:t>
      </w:r>
      <w:r w:rsidRPr="00DA2DE2">
        <w:rPr>
          <w:rFonts w:ascii="Arial" w:hAnsi="Arial" w:cs="Arial"/>
          <w:color w:val="1F1F1F"/>
          <w:lang w:val="en-GB"/>
        </w:rPr>
        <w:t>2022</w:t>
      </w:r>
      <w:r w:rsidR="00D0779E">
        <w:rPr>
          <w:rFonts w:ascii="Arial" w:hAnsi="Arial" w:cs="Arial"/>
          <w:color w:val="1F1F1F"/>
          <w:lang w:val="en-GB"/>
        </w:rPr>
        <w:t>)</w:t>
      </w:r>
      <w:r w:rsidRPr="00DA2DE2">
        <w:rPr>
          <w:rFonts w:ascii="Arial" w:hAnsi="Arial" w:cs="Arial"/>
          <w:color w:val="1F1F1F"/>
          <w:lang w:val="en-GB"/>
        </w:rPr>
        <w:t>. Monitoring of a landmark bridge using SAR interferometry coupled with engineering data and forensics. International Journal of Remote Sensing, 43(1), 95–119.</w:t>
      </w:r>
      <w:bookmarkEnd w:id="1"/>
    </w:p>
    <w:p w14:paraId="494BDFFC" w14:textId="088DD5B5" w:rsidR="00281186" w:rsidRPr="00DA2DE2" w:rsidRDefault="00281186" w:rsidP="00A63139">
      <w:pPr>
        <w:pStyle w:val="ListParagraph"/>
        <w:numPr>
          <w:ilvl w:val="0"/>
          <w:numId w:val="26"/>
        </w:numPr>
        <w:jc w:val="both"/>
        <w:rPr>
          <w:rFonts w:ascii="Arial" w:hAnsi="Arial" w:cs="Arial"/>
          <w:color w:val="1F1F1F"/>
          <w:lang w:val="en-GB"/>
        </w:rPr>
      </w:pPr>
      <w:bookmarkStart w:id="2" w:name="_Ref220861034"/>
      <w:r w:rsidRPr="00281186">
        <w:rPr>
          <w:rFonts w:ascii="Arial" w:hAnsi="Arial" w:cs="Arial"/>
          <w:color w:val="1F1F1F"/>
          <w:lang w:val="en-GB"/>
        </w:rPr>
        <w:t xml:space="preserve">Perugini, E, </w:t>
      </w:r>
      <w:proofErr w:type="spellStart"/>
      <w:r w:rsidRPr="00281186">
        <w:rPr>
          <w:rFonts w:ascii="Arial" w:hAnsi="Arial" w:cs="Arial"/>
          <w:color w:val="1F1F1F"/>
          <w:lang w:val="en-GB"/>
        </w:rPr>
        <w:t>Pentassuglia</w:t>
      </w:r>
      <w:proofErr w:type="spellEnd"/>
      <w:r w:rsidRPr="00281186">
        <w:rPr>
          <w:rFonts w:ascii="Arial" w:hAnsi="Arial" w:cs="Arial"/>
          <w:color w:val="1F1F1F"/>
          <w:lang w:val="en-GB"/>
        </w:rPr>
        <w:t xml:space="preserve"> F, </w:t>
      </w:r>
      <w:proofErr w:type="spellStart"/>
      <w:r w:rsidRPr="00281186">
        <w:rPr>
          <w:rFonts w:ascii="Arial" w:hAnsi="Arial" w:cs="Arial"/>
          <w:color w:val="1F1F1F"/>
          <w:lang w:val="en-GB"/>
        </w:rPr>
        <w:t>Winnubst</w:t>
      </w:r>
      <w:proofErr w:type="spellEnd"/>
      <w:r w:rsidRPr="00281186">
        <w:rPr>
          <w:rFonts w:ascii="Arial" w:hAnsi="Arial" w:cs="Arial"/>
          <w:color w:val="1F1F1F"/>
          <w:lang w:val="en-GB"/>
        </w:rPr>
        <w:t xml:space="preserve"> M, Papadopoulou K, Mitoulis, S-A (2025). Ageing bridges disrupt transport networks generating socio-economic and environmental costs.  Journal of Traffic and Transportation Engineering (English Edition) –major revisions</w:t>
      </w:r>
      <w:bookmarkEnd w:id="2"/>
    </w:p>
    <w:p w14:paraId="56158FF3" w14:textId="3FE0E552" w:rsidR="00A63139" w:rsidRDefault="00A63139" w:rsidP="00A63139">
      <w:pPr>
        <w:pStyle w:val="ListParagraph"/>
        <w:numPr>
          <w:ilvl w:val="0"/>
          <w:numId w:val="26"/>
        </w:numPr>
        <w:jc w:val="both"/>
        <w:rPr>
          <w:rFonts w:ascii="Arial" w:hAnsi="Arial" w:cs="Arial"/>
          <w:color w:val="1F1F1F"/>
          <w:lang w:val="en-GB"/>
        </w:rPr>
      </w:pPr>
      <w:bookmarkStart w:id="3" w:name="_Ref219357093"/>
      <w:r w:rsidRPr="00DA2DE2">
        <w:rPr>
          <w:rFonts w:ascii="Arial" w:hAnsi="Arial" w:cs="Arial"/>
          <w:color w:val="1F1F1F"/>
          <w:lang w:val="en-GB"/>
        </w:rPr>
        <w:t>Meta</w:t>
      </w:r>
      <w:r w:rsidR="001B2258">
        <w:rPr>
          <w:rFonts w:ascii="Arial" w:hAnsi="Arial" w:cs="Arial"/>
          <w:color w:val="1F1F1F"/>
          <w:lang w:val="en-GB"/>
        </w:rPr>
        <w:t>I</w:t>
      </w:r>
      <w:r w:rsidRPr="00DA2DE2">
        <w:rPr>
          <w:rFonts w:ascii="Arial" w:hAnsi="Arial" w:cs="Arial"/>
          <w:color w:val="1F1F1F"/>
          <w:lang w:val="en-GB"/>
        </w:rPr>
        <w:t xml:space="preserve">nfrastructure (n.d.). The </w:t>
      </w:r>
      <w:proofErr w:type="spellStart"/>
      <w:r w:rsidRPr="00DA2DE2">
        <w:rPr>
          <w:rFonts w:ascii="Arial" w:hAnsi="Arial" w:cs="Arial"/>
          <w:color w:val="1F1F1F"/>
          <w:lang w:val="en-GB"/>
        </w:rPr>
        <w:t>Polyfytos</w:t>
      </w:r>
      <w:proofErr w:type="spellEnd"/>
      <w:r w:rsidRPr="00DA2DE2">
        <w:rPr>
          <w:rFonts w:ascii="Arial" w:hAnsi="Arial" w:cs="Arial"/>
          <w:color w:val="1F1F1F"/>
          <w:lang w:val="en-GB"/>
        </w:rPr>
        <w:t xml:space="preserve"> Bridge Use Case area. MetaInfrastructure Use Cases. </w:t>
      </w:r>
      <w:hyperlink r:id="rId25" w:history="1">
        <w:r w:rsidRPr="00DA2DE2">
          <w:rPr>
            <w:rStyle w:val="Hyperlink"/>
            <w:rFonts w:ascii="Arial" w:hAnsi="Arial" w:cs="Arial"/>
            <w:lang w:val="en-GB"/>
          </w:rPr>
          <w:t>https://metainfrastructure.org/use-cases/</w:t>
        </w:r>
      </w:hyperlink>
      <w:r w:rsidRPr="00DA2DE2">
        <w:rPr>
          <w:rFonts w:ascii="Arial" w:hAnsi="Arial" w:cs="Arial"/>
          <w:color w:val="1F1F1F"/>
          <w:lang w:val="en-GB"/>
        </w:rPr>
        <w:t xml:space="preserve"> (last accessed 12 </w:t>
      </w:r>
      <w:r w:rsidR="00D515C8">
        <w:rPr>
          <w:rFonts w:ascii="Arial" w:hAnsi="Arial" w:cs="Arial"/>
          <w:color w:val="1F1F1F"/>
          <w:lang w:val="en-GB"/>
        </w:rPr>
        <w:t>January</w:t>
      </w:r>
      <w:r w:rsidRPr="00DA2DE2">
        <w:rPr>
          <w:rFonts w:ascii="Arial" w:hAnsi="Arial" w:cs="Arial"/>
          <w:color w:val="1F1F1F"/>
          <w:lang w:val="en-GB"/>
        </w:rPr>
        <w:t xml:space="preserve"> 202</w:t>
      </w:r>
      <w:r w:rsidR="00D515C8">
        <w:rPr>
          <w:rFonts w:ascii="Arial" w:hAnsi="Arial" w:cs="Arial"/>
          <w:color w:val="1F1F1F"/>
          <w:lang w:val="en-GB"/>
        </w:rPr>
        <w:t>6</w:t>
      </w:r>
      <w:r w:rsidRPr="00DA2DE2">
        <w:rPr>
          <w:rFonts w:ascii="Arial" w:hAnsi="Arial" w:cs="Arial"/>
          <w:color w:val="1F1F1F"/>
          <w:lang w:val="en-GB"/>
        </w:rPr>
        <w:t>).</w:t>
      </w:r>
      <w:bookmarkEnd w:id="3"/>
    </w:p>
    <w:p w14:paraId="45105006" w14:textId="5C1E5A9D" w:rsidR="00D515C8" w:rsidRDefault="00D515C8" w:rsidP="00A63139">
      <w:pPr>
        <w:pStyle w:val="ListParagraph"/>
        <w:numPr>
          <w:ilvl w:val="0"/>
          <w:numId w:val="26"/>
        </w:numPr>
        <w:jc w:val="both"/>
        <w:rPr>
          <w:rFonts w:ascii="Arial" w:hAnsi="Arial" w:cs="Arial"/>
          <w:color w:val="1F1F1F"/>
          <w:lang w:val="en-GB"/>
        </w:rPr>
      </w:pPr>
      <w:bookmarkStart w:id="4" w:name="_Ref220861333"/>
      <w:proofErr w:type="spellStart"/>
      <w:r w:rsidRPr="00D515C8">
        <w:rPr>
          <w:rFonts w:ascii="Arial" w:hAnsi="Arial" w:cs="Arial"/>
          <w:color w:val="1F1F1F"/>
          <w:lang w:val="en-GB"/>
        </w:rPr>
        <w:t>Kazantzi</w:t>
      </w:r>
      <w:proofErr w:type="spellEnd"/>
      <w:r w:rsidRPr="00D515C8">
        <w:rPr>
          <w:rFonts w:ascii="Arial" w:hAnsi="Arial" w:cs="Arial"/>
          <w:color w:val="1F1F1F"/>
          <w:lang w:val="en-GB"/>
        </w:rPr>
        <w:t xml:space="preserve">, A.K., </w:t>
      </w:r>
      <w:proofErr w:type="spellStart"/>
      <w:r w:rsidRPr="00D515C8">
        <w:rPr>
          <w:rFonts w:ascii="Arial" w:hAnsi="Arial" w:cs="Arial"/>
          <w:color w:val="1F1F1F"/>
          <w:lang w:val="en-GB"/>
        </w:rPr>
        <w:t>Moutsianos</w:t>
      </w:r>
      <w:proofErr w:type="spellEnd"/>
      <w:r w:rsidRPr="00D515C8">
        <w:rPr>
          <w:rFonts w:ascii="Arial" w:hAnsi="Arial" w:cs="Arial"/>
          <w:color w:val="1F1F1F"/>
          <w:lang w:val="en-GB"/>
        </w:rPr>
        <w:t xml:space="preserve">, S., Bakalis, K., Mitoulis, S.A. </w:t>
      </w:r>
      <w:r>
        <w:rPr>
          <w:rFonts w:ascii="Arial" w:hAnsi="Arial" w:cs="Arial"/>
          <w:color w:val="1F1F1F"/>
          <w:lang w:val="en-GB"/>
        </w:rPr>
        <w:t>(</w:t>
      </w:r>
      <w:r w:rsidRPr="00D515C8">
        <w:rPr>
          <w:rFonts w:ascii="Arial" w:hAnsi="Arial" w:cs="Arial"/>
          <w:color w:val="1F1F1F"/>
          <w:lang w:val="en-GB"/>
        </w:rPr>
        <w:t>2024</w:t>
      </w:r>
      <w:r>
        <w:rPr>
          <w:rFonts w:ascii="Arial" w:hAnsi="Arial" w:cs="Arial"/>
          <w:color w:val="1F1F1F"/>
          <w:lang w:val="en-GB"/>
        </w:rPr>
        <w:t>)</w:t>
      </w:r>
      <w:r w:rsidRPr="00D515C8">
        <w:rPr>
          <w:rFonts w:ascii="Arial" w:hAnsi="Arial" w:cs="Arial"/>
          <w:color w:val="1F1F1F"/>
          <w:lang w:val="en-GB"/>
        </w:rPr>
        <w:t>. Cause-agnostic bridge damage state identification utilising machine learning. Engineering Structures</w:t>
      </w:r>
      <w:r>
        <w:rPr>
          <w:rFonts w:ascii="Arial" w:hAnsi="Arial" w:cs="Arial"/>
          <w:color w:val="1F1F1F"/>
          <w:lang w:val="en-GB"/>
        </w:rPr>
        <w:t>,</w:t>
      </w:r>
      <w:r w:rsidRPr="00D515C8">
        <w:rPr>
          <w:rFonts w:ascii="Arial" w:hAnsi="Arial" w:cs="Arial"/>
          <w:color w:val="1F1F1F"/>
          <w:lang w:val="en-GB"/>
        </w:rPr>
        <w:t xml:space="preserve"> 320(1), 118887. </w:t>
      </w:r>
      <w:hyperlink r:id="rId26" w:history="1">
        <w:r w:rsidRPr="00D02593">
          <w:rPr>
            <w:rStyle w:val="Hyperlink"/>
            <w:rFonts w:ascii="Arial" w:hAnsi="Arial" w:cs="Arial"/>
            <w:lang w:val="en-GB"/>
          </w:rPr>
          <w:t>https://doi.org/10.1016/j.engstruct.2024.118887</w:t>
        </w:r>
      </w:hyperlink>
      <w:bookmarkEnd w:id="4"/>
      <w:r>
        <w:rPr>
          <w:rFonts w:ascii="Arial" w:hAnsi="Arial" w:cs="Arial"/>
          <w:color w:val="1F1F1F"/>
          <w:lang w:val="en-GB"/>
        </w:rPr>
        <w:t xml:space="preserve"> </w:t>
      </w:r>
    </w:p>
    <w:p w14:paraId="03C7F299" w14:textId="08A675C1" w:rsidR="00D515C8" w:rsidRPr="00DA2DE2" w:rsidRDefault="00D515C8" w:rsidP="00A63139">
      <w:pPr>
        <w:pStyle w:val="ListParagraph"/>
        <w:numPr>
          <w:ilvl w:val="0"/>
          <w:numId w:val="26"/>
        </w:numPr>
        <w:jc w:val="both"/>
        <w:rPr>
          <w:rFonts w:ascii="Arial" w:hAnsi="Arial" w:cs="Arial"/>
          <w:color w:val="1F1F1F"/>
          <w:lang w:val="en-GB"/>
        </w:rPr>
      </w:pPr>
      <w:bookmarkStart w:id="5" w:name="_Ref220861335"/>
      <w:proofErr w:type="spellStart"/>
      <w:r w:rsidRPr="00D515C8">
        <w:rPr>
          <w:rFonts w:ascii="Arial" w:hAnsi="Arial" w:cs="Arial"/>
          <w:color w:val="1F1F1F"/>
          <w:lang w:val="en-GB"/>
        </w:rPr>
        <w:t>Izonin</w:t>
      </w:r>
      <w:proofErr w:type="spellEnd"/>
      <w:r w:rsidRPr="00D515C8">
        <w:rPr>
          <w:rFonts w:ascii="Arial" w:hAnsi="Arial" w:cs="Arial"/>
          <w:color w:val="1F1F1F"/>
          <w:lang w:val="en-GB"/>
        </w:rPr>
        <w:t xml:space="preserve">, I., </w:t>
      </w:r>
      <w:proofErr w:type="spellStart"/>
      <w:r w:rsidRPr="00D515C8">
        <w:rPr>
          <w:rFonts w:ascii="Arial" w:hAnsi="Arial" w:cs="Arial"/>
          <w:color w:val="1F1F1F"/>
          <w:lang w:val="en-GB"/>
        </w:rPr>
        <w:t>Kazantzi</w:t>
      </w:r>
      <w:proofErr w:type="spellEnd"/>
      <w:r w:rsidRPr="00D515C8">
        <w:rPr>
          <w:rFonts w:ascii="Arial" w:hAnsi="Arial" w:cs="Arial"/>
          <w:color w:val="1F1F1F"/>
          <w:lang w:val="en-GB"/>
        </w:rPr>
        <w:t xml:space="preserve">, A., Tkachenko, R., Mitoulis, S.A. </w:t>
      </w:r>
      <w:r>
        <w:rPr>
          <w:rFonts w:ascii="Arial" w:hAnsi="Arial" w:cs="Arial"/>
          <w:color w:val="1F1F1F"/>
          <w:lang w:val="en-GB"/>
        </w:rPr>
        <w:t>(</w:t>
      </w:r>
      <w:r w:rsidRPr="00D515C8">
        <w:rPr>
          <w:rFonts w:ascii="Arial" w:hAnsi="Arial" w:cs="Arial"/>
          <w:color w:val="1F1F1F"/>
          <w:lang w:val="en-GB"/>
        </w:rPr>
        <w:t>202</w:t>
      </w:r>
      <w:r>
        <w:rPr>
          <w:rFonts w:ascii="Arial" w:hAnsi="Arial" w:cs="Arial"/>
          <w:color w:val="1F1F1F"/>
          <w:lang w:val="en-GB"/>
        </w:rPr>
        <w:t>5)</w:t>
      </w:r>
      <w:r w:rsidRPr="00D515C8">
        <w:rPr>
          <w:rFonts w:ascii="Arial" w:hAnsi="Arial" w:cs="Arial"/>
          <w:color w:val="1F1F1F"/>
          <w:lang w:val="en-GB"/>
        </w:rPr>
        <w:t xml:space="preserve">. GRNN-based </w:t>
      </w:r>
      <w:r w:rsidRPr="00D515C8">
        <w:rPr>
          <w:rFonts w:ascii="Arial" w:hAnsi="Arial" w:cs="Arial"/>
          <w:color w:val="1F1F1F"/>
          <w:lang w:val="en-GB"/>
        </w:rPr>
        <w:t>cascade ensemble model for non-destructive damage state identification: small data approac</w:t>
      </w:r>
      <w:r w:rsidRPr="00D515C8">
        <w:rPr>
          <w:rFonts w:ascii="Arial" w:hAnsi="Arial" w:cs="Arial"/>
          <w:color w:val="1F1F1F"/>
          <w:lang w:val="en-GB"/>
        </w:rPr>
        <w:t>h. Engineering with Computers</w:t>
      </w:r>
      <w:r>
        <w:rPr>
          <w:rFonts w:ascii="Arial" w:hAnsi="Arial" w:cs="Arial"/>
          <w:color w:val="1F1F1F"/>
          <w:lang w:val="en-GB"/>
        </w:rPr>
        <w:t xml:space="preserve"> 41,</w:t>
      </w:r>
      <w:r w:rsidRPr="00D515C8">
        <w:rPr>
          <w:rFonts w:ascii="Arial" w:hAnsi="Arial" w:cs="Arial"/>
          <w:color w:val="1F1F1F"/>
          <w:lang w:val="en-GB"/>
        </w:rPr>
        <w:t xml:space="preserve"> </w:t>
      </w:r>
      <w:r>
        <w:rPr>
          <w:rFonts w:ascii="Arial" w:hAnsi="Arial" w:cs="Arial"/>
          <w:color w:val="1F1F1F"/>
          <w:lang w:val="en-GB"/>
        </w:rPr>
        <w:t>723-738.</w:t>
      </w:r>
      <w:bookmarkEnd w:id="5"/>
    </w:p>
    <w:p w14:paraId="6DF56631" w14:textId="230E385A" w:rsidR="00A63139" w:rsidRPr="00DA2DE2" w:rsidRDefault="00A63139" w:rsidP="00A63139">
      <w:pPr>
        <w:pStyle w:val="ListParagraph"/>
        <w:numPr>
          <w:ilvl w:val="0"/>
          <w:numId w:val="26"/>
        </w:numPr>
        <w:jc w:val="both"/>
        <w:rPr>
          <w:rFonts w:ascii="Arial" w:hAnsi="Arial" w:cs="Arial"/>
          <w:color w:val="1F1F1F"/>
          <w:lang w:val="en-GB"/>
        </w:rPr>
      </w:pPr>
      <w:bookmarkStart w:id="6" w:name="_Ref219357120"/>
      <w:proofErr w:type="spellStart"/>
      <w:r w:rsidRPr="00DA2DE2">
        <w:rPr>
          <w:rFonts w:ascii="Arial" w:hAnsi="Arial" w:cs="Arial"/>
          <w:color w:val="1F1F1F"/>
          <w:lang w:val="en-GB"/>
        </w:rPr>
        <w:t>Moutsianos</w:t>
      </w:r>
      <w:proofErr w:type="spellEnd"/>
      <w:r w:rsidRPr="00DA2DE2">
        <w:rPr>
          <w:rFonts w:ascii="Arial" w:hAnsi="Arial" w:cs="Arial"/>
          <w:color w:val="1F1F1F"/>
          <w:lang w:val="en-GB"/>
        </w:rPr>
        <w:t xml:space="preserve">, S., Stefanidou, S. P., Papanikolaou, V. K., &amp; Mitoulis, S. A. (2024). Back-testing the iconic </w:t>
      </w:r>
      <w:proofErr w:type="spellStart"/>
      <w:r w:rsidRPr="00DA2DE2">
        <w:rPr>
          <w:rFonts w:ascii="Arial" w:hAnsi="Arial" w:cs="Arial"/>
          <w:color w:val="1F1F1F"/>
          <w:lang w:val="en-GB"/>
        </w:rPr>
        <w:t>Polyfytos</w:t>
      </w:r>
      <w:proofErr w:type="spellEnd"/>
      <w:r w:rsidRPr="00DA2DE2">
        <w:rPr>
          <w:rFonts w:ascii="Arial" w:hAnsi="Arial" w:cs="Arial"/>
          <w:color w:val="1F1F1F"/>
          <w:lang w:val="en-GB"/>
        </w:rPr>
        <w:t xml:space="preserve"> balanced-cantilever bridge to enhance condition assessment. In Proceedings of the Institution of Civil Engineers-Bridge Engineering (pp. 1-13). Emerald Publishing Limited.</w:t>
      </w:r>
      <w:bookmarkEnd w:id="6"/>
    </w:p>
    <w:p w14:paraId="03831F52" w14:textId="77777777" w:rsidR="00A63139" w:rsidRPr="00DA2DE2" w:rsidRDefault="00A63139" w:rsidP="00A63139">
      <w:pPr>
        <w:pStyle w:val="ListParagraph"/>
        <w:numPr>
          <w:ilvl w:val="0"/>
          <w:numId w:val="26"/>
        </w:numPr>
        <w:jc w:val="both"/>
        <w:rPr>
          <w:rFonts w:ascii="Arial" w:hAnsi="Arial" w:cs="Arial"/>
          <w:color w:val="1F1F1F"/>
          <w:lang w:val="en-GB"/>
        </w:rPr>
      </w:pPr>
      <w:bookmarkStart w:id="7" w:name="_Ref219357162"/>
      <w:r w:rsidRPr="00DA2DE2">
        <w:rPr>
          <w:rFonts w:ascii="Arial" w:hAnsi="Arial" w:cs="Arial"/>
          <w:color w:val="1F1F1F"/>
        </w:rPr>
        <w:t xml:space="preserve">Frangopol, D. M., Dong, Y., Sabatino, S. (2019). </w:t>
      </w:r>
      <w:r w:rsidRPr="00DA2DE2">
        <w:rPr>
          <w:rFonts w:ascii="Arial" w:hAnsi="Arial" w:cs="Arial"/>
          <w:color w:val="1F1F1F"/>
          <w:lang w:val="en-GB"/>
        </w:rPr>
        <w:t>Bridge life-cycle performance and cost: analysis, prediction, optimisation and decision-making. In Structures and Infrastructure Systems (pp. 66-84). Routledge.</w:t>
      </w:r>
      <w:bookmarkEnd w:id="7"/>
    </w:p>
    <w:p w14:paraId="3C04CC20" w14:textId="77777777" w:rsidR="00A63139" w:rsidRPr="00DA2DE2" w:rsidRDefault="00A63139" w:rsidP="00A63139">
      <w:pPr>
        <w:pStyle w:val="ListParagraph"/>
        <w:numPr>
          <w:ilvl w:val="0"/>
          <w:numId w:val="26"/>
        </w:numPr>
        <w:jc w:val="both"/>
        <w:rPr>
          <w:rFonts w:ascii="Arial" w:hAnsi="Arial" w:cs="Arial"/>
          <w:color w:val="1F1F1F"/>
          <w:lang w:val="en-GB"/>
        </w:rPr>
      </w:pPr>
      <w:bookmarkStart w:id="8" w:name="_Ref219357182"/>
      <w:r w:rsidRPr="00DA2DE2">
        <w:rPr>
          <w:rFonts w:ascii="Arial" w:hAnsi="Arial" w:cs="Arial"/>
          <w:color w:val="1F1F1F"/>
        </w:rPr>
        <w:t xml:space="preserve">Tapia, C., &amp; Padgett, J. E. (2016). </w:t>
      </w:r>
      <w:r w:rsidRPr="00DA2DE2">
        <w:rPr>
          <w:rFonts w:ascii="Arial" w:hAnsi="Arial" w:cs="Arial"/>
          <w:color w:val="1F1F1F"/>
          <w:lang w:val="en-GB"/>
        </w:rPr>
        <w:t>Multi-objective optimisation of bridge retrofit and post-event repair selection to enhance sustainability. Structure and Infrastructure Engineering, 12(1), 93-107.</w:t>
      </w:r>
      <w:bookmarkEnd w:id="8"/>
    </w:p>
    <w:p w14:paraId="060387BC" w14:textId="55153800" w:rsidR="00A63139" w:rsidRPr="00DA2DE2" w:rsidRDefault="00A63139" w:rsidP="00A63139">
      <w:pPr>
        <w:pStyle w:val="ListParagraph"/>
        <w:numPr>
          <w:ilvl w:val="0"/>
          <w:numId w:val="26"/>
        </w:numPr>
        <w:jc w:val="both"/>
        <w:rPr>
          <w:rFonts w:ascii="Arial" w:hAnsi="Arial" w:cs="Arial"/>
          <w:color w:val="1F1F1F"/>
          <w:lang w:val="en-GB"/>
        </w:rPr>
      </w:pPr>
      <w:bookmarkStart w:id="9" w:name="_Ref219357198"/>
      <w:r w:rsidRPr="00DA2DE2">
        <w:rPr>
          <w:rFonts w:ascii="Arial" w:hAnsi="Arial" w:cs="Arial"/>
          <w:color w:val="1F1F1F"/>
        </w:rPr>
        <w:t xml:space="preserve">Ni, X., Leon-Miquel, M., Greiner, Q.R. et al. </w:t>
      </w:r>
      <w:r w:rsidR="00D0779E" w:rsidRPr="00DA2DE2">
        <w:rPr>
          <w:rFonts w:ascii="Arial" w:hAnsi="Arial" w:cs="Arial"/>
          <w:color w:val="1F1F1F"/>
          <w:lang w:val="en-GB"/>
        </w:rPr>
        <w:t>(2023)</w:t>
      </w:r>
      <w:r w:rsidR="00D0779E">
        <w:rPr>
          <w:rFonts w:ascii="Arial" w:hAnsi="Arial" w:cs="Arial"/>
          <w:color w:val="1F1F1F"/>
          <w:lang w:val="en-GB"/>
        </w:rPr>
        <w:t xml:space="preserve">. </w:t>
      </w:r>
      <w:r w:rsidRPr="00DA2DE2">
        <w:rPr>
          <w:rFonts w:ascii="Arial" w:hAnsi="Arial" w:cs="Arial"/>
          <w:color w:val="1F1F1F"/>
          <w:lang w:val="en-GB"/>
        </w:rPr>
        <w:t xml:space="preserve">Crack sealers for the preservation of concrete bridge decks: a synthesis of a national survey and literature review. J </w:t>
      </w:r>
      <w:proofErr w:type="spellStart"/>
      <w:r w:rsidRPr="00DA2DE2">
        <w:rPr>
          <w:rFonts w:ascii="Arial" w:hAnsi="Arial" w:cs="Arial"/>
          <w:color w:val="1F1F1F"/>
          <w:lang w:val="en-GB"/>
        </w:rPr>
        <w:t>Infrastruct</w:t>
      </w:r>
      <w:proofErr w:type="spellEnd"/>
      <w:r w:rsidRPr="00DA2DE2">
        <w:rPr>
          <w:rFonts w:ascii="Arial" w:hAnsi="Arial" w:cs="Arial"/>
          <w:color w:val="1F1F1F"/>
          <w:lang w:val="en-GB"/>
        </w:rPr>
        <w:t xml:space="preserve"> Preserv </w:t>
      </w:r>
      <w:proofErr w:type="spellStart"/>
      <w:r w:rsidRPr="00DA2DE2">
        <w:rPr>
          <w:rFonts w:ascii="Arial" w:hAnsi="Arial" w:cs="Arial"/>
          <w:color w:val="1F1F1F"/>
          <w:lang w:val="en-GB"/>
        </w:rPr>
        <w:t>Resil</w:t>
      </w:r>
      <w:proofErr w:type="spellEnd"/>
      <w:r w:rsidRPr="00DA2DE2">
        <w:rPr>
          <w:rFonts w:ascii="Arial" w:hAnsi="Arial" w:cs="Arial"/>
          <w:color w:val="1F1F1F"/>
          <w:lang w:val="en-GB"/>
        </w:rPr>
        <w:t xml:space="preserve"> 4, 23. DOI: 10.1186/s43065-023-00091-8</w:t>
      </w:r>
      <w:bookmarkEnd w:id="9"/>
    </w:p>
    <w:p w14:paraId="744C50CA" w14:textId="1728B59E" w:rsidR="00A63139" w:rsidRPr="00DA2DE2" w:rsidRDefault="00A63139" w:rsidP="00A63139">
      <w:pPr>
        <w:pStyle w:val="ListParagraph"/>
        <w:numPr>
          <w:ilvl w:val="0"/>
          <w:numId w:val="26"/>
        </w:numPr>
        <w:jc w:val="both"/>
        <w:rPr>
          <w:rFonts w:ascii="Arial" w:hAnsi="Arial" w:cs="Arial"/>
          <w:color w:val="1F1F1F"/>
          <w:lang w:val="en-GB"/>
        </w:rPr>
      </w:pPr>
      <w:bookmarkStart w:id="10" w:name="_Ref219357216"/>
      <w:r w:rsidRPr="00DA2DE2">
        <w:rPr>
          <w:rFonts w:ascii="Arial" w:hAnsi="Arial" w:cs="Arial"/>
          <w:color w:val="1F1F1F"/>
          <w:lang w:val="en-GB"/>
        </w:rPr>
        <w:t xml:space="preserve">Santarsiero, G., Picciano, V. (2023). Durability enhancement of half-joints in RC bridges through external prestressed tendons: The </w:t>
      </w:r>
      <w:proofErr w:type="spellStart"/>
      <w:r w:rsidRPr="00DA2DE2">
        <w:rPr>
          <w:rFonts w:ascii="Arial" w:hAnsi="Arial" w:cs="Arial"/>
          <w:color w:val="1F1F1F"/>
          <w:lang w:val="en-GB"/>
        </w:rPr>
        <w:t>Musmeci</w:t>
      </w:r>
      <w:proofErr w:type="spellEnd"/>
      <w:r w:rsidRPr="00DA2DE2">
        <w:rPr>
          <w:rFonts w:ascii="Arial" w:hAnsi="Arial" w:cs="Arial"/>
          <w:color w:val="1F1F1F"/>
          <w:lang w:val="en-GB"/>
        </w:rPr>
        <w:t xml:space="preserve"> Bridge’s case study. Case Studies in Construction Materials, 18, e01813.</w:t>
      </w:r>
      <w:bookmarkEnd w:id="10"/>
    </w:p>
    <w:p w14:paraId="1CB1E894" w14:textId="5E0B7201" w:rsidR="00A63139" w:rsidRPr="00DA2DE2" w:rsidRDefault="00A63139" w:rsidP="00A63139">
      <w:pPr>
        <w:pStyle w:val="ListParagraph"/>
        <w:numPr>
          <w:ilvl w:val="0"/>
          <w:numId w:val="26"/>
        </w:numPr>
        <w:jc w:val="both"/>
        <w:rPr>
          <w:rFonts w:ascii="Arial" w:hAnsi="Arial" w:cs="Arial"/>
          <w:color w:val="1F1F1F"/>
          <w:lang w:val="en-GB"/>
        </w:rPr>
      </w:pPr>
      <w:bookmarkStart w:id="11" w:name="_Ref219357218"/>
      <w:proofErr w:type="spellStart"/>
      <w:r w:rsidRPr="00896088">
        <w:rPr>
          <w:rFonts w:ascii="Arial" w:hAnsi="Arial" w:cs="Arial"/>
          <w:color w:val="1F1F1F"/>
          <w:lang w:val="es-ES_tradnl"/>
        </w:rPr>
        <w:t>Xu</w:t>
      </w:r>
      <w:proofErr w:type="spellEnd"/>
      <w:r w:rsidRPr="00896088">
        <w:rPr>
          <w:rFonts w:ascii="Arial" w:hAnsi="Arial" w:cs="Arial"/>
          <w:color w:val="1F1F1F"/>
          <w:lang w:val="es-ES_tradnl"/>
        </w:rPr>
        <w:t>, G</w:t>
      </w:r>
      <w:r w:rsidR="00ED5E9B">
        <w:rPr>
          <w:rFonts w:ascii="Arial" w:hAnsi="Arial" w:cs="Arial"/>
          <w:color w:val="1F1F1F"/>
          <w:lang w:val="es-ES_tradnl"/>
        </w:rPr>
        <w:t>.</w:t>
      </w:r>
      <w:r w:rsidR="00D0779E">
        <w:rPr>
          <w:rFonts w:ascii="Arial" w:hAnsi="Arial" w:cs="Arial"/>
          <w:color w:val="1F1F1F"/>
          <w:lang w:val="es-ES_tradnl"/>
        </w:rPr>
        <w:t>,</w:t>
      </w:r>
      <w:r w:rsidRPr="00896088">
        <w:rPr>
          <w:rFonts w:ascii="Arial" w:hAnsi="Arial" w:cs="Arial"/>
          <w:color w:val="1F1F1F"/>
          <w:lang w:val="es-ES_tradnl"/>
        </w:rPr>
        <w:t xml:space="preserve"> Zeng, M</w:t>
      </w:r>
      <w:r w:rsidR="00ED5E9B">
        <w:rPr>
          <w:rFonts w:ascii="Arial" w:hAnsi="Arial" w:cs="Arial"/>
          <w:color w:val="1F1F1F"/>
          <w:lang w:val="es-ES_tradnl"/>
        </w:rPr>
        <w:t>.,</w:t>
      </w:r>
      <w:r w:rsidRPr="00896088">
        <w:rPr>
          <w:rFonts w:ascii="Arial" w:hAnsi="Arial" w:cs="Arial"/>
          <w:color w:val="1F1F1F"/>
          <w:lang w:val="es-ES_tradnl"/>
        </w:rPr>
        <w:t xml:space="preserve"> Su, Q. </w:t>
      </w:r>
      <w:r w:rsidRPr="00DA2DE2">
        <w:rPr>
          <w:rFonts w:ascii="Arial" w:hAnsi="Arial" w:cs="Arial"/>
          <w:color w:val="1F1F1F"/>
          <w:lang w:val="en-GB"/>
        </w:rPr>
        <w:t>(2021). Layout an</w:t>
      </w:r>
      <w:r w:rsidR="00ED5E9B" w:rsidRPr="00DA2DE2">
        <w:rPr>
          <w:rFonts w:ascii="Arial" w:hAnsi="Arial" w:cs="Arial"/>
          <w:color w:val="1F1F1F"/>
          <w:lang w:val="en-GB"/>
        </w:rPr>
        <w:t>d optimization of the external prestressing tendons of hybrid beam rigid frame brid</w:t>
      </w:r>
      <w:r w:rsidRPr="00DA2DE2">
        <w:rPr>
          <w:rFonts w:ascii="Arial" w:hAnsi="Arial" w:cs="Arial"/>
          <w:color w:val="1F1F1F"/>
          <w:lang w:val="en-GB"/>
        </w:rPr>
        <w:t>ges. IOP Conference Series: Earth and Environmental Science. 719. 032061. DOI: 10.1088/1755-1315/719/3/</w:t>
      </w:r>
      <w:proofErr w:type="gramStart"/>
      <w:r w:rsidRPr="00DA2DE2">
        <w:rPr>
          <w:rFonts w:ascii="Arial" w:hAnsi="Arial" w:cs="Arial"/>
          <w:color w:val="1F1F1F"/>
          <w:lang w:val="en-GB"/>
        </w:rPr>
        <w:t>032061</w:t>
      </w:r>
      <w:r w:rsidR="00D0779E">
        <w:rPr>
          <w:rFonts w:ascii="Arial" w:hAnsi="Arial" w:cs="Arial"/>
          <w:color w:val="1F1F1F"/>
          <w:lang w:val="en-GB"/>
        </w:rPr>
        <w:t xml:space="preserve"> </w:t>
      </w:r>
      <w:r w:rsidRPr="00DA2DE2">
        <w:rPr>
          <w:rFonts w:ascii="Arial" w:hAnsi="Arial" w:cs="Arial"/>
          <w:color w:val="1F1F1F"/>
          <w:lang w:val="en-GB"/>
        </w:rPr>
        <w:t>.</w:t>
      </w:r>
      <w:bookmarkEnd w:id="11"/>
      <w:proofErr w:type="gramEnd"/>
    </w:p>
    <w:p w14:paraId="2C093DD7" w14:textId="053E5C0B" w:rsidR="00A63139" w:rsidRPr="00DA2DE2" w:rsidRDefault="00A63139" w:rsidP="00A63139">
      <w:pPr>
        <w:pStyle w:val="ListParagraph"/>
        <w:numPr>
          <w:ilvl w:val="0"/>
          <w:numId w:val="26"/>
        </w:numPr>
        <w:jc w:val="both"/>
        <w:rPr>
          <w:rFonts w:ascii="Arial" w:hAnsi="Arial" w:cs="Arial"/>
          <w:color w:val="1F1F1F"/>
          <w:lang w:val="en-GB"/>
        </w:rPr>
      </w:pPr>
      <w:bookmarkStart w:id="12" w:name="_Ref219357241"/>
      <w:proofErr w:type="spellStart"/>
      <w:r w:rsidRPr="00DA2DE2">
        <w:rPr>
          <w:rFonts w:ascii="Arial" w:hAnsi="Arial" w:cs="Arial"/>
          <w:color w:val="1F1F1F"/>
          <w:lang w:val="en-GB"/>
        </w:rPr>
        <w:t>RMladjov</w:t>
      </w:r>
      <w:proofErr w:type="spellEnd"/>
      <w:r w:rsidRPr="00DA2DE2">
        <w:rPr>
          <w:rFonts w:ascii="Arial" w:hAnsi="Arial" w:cs="Arial"/>
          <w:color w:val="1F1F1F"/>
          <w:lang w:val="en-GB"/>
        </w:rPr>
        <w:t xml:space="preserve"> </w:t>
      </w:r>
      <w:r w:rsidR="00ED5E9B">
        <w:rPr>
          <w:rFonts w:ascii="Arial" w:hAnsi="Arial" w:cs="Arial"/>
          <w:color w:val="1F1F1F"/>
          <w:lang w:val="en-GB"/>
        </w:rPr>
        <w:t xml:space="preserve">R.V. </w:t>
      </w:r>
      <w:r w:rsidRPr="00DA2DE2">
        <w:rPr>
          <w:rFonts w:ascii="Arial" w:hAnsi="Arial" w:cs="Arial"/>
          <w:color w:val="1F1F1F"/>
          <w:lang w:val="en-GB"/>
        </w:rPr>
        <w:t xml:space="preserve">(2015) Efficient </w:t>
      </w:r>
      <w:r w:rsidR="00ED5E9B" w:rsidRPr="00DA2DE2">
        <w:rPr>
          <w:rFonts w:ascii="Arial" w:hAnsi="Arial" w:cs="Arial"/>
          <w:color w:val="1F1F1F"/>
          <w:lang w:val="en-GB"/>
        </w:rPr>
        <w:t>methods for upgrading or reinforcing existing bridges</w:t>
      </w:r>
      <w:r w:rsidRPr="00DA2DE2">
        <w:rPr>
          <w:rFonts w:ascii="Arial" w:hAnsi="Arial" w:cs="Arial"/>
          <w:color w:val="1F1F1F"/>
          <w:lang w:val="en-GB"/>
        </w:rPr>
        <w:t xml:space="preserve">, STRUCTURE – Premier resource for </w:t>
      </w:r>
      <w:proofErr w:type="spellStart"/>
      <w:r w:rsidRPr="00DA2DE2">
        <w:rPr>
          <w:rFonts w:ascii="Arial" w:hAnsi="Arial" w:cs="Arial"/>
          <w:color w:val="1F1F1F"/>
          <w:lang w:val="en-GB"/>
        </w:rPr>
        <w:t>praticing</w:t>
      </w:r>
      <w:proofErr w:type="spellEnd"/>
      <w:r w:rsidRPr="00DA2DE2">
        <w:rPr>
          <w:rFonts w:ascii="Arial" w:hAnsi="Arial" w:cs="Arial"/>
          <w:color w:val="1F1F1F"/>
          <w:lang w:val="en-GB"/>
        </w:rPr>
        <w:t xml:space="preserve"> structural engineers, </w:t>
      </w:r>
      <w:hyperlink r:id="rId27" w:history="1">
        <w:r w:rsidRPr="00DA2DE2">
          <w:rPr>
            <w:rStyle w:val="Hyperlink"/>
            <w:rFonts w:ascii="Arial" w:hAnsi="Arial" w:cs="Arial"/>
            <w:lang w:val="en-GB"/>
          </w:rPr>
          <w:t>https://www.struc</w:t>
        </w:r>
        <w:r w:rsidRPr="00DA2DE2">
          <w:rPr>
            <w:rStyle w:val="Hyperlink"/>
            <w:rFonts w:ascii="Arial" w:hAnsi="Arial" w:cs="Arial"/>
            <w:lang w:val="en-GB"/>
          </w:rPr>
          <w:t>t</w:t>
        </w:r>
        <w:r w:rsidRPr="00DA2DE2">
          <w:rPr>
            <w:rStyle w:val="Hyperlink"/>
            <w:rFonts w:ascii="Arial" w:hAnsi="Arial" w:cs="Arial"/>
            <w:lang w:val="en-GB"/>
          </w:rPr>
          <w:t>uremag.org/article/efficient-methods-for-upgrading-or-reinforcing-existing-bridges</w:t>
        </w:r>
      </w:hyperlink>
      <w:bookmarkEnd w:id="12"/>
      <w:r w:rsidRPr="00DA2DE2">
        <w:rPr>
          <w:rFonts w:ascii="Arial" w:hAnsi="Arial" w:cs="Arial"/>
          <w:color w:val="1F1F1F"/>
          <w:lang w:val="en-GB"/>
        </w:rPr>
        <w:t xml:space="preserve"> </w:t>
      </w:r>
    </w:p>
    <w:p w14:paraId="06909AF8" w14:textId="37F0BC2A" w:rsidR="00A63139" w:rsidRPr="00DA2DE2" w:rsidRDefault="00A63139" w:rsidP="00A63139">
      <w:pPr>
        <w:pStyle w:val="ListParagraph"/>
        <w:numPr>
          <w:ilvl w:val="0"/>
          <w:numId w:val="26"/>
        </w:numPr>
        <w:jc w:val="both"/>
        <w:rPr>
          <w:rFonts w:ascii="Arial" w:hAnsi="Arial" w:cs="Arial"/>
          <w:color w:val="1F1F1F"/>
          <w:lang w:val="en-GB"/>
        </w:rPr>
      </w:pPr>
      <w:bookmarkStart w:id="13" w:name="_Ref219357243"/>
      <w:r w:rsidRPr="00DA2DE2">
        <w:rPr>
          <w:rFonts w:ascii="Arial" w:hAnsi="Arial" w:cs="Arial"/>
          <w:color w:val="1F1F1F"/>
        </w:rPr>
        <w:t xml:space="preserve">Yao, W., Ma, J., &amp; Zhang, Y. (2019). </w:t>
      </w:r>
      <w:r w:rsidRPr="00DA2DE2">
        <w:rPr>
          <w:rFonts w:ascii="Arial" w:hAnsi="Arial" w:cs="Arial"/>
          <w:color w:val="1F1F1F"/>
          <w:lang w:val="en-GB"/>
        </w:rPr>
        <w:t xml:space="preserve">Study on the </w:t>
      </w:r>
      <w:r w:rsidR="00ED5E9B" w:rsidRPr="00DA2DE2">
        <w:rPr>
          <w:rFonts w:ascii="Arial" w:hAnsi="Arial" w:cs="Arial"/>
          <w:color w:val="1F1F1F"/>
          <w:lang w:val="en-GB"/>
        </w:rPr>
        <w:t>reconstruction of existing bridges with composite structure</w:t>
      </w:r>
      <w:r w:rsidRPr="00DA2DE2">
        <w:rPr>
          <w:rFonts w:ascii="Arial" w:hAnsi="Arial" w:cs="Arial"/>
          <w:color w:val="1F1F1F"/>
          <w:lang w:val="en-GB"/>
        </w:rPr>
        <w:t>. In IOP Conference Series: Earth and Environmental Science (Vol. 371, No. 2, p. 022051). IOP Publishing.</w:t>
      </w:r>
      <w:bookmarkEnd w:id="13"/>
    </w:p>
    <w:p w14:paraId="732CC54C" w14:textId="0DF4506A" w:rsidR="00A63139" w:rsidRPr="00DA2DE2" w:rsidRDefault="00A63139" w:rsidP="00A63139">
      <w:pPr>
        <w:pStyle w:val="ListParagraph"/>
        <w:numPr>
          <w:ilvl w:val="0"/>
          <w:numId w:val="26"/>
        </w:numPr>
        <w:jc w:val="both"/>
        <w:rPr>
          <w:rFonts w:ascii="Arial" w:hAnsi="Arial" w:cs="Arial"/>
          <w:color w:val="1F1F1F"/>
          <w:lang w:val="en-GB"/>
        </w:rPr>
      </w:pPr>
      <w:bookmarkStart w:id="14" w:name="_Ref219357266"/>
      <w:r w:rsidRPr="00DA2DE2">
        <w:rPr>
          <w:rFonts w:ascii="Arial" w:hAnsi="Arial" w:cs="Arial"/>
          <w:color w:val="1F1F1F"/>
          <w:lang w:val="en-GB"/>
        </w:rPr>
        <w:t>Nordin</w:t>
      </w:r>
      <w:r w:rsidR="00ED5E9B">
        <w:rPr>
          <w:rFonts w:ascii="Arial" w:hAnsi="Arial" w:cs="Arial"/>
          <w:color w:val="1F1F1F"/>
          <w:lang w:val="en-GB"/>
        </w:rPr>
        <w:t>,</w:t>
      </w:r>
      <w:r w:rsidRPr="00DA2DE2">
        <w:rPr>
          <w:rFonts w:ascii="Arial" w:hAnsi="Arial" w:cs="Arial"/>
          <w:color w:val="1F1F1F"/>
          <w:lang w:val="en-GB"/>
        </w:rPr>
        <w:t xml:space="preserve"> </w:t>
      </w:r>
      <w:r w:rsidR="00ED5E9B">
        <w:rPr>
          <w:rFonts w:ascii="Arial" w:hAnsi="Arial" w:cs="Arial"/>
          <w:color w:val="1F1F1F"/>
          <w:lang w:val="en-GB"/>
        </w:rPr>
        <w:t xml:space="preserve">H. </w:t>
      </w:r>
      <w:r w:rsidRPr="00DA2DE2">
        <w:rPr>
          <w:rFonts w:ascii="Arial" w:hAnsi="Arial" w:cs="Arial"/>
          <w:color w:val="1F1F1F"/>
          <w:lang w:val="en-GB"/>
        </w:rPr>
        <w:t xml:space="preserve">(2004) Strengthening structures with externally prestressed tendons, Technical Report, 2005: 07 - ISSN: 1402-1536 - ISRN: LTU-TR--05/07--SE. </w:t>
      </w:r>
      <w:hyperlink r:id="rId28" w:history="1">
        <w:r w:rsidRPr="00DA2DE2">
          <w:rPr>
            <w:rStyle w:val="Hyperlink"/>
            <w:rFonts w:ascii="Arial" w:hAnsi="Arial" w:cs="Arial"/>
            <w:lang w:val="en-GB"/>
          </w:rPr>
          <w:t>www.diva-portal.org/smash/get/diva2:997963/FULLTEXT01.pdf</w:t>
        </w:r>
      </w:hyperlink>
      <w:bookmarkEnd w:id="14"/>
      <w:r w:rsidRPr="00DA2DE2">
        <w:rPr>
          <w:rFonts w:ascii="Arial" w:hAnsi="Arial" w:cs="Arial"/>
          <w:color w:val="1F1F1F"/>
          <w:lang w:val="en-GB"/>
        </w:rPr>
        <w:t xml:space="preserve">  </w:t>
      </w:r>
    </w:p>
    <w:p w14:paraId="7D7D92B9" w14:textId="0F964ED2" w:rsidR="00A63139" w:rsidRPr="00DA2DE2" w:rsidRDefault="00ED5E9B" w:rsidP="00A63139">
      <w:pPr>
        <w:pStyle w:val="ListParagraph"/>
        <w:numPr>
          <w:ilvl w:val="0"/>
          <w:numId w:val="26"/>
        </w:numPr>
        <w:jc w:val="both"/>
        <w:rPr>
          <w:rFonts w:ascii="Arial" w:hAnsi="Arial" w:cs="Arial"/>
          <w:color w:val="1F1F1F"/>
          <w:lang w:val="en-GB"/>
        </w:rPr>
      </w:pPr>
      <w:bookmarkStart w:id="15" w:name="_Ref219357299"/>
      <w:r w:rsidRPr="00ED5E9B">
        <w:rPr>
          <w:rFonts w:ascii="Arial" w:hAnsi="Arial" w:cs="Arial"/>
          <w:color w:val="1F1F1F"/>
          <w:lang w:val="en-GB"/>
        </w:rPr>
        <w:t>Saleem, M. A., Zafar, M. N., Saleem, M. M., &amp; Xia, J.</w:t>
      </w:r>
      <w:r w:rsidRPr="00ED5E9B">
        <w:rPr>
          <w:rFonts w:ascii="Arial" w:hAnsi="Arial" w:cs="Arial"/>
          <w:color w:val="1F1F1F"/>
          <w:lang w:val="en-GB"/>
        </w:rPr>
        <w:t xml:space="preserve"> </w:t>
      </w:r>
      <w:r w:rsidR="00A63139" w:rsidRPr="00DA2DE2">
        <w:rPr>
          <w:rFonts w:ascii="Arial" w:hAnsi="Arial" w:cs="Arial"/>
          <w:color w:val="1F1F1F"/>
          <w:lang w:val="en-GB"/>
        </w:rPr>
        <w:t>(2021)</w:t>
      </w:r>
      <w:r>
        <w:rPr>
          <w:rFonts w:ascii="Arial" w:hAnsi="Arial" w:cs="Arial"/>
          <w:color w:val="1F1F1F"/>
          <w:lang w:val="en-GB"/>
        </w:rPr>
        <w:t>.</w:t>
      </w:r>
      <w:r w:rsidR="00A63139" w:rsidRPr="00DA2DE2">
        <w:rPr>
          <w:rFonts w:ascii="Arial" w:hAnsi="Arial" w:cs="Arial"/>
          <w:color w:val="1F1F1F"/>
          <w:lang w:val="en-GB"/>
        </w:rPr>
        <w:t xml:space="preserve"> Recent developments in the prefabricated bridge deck systems, Case Studies in Construction Materials, 15, e00750, DOI: </w:t>
      </w:r>
      <w:proofErr w:type="gramStart"/>
      <w:r w:rsidR="00A63139" w:rsidRPr="00DA2DE2">
        <w:rPr>
          <w:rFonts w:ascii="Arial" w:hAnsi="Arial" w:cs="Arial"/>
          <w:color w:val="1F1F1F"/>
          <w:lang w:val="en-GB"/>
        </w:rPr>
        <w:t>10.1016/j.cscm.2021.e</w:t>
      </w:r>
      <w:proofErr w:type="gramEnd"/>
      <w:r w:rsidR="00A63139" w:rsidRPr="00DA2DE2">
        <w:rPr>
          <w:rFonts w:ascii="Arial" w:hAnsi="Arial" w:cs="Arial"/>
          <w:color w:val="1F1F1F"/>
          <w:lang w:val="en-GB"/>
        </w:rPr>
        <w:t>00750</w:t>
      </w:r>
      <w:bookmarkEnd w:id="15"/>
      <w:r>
        <w:rPr>
          <w:rFonts w:ascii="Arial" w:hAnsi="Arial" w:cs="Arial"/>
          <w:color w:val="1F1F1F"/>
          <w:lang w:val="en-GB"/>
        </w:rPr>
        <w:t xml:space="preserve"> </w:t>
      </w:r>
    </w:p>
    <w:p w14:paraId="1A770663" w14:textId="16E8B5C7" w:rsidR="00A63139" w:rsidRPr="00DA2DE2" w:rsidRDefault="00A63139" w:rsidP="00ED5E9B">
      <w:pPr>
        <w:pStyle w:val="ListParagraph"/>
        <w:numPr>
          <w:ilvl w:val="0"/>
          <w:numId w:val="26"/>
        </w:numPr>
        <w:jc w:val="both"/>
        <w:rPr>
          <w:rFonts w:ascii="Arial" w:hAnsi="Arial" w:cs="Arial"/>
          <w:color w:val="1F1F1F"/>
          <w:lang w:val="en-GB"/>
        </w:rPr>
      </w:pPr>
      <w:bookmarkStart w:id="16" w:name="_Ref219357323"/>
      <w:proofErr w:type="spellStart"/>
      <w:r w:rsidRPr="00DA2DE2">
        <w:rPr>
          <w:rFonts w:ascii="Arial" w:hAnsi="Arial" w:cs="Arial"/>
          <w:color w:val="1F1F1F"/>
          <w:lang w:val="en-GB"/>
        </w:rPr>
        <w:t>Hällmark</w:t>
      </w:r>
      <w:proofErr w:type="spellEnd"/>
      <w:r w:rsidRPr="00DA2DE2">
        <w:rPr>
          <w:rFonts w:ascii="Arial" w:hAnsi="Arial" w:cs="Arial"/>
          <w:color w:val="1F1F1F"/>
          <w:lang w:val="en-GB"/>
        </w:rPr>
        <w:t xml:space="preserve">, </w:t>
      </w:r>
      <w:r w:rsidR="00ED5E9B">
        <w:rPr>
          <w:rFonts w:ascii="Arial" w:hAnsi="Arial" w:cs="Arial"/>
          <w:color w:val="1F1F1F"/>
          <w:lang w:val="en-GB"/>
        </w:rPr>
        <w:t xml:space="preserve">R, </w:t>
      </w:r>
      <w:r w:rsidRPr="00DA2DE2">
        <w:rPr>
          <w:rFonts w:ascii="Arial" w:hAnsi="Arial" w:cs="Arial"/>
          <w:color w:val="1F1F1F"/>
          <w:lang w:val="en-GB"/>
        </w:rPr>
        <w:t>Collin, P</w:t>
      </w:r>
      <w:r w:rsidR="00ED5E9B">
        <w:rPr>
          <w:rFonts w:ascii="Arial" w:hAnsi="Arial" w:cs="Arial"/>
          <w:color w:val="1F1F1F"/>
          <w:lang w:val="en-GB"/>
        </w:rPr>
        <w:t xml:space="preserve">., </w:t>
      </w:r>
      <w:proofErr w:type="spellStart"/>
      <w:r w:rsidRPr="00DA2DE2">
        <w:rPr>
          <w:rFonts w:ascii="Arial" w:hAnsi="Arial" w:cs="Arial"/>
          <w:color w:val="1F1F1F"/>
          <w:lang w:val="en-GB"/>
        </w:rPr>
        <w:t>Nilsson</w:t>
      </w:r>
      <w:proofErr w:type="spellEnd"/>
      <w:r w:rsidRPr="00DA2DE2">
        <w:rPr>
          <w:rFonts w:ascii="Arial" w:hAnsi="Arial" w:cs="Arial"/>
          <w:color w:val="1F1F1F"/>
          <w:lang w:val="en-GB"/>
        </w:rPr>
        <w:t>, M. (2009). Prefabricated Composite Bridges. IABSE Symposium Report. 96. 107-117. DOI: 10.2749/222137809796078748</w:t>
      </w:r>
      <w:bookmarkEnd w:id="16"/>
    </w:p>
    <w:p w14:paraId="633CBB43" w14:textId="3A28562A" w:rsidR="00A63139" w:rsidRPr="00DA2DE2" w:rsidRDefault="00A63139" w:rsidP="00A63139">
      <w:pPr>
        <w:pStyle w:val="ListParagraph"/>
        <w:numPr>
          <w:ilvl w:val="0"/>
          <w:numId w:val="26"/>
        </w:numPr>
        <w:jc w:val="both"/>
        <w:rPr>
          <w:rFonts w:ascii="Arial" w:hAnsi="Arial" w:cs="Arial"/>
          <w:color w:val="1F1F1F"/>
          <w:lang w:val="en-GB"/>
        </w:rPr>
      </w:pPr>
      <w:bookmarkStart w:id="17" w:name="_Ref219357339"/>
      <w:proofErr w:type="spellStart"/>
      <w:r w:rsidRPr="00DA2DE2">
        <w:rPr>
          <w:rFonts w:ascii="Arial" w:hAnsi="Arial" w:cs="Arial"/>
          <w:color w:val="1F1F1F"/>
          <w:lang w:val="en-GB"/>
        </w:rPr>
        <w:lastRenderedPageBreak/>
        <w:t>Hällmark</w:t>
      </w:r>
      <w:proofErr w:type="spellEnd"/>
      <w:r w:rsidR="00FA7CF6">
        <w:rPr>
          <w:rFonts w:ascii="Arial" w:hAnsi="Arial" w:cs="Arial"/>
          <w:color w:val="1F1F1F"/>
          <w:lang w:val="en-GB"/>
        </w:rPr>
        <w:t>,</w:t>
      </w:r>
      <w:r w:rsidRPr="00DA2DE2">
        <w:rPr>
          <w:rFonts w:ascii="Arial" w:hAnsi="Arial" w:cs="Arial"/>
          <w:color w:val="1F1F1F"/>
          <w:lang w:val="en-GB"/>
        </w:rPr>
        <w:t xml:space="preserve"> R., Collin</w:t>
      </w:r>
      <w:r w:rsidR="00FA7CF6">
        <w:rPr>
          <w:rFonts w:ascii="Arial" w:hAnsi="Arial" w:cs="Arial"/>
          <w:color w:val="1F1F1F"/>
          <w:lang w:val="en-GB"/>
        </w:rPr>
        <w:t>,</w:t>
      </w:r>
      <w:r w:rsidRPr="00DA2DE2">
        <w:rPr>
          <w:rFonts w:ascii="Arial" w:hAnsi="Arial" w:cs="Arial"/>
          <w:color w:val="1F1F1F"/>
          <w:lang w:val="en-GB"/>
        </w:rPr>
        <w:t xml:space="preserve"> P., Nilsson</w:t>
      </w:r>
      <w:r w:rsidR="00FA7CF6">
        <w:rPr>
          <w:rFonts w:ascii="Arial" w:hAnsi="Arial" w:cs="Arial"/>
          <w:color w:val="1F1F1F"/>
          <w:lang w:val="en-GB"/>
        </w:rPr>
        <w:t>,</w:t>
      </w:r>
      <w:r w:rsidRPr="00DA2DE2">
        <w:rPr>
          <w:rFonts w:ascii="Arial" w:hAnsi="Arial" w:cs="Arial"/>
          <w:color w:val="1F1F1F"/>
          <w:lang w:val="en-GB"/>
        </w:rPr>
        <w:t xml:space="preserve"> M.</w:t>
      </w:r>
      <w:r w:rsidR="00ED5E9B">
        <w:rPr>
          <w:rFonts w:ascii="Arial" w:hAnsi="Arial" w:cs="Arial"/>
          <w:color w:val="1F1F1F"/>
          <w:lang w:val="en-GB"/>
        </w:rPr>
        <w:t xml:space="preserve"> (2013).</w:t>
      </w:r>
      <w:r w:rsidRPr="00DA2DE2">
        <w:rPr>
          <w:rFonts w:ascii="Arial" w:hAnsi="Arial" w:cs="Arial"/>
          <w:color w:val="1F1F1F"/>
          <w:lang w:val="en-GB"/>
        </w:rPr>
        <w:t xml:space="preserve"> Large-scale tests on a composite bridge with </w:t>
      </w:r>
      <w:proofErr w:type="spellStart"/>
      <w:proofErr w:type="gramStart"/>
      <w:r w:rsidRPr="00DA2DE2">
        <w:rPr>
          <w:rFonts w:ascii="Arial" w:hAnsi="Arial" w:cs="Arial"/>
          <w:color w:val="1F1F1F"/>
          <w:lang w:val="en-GB"/>
        </w:rPr>
        <w:t>pre fabricated</w:t>
      </w:r>
      <w:proofErr w:type="spellEnd"/>
      <w:proofErr w:type="gramEnd"/>
      <w:r w:rsidRPr="00DA2DE2">
        <w:rPr>
          <w:rFonts w:ascii="Arial" w:hAnsi="Arial" w:cs="Arial"/>
          <w:color w:val="1F1F1F"/>
          <w:lang w:val="en-GB"/>
        </w:rPr>
        <w:t xml:space="preserve"> concrete deck and dry deck joints</w:t>
      </w:r>
      <w:r w:rsidR="00ED5E9B">
        <w:rPr>
          <w:rFonts w:ascii="Arial" w:hAnsi="Arial" w:cs="Arial"/>
          <w:color w:val="1F1F1F"/>
          <w:lang w:val="en-GB"/>
        </w:rPr>
        <w:t>.</w:t>
      </w:r>
      <w:r w:rsidRPr="00DA2DE2">
        <w:rPr>
          <w:rFonts w:ascii="Arial" w:hAnsi="Arial" w:cs="Arial"/>
          <w:color w:val="1F1F1F"/>
          <w:lang w:val="en-GB"/>
        </w:rPr>
        <w:t xml:space="preserve"> </w:t>
      </w:r>
      <w:proofErr w:type="spellStart"/>
      <w:r w:rsidRPr="00DA2DE2">
        <w:rPr>
          <w:rFonts w:ascii="Arial" w:hAnsi="Arial" w:cs="Arial"/>
          <w:color w:val="1F1F1F"/>
          <w:lang w:val="en-GB"/>
        </w:rPr>
        <w:t>Stahlbau</w:t>
      </w:r>
      <w:proofErr w:type="spellEnd"/>
      <w:r w:rsidRPr="00DA2DE2">
        <w:rPr>
          <w:rFonts w:ascii="Arial" w:hAnsi="Arial" w:cs="Arial"/>
          <w:color w:val="1F1F1F"/>
          <w:lang w:val="en-GB"/>
        </w:rPr>
        <w:t>, 82(2)</w:t>
      </w:r>
      <w:r w:rsidR="00ED5E9B">
        <w:rPr>
          <w:rFonts w:ascii="Arial" w:hAnsi="Arial" w:cs="Arial"/>
          <w:color w:val="1F1F1F"/>
          <w:lang w:val="en-GB"/>
        </w:rPr>
        <w:t>,</w:t>
      </w:r>
      <w:r w:rsidRPr="00DA2DE2">
        <w:rPr>
          <w:rFonts w:ascii="Arial" w:hAnsi="Arial" w:cs="Arial"/>
          <w:color w:val="1F1F1F"/>
          <w:lang w:val="en-GB"/>
        </w:rPr>
        <w:t xml:space="preserve"> 122 - 133, DOI: 10.1002/stab.201310014</w:t>
      </w:r>
      <w:bookmarkEnd w:id="17"/>
    </w:p>
    <w:p w14:paraId="56460376" w14:textId="65159EBE" w:rsidR="00A63139" w:rsidRPr="00DA2DE2" w:rsidRDefault="00A63139" w:rsidP="00A63139">
      <w:pPr>
        <w:pStyle w:val="ListParagraph"/>
        <w:numPr>
          <w:ilvl w:val="0"/>
          <w:numId w:val="26"/>
        </w:numPr>
        <w:jc w:val="both"/>
        <w:rPr>
          <w:rFonts w:ascii="Arial" w:hAnsi="Arial" w:cs="Arial"/>
          <w:color w:val="1F1F1F"/>
          <w:lang w:val="en-GB"/>
        </w:rPr>
      </w:pPr>
      <w:bookmarkStart w:id="18" w:name="_Ref219357447"/>
      <w:r w:rsidRPr="00DA2DE2">
        <w:rPr>
          <w:rFonts w:ascii="Arial" w:hAnsi="Arial" w:cs="Arial"/>
          <w:color w:val="1F1F1F"/>
          <w:lang w:val="en-GB"/>
        </w:rPr>
        <w:t xml:space="preserve">Wang, Z., &amp; </w:t>
      </w:r>
      <w:proofErr w:type="spellStart"/>
      <w:r w:rsidRPr="00DA2DE2">
        <w:rPr>
          <w:rFonts w:ascii="Arial" w:hAnsi="Arial" w:cs="Arial"/>
          <w:color w:val="1F1F1F"/>
          <w:lang w:val="en-GB"/>
        </w:rPr>
        <w:t>Jiadong</w:t>
      </w:r>
      <w:proofErr w:type="spellEnd"/>
      <w:r w:rsidRPr="00DA2DE2">
        <w:rPr>
          <w:rFonts w:ascii="Arial" w:hAnsi="Arial" w:cs="Arial"/>
          <w:color w:val="1F1F1F"/>
          <w:lang w:val="en-GB"/>
        </w:rPr>
        <w:t xml:space="preserve">, R. (2023). ILM Application in 66m Span PC Continuous Beam. In IABSE Symposium: Long Span Bridges, Istanbul, Turkey, 26-28 April 2023 (pp. 1-983). </w:t>
      </w:r>
      <w:hyperlink r:id="rId29" w:history="1">
        <w:r w:rsidRPr="00DA2DE2">
          <w:rPr>
            <w:rFonts w:ascii="Arial" w:hAnsi="Arial" w:cs="Arial"/>
            <w:color w:val="1F1F1F"/>
            <w:lang w:val="en-GB"/>
          </w:rPr>
          <w:t>DOI: 10.2749/istanbul.2023.0983</w:t>
        </w:r>
      </w:hyperlink>
      <w:bookmarkEnd w:id="18"/>
      <w:r w:rsidR="008B35E5">
        <w:rPr>
          <w:rFonts w:ascii="Arial" w:hAnsi="Arial" w:cs="Arial"/>
          <w:color w:val="1F1F1F"/>
          <w:lang w:val="en-GB"/>
        </w:rPr>
        <w:t>.</w:t>
      </w:r>
    </w:p>
    <w:p w14:paraId="000ADB6F" w14:textId="63D19E9A" w:rsidR="00A63139" w:rsidRDefault="00A63139" w:rsidP="00A63139">
      <w:pPr>
        <w:pStyle w:val="ListParagraph"/>
        <w:numPr>
          <w:ilvl w:val="0"/>
          <w:numId w:val="26"/>
        </w:numPr>
        <w:jc w:val="both"/>
        <w:rPr>
          <w:rFonts w:ascii="Arial" w:hAnsi="Arial" w:cs="Arial"/>
          <w:color w:val="1F1F1F"/>
          <w:lang w:val="en-GB"/>
        </w:rPr>
      </w:pPr>
      <w:bookmarkStart w:id="19" w:name="_Ref219357473"/>
      <w:r w:rsidRPr="00DA2DE2">
        <w:rPr>
          <w:rFonts w:ascii="Arial" w:hAnsi="Arial" w:cs="Arial"/>
          <w:color w:val="1F1F1F"/>
          <w:lang w:val="en-GB"/>
        </w:rPr>
        <w:t xml:space="preserve">Rahmani, F. (2020). Challenges and opportunities in adopting early contractor involvement (ECI): client’s perception. Architectural Engineering and Design Management, 17(1–2), 67–76. </w:t>
      </w:r>
      <w:hyperlink r:id="rId30" w:history="1">
        <w:r w:rsidRPr="00DA2DE2">
          <w:rPr>
            <w:rFonts w:ascii="Arial" w:hAnsi="Arial" w:cs="Arial"/>
            <w:color w:val="1F1F1F"/>
            <w:lang w:val="en-GB"/>
          </w:rPr>
          <w:t>DOI: 10.1080/17452007.2020.1811079</w:t>
        </w:r>
      </w:hyperlink>
      <w:bookmarkEnd w:id="19"/>
      <w:r w:rsidRPr="00DA2DE2">
        <w:rPr>
          <w:rFonts w:ascii="Arial" w:hAnsi="Arial" w:cs="Arial"/>
          <w:color w:val="1F1F1F"/>
          <w:lang w:val="en-GB"/>
        </w:rPr>
        <w:t xml:space="preserve"> </w:t>
      </w:r>
    </w:p>
    <w:p w14:paraId="5FF2A2A0" w14:textId="77777777" w:rsidR="008B35E5" w:rsidRDefault="008B35E5" w:rsidP="008B35E5">
      <w:pPr>
        <w:pStyle w:val="ListParagraph"/>
        <w:numPr>
          <w:ilvl w:val="0"/>
          <w:numId w:val="26"/>
        </w:numPr>
        <w:jc w:val="both"/>
        <w:rPr>
          <w:rFonts w:ascii="Arial" w:hAnsi="Arial" w:cs="Arial"/>
          <w:color w:val="1F1F1F"/>
          <w:lang w:val="en-GB"/>
        </w:rPr>
      </w:pPr>
      <w:bookmarkStart w:id="20" w:name="_Ref220851125"/>
      <w:r w:rsidRPr="008B35E5">
        <w:rPr>
          <w:rFonts w:ascii="Arial" w:hAnsi="Arial" w:cs="Arial"/>
          <w:color w:val="1F1F1F"/>
          <w:lang w:val="en-GB"/>
        </w:rPr>
        <w:t>EN 15643. Sustainability of construction works - Framework for assessment of buildings and civil engineering works (2021).</w:t>
      </w:r>
      <w:bookmarkEnd w:id="20"/>
    </w:p>
    <w:p w14:paraId="4CC8C743" w14:textId="77777777" w:rsidR="008B35E5" w:rsidRPr="008B35E5" w:rsidRDefault="008B35E5" w:rsidP="008B35E5">
      <w:pPr>
        <w:pStyle w:val="ListParagraph"/>
        <w:numPr>
          <w:ilvl w:val="0"/>
          <w:numId w:val="26"/>
        </w:numPr>
        <w:rPr>
          <w:rFonts w:ascii="Arial" w:hAnsi="Arial" w:cs="Arial"/>
          <w:color w:val="1F1F1F"/>
          <w:lang w:val="en-GB"/>
        </w:rPr>
      </w:pPr>
      <w:bookmarkStart w:id="21" w:name="_Ref220851200"/>
      <w:r w:rsidRPr="008B35E5">
        <w:rPr>
          <w:rFonts w:ascii="Arial" w:hAnsi="Arial" w:cs="Arial"/>
          <w:color w:val="1F1F1F"/>
          <w:lang w:val="en-GB"/>
        </w:rPr>
        <w:t>EN 15804. Sustainability of construction works - Environmental product declarations - Core rules for the product category of construction products (2012).</w:t>
      </w:r>
      <w:bookmarkEnd w:id="21"/>
    </w:p>
    <w:p w14:paraId="7A55C6C3" w14:textId="77777777" w:rsidR="008B35E5" w:rsidRPr="008B35E5" w:rsidRDefault="008B35E5" w:rsidP="008B35E5">
      <w:pPr>
        <w:pStyle w:val="ListParagraph"/>
        <w:numPr>
          <w:ilvl w:val="0"/>
          <w:numId w:val="26"/>
        </w:numPr>
        <w:jc w:val="both"/>
        <w:rPr>
          <w:rFonts w:ascii="Arial" w:hAnsi="Arial" w:cs="Arial"/>
          <w:color w:val="1F1F1F"/>
          <w:lang w:val="en-GB"/>
        </w:rPr>
      </w:pPr>
      <w:bookmarkStart w:id="22" w:name="_Ref220851222"/>
      <w:r w:rsidRPr="008B35E5">
        <w:rPr>
          <w:rFonts w:ascii="Arial" w:hAnsi="Arial" w:cs="Arial"/>
          <w:color w:val="1F1F1F"/>
          <w:lang w:val="en-GB"/>
        </w:rPr>
        <w:t>EPD Library (n.d.). https://environdMetaIec.com/library (last accessed 14 November 2025).</w:t>
      </w:r>
      <w:bookmarkEnd w:id="22"/>
    </w:p>
    <w:p w14:paraId="47B72398" w14:textId="77777777" w:rsidR="008B35E5" w:rsidRPr="008B35E5" w:rsidRDefault="008B35E5" w:rsidP="008B35E5">
      <w:pPr>
        <w:pStyle w:val="ListParagraph"/>
        <w:numPr>
          <w:ilvl w:val="0"/>
          <w:numId w:val="26"/>
        </w:numPr>
        <w:jc w:val="both"/>
        <w:rPr>
          <w:rFonts w:ascii="Arial" w:hAnsi="Arial" w:cs="Arial"/>
          <w:color w:val="1F1F1F"/>
          <w:lang w:val="en-GB"/>
        </w:rPr>
      </w:pPr>
      <w:bookmarkStart w:id="23" w:name="_Ref220851289"/>
      <w:r w:rsidRPr="008B35E5">
        <w:rPr>
          <w:rFonts w:ascii="Arial" w:hAnsi="Arial" w:cs="Arial"/>
          <w:color w:val="1F1F1F"/>
          <w:lang w:val="en-GB"/>
        </w:rPr>
        <w:t>Ecoinvent v3.10. https://ecoinvent.org/ecoinvent-v3-10/ (last accessed 14 November 2025).</w:t>
      </w:r>
      <w:bookmarkEnd w:id="23"/>
    </w:p>
    <w:p w14:paraId="57DD68B1" w14:textId="77777777" w:rsidR="008B35E5" w:rsidRPr="008B35E5" w:rsidRDefault="008B35E5" w:rsidP="008B35E5">
      <w:pPr>
        <w:pStyle w:val="ListParagraph"/>
        <w:numPr>
          <w:ilvl w:val="0"/>
          <w:numId w:val="26"/>
        </w:numPr>
        <w:jc w:val="both"/>
        <w:rPr>
          <w:rFonts w:ascii="Arial" w:hAnsi="Arial" w:cs="Arial"/>
          <w:color w:val="1F1F1F"/>
          <w:lang w:val="en-GB"/>
        </w:rPr>
      </w:pPr>
      <w:bookmarkStart w:id="24" w:name="_Ref220851315"/>
      <w:r w:rsidRPr="008B35E5">
        <w:rPr>
          <w:rFonts w:ascii="Arial" w:hAnsi="Arial" w:cs="Arial"/>
          <w:color w:val="1F1F1F"/>
          <w:lang w:val="en-GB"/>
        </w:rPr>
        <w:t>Eurostat. Statistics Explained. Inflation in the euro area. https://tinyurl.com/3a4rp4ab (last accessed 14 November 2025).</w:t>
      </w:r>
      <w:bookmarkEnd w:id="24"/>
    </w:p>
    <w:p w14:paraId="64062C69" w14:textId="77777777" w:rsidR="008B35E5" w:rsidRPr="008B35E5" w:rsidRDefault="008B35E5" w:rsidP="008B35E5">
      <w:pPr>
        <w:pStyle w:val="ListParagraph"/>
        <w:numPr>
          <w:ilvl w:val="0"/>
          <w:numId w:val="26"/>
        </w:numPr>
        <w:jc w:val="both"/>
        <w:rPr>
          <w:rFonts w:ascii="Arial" w:hAnsi="Arial" w:cs="Arial"/>
          <w:color w:val="1F1F1F"/>
          <w:lang w:val="en-GB"/>
        </w:rPr>
      </w:pPr>
      <w:bookmarkStart w:id="25" w:name="_Ref220851318"/>
      <w:r w:rsidRPr="008B35E5">
        <w:rPr>
          <w:rFonts w:ascii="Arial" w:hAnsi="Arial" w:cs="Arial"/>
          <w:color w:val="1F1F1F"/>
          <w:lang w:val="en-GB"/>
        </w:rPr>
        <w:t>World data (n.d.). Inflation trends in Greece. https://tinyurl.com/v5dpnp3k (last accessed 14 November 2025).</w:t>
      </w:r>
      <w:bookmarkEnd w:id="25"/>
    </w:p>
    <w:p w14:paraId="0C01E82A" w14:textId="08B7B1F2" w:rsidR="00540F93" w:rsidRPr="00DA2DE2" w:rsidRDefault="00540F93" w:rsidP="00A63139">
      <w:pPr>
        <w:pStyle w:val="ListParagraph"/>
        <w:numPr>
          <w:ilvl w:val="0"/>
          <w:numId w:val="26"/>
        </w:numPr>
        <w:jc w:val="both"/>
        <w:rPr>
          <w:rFonts w:ascii="Arial" w:hAnsi="Arial" w:cs="Arial"/>
          <w:color w:val="1F1F1F"/>
          <w:lang w:val="en-GB"/>
        </w:rPr>
      </w:pPr>
      <w:bookmarkStart w:id="26" w:name="_Ref219357622"/>
      <w:r w:rsidRPr="00DA2DE2">
        <w:rPr>
          <w:rFonts w:ascii="Arial" w:hAnsi="Arial" w:cs="Arial"/>
          <w:color w:val="1F1F1F"/>
          <w:lang w:val="en-GB"/>
        </w:rPr>
        <w:t xml:space="preserve">Ecoinvent v3.10. </w:t>
      </w:r>
      <w:hyperlink r:id="rId31" w:history="1">
        <w:r w:rsidRPr="00DA2DE2">
          <w:rPr>
            <w:rStyle w:val="Hyperlink"/>
            <w:rFonts w:ascii="Arial" w:hAnsi="Arial" w:cs="Arial"/>
            <w:lang w:val="en-GB"/>
          </w:rPr>
          <w:t>https://ecoinvent.org/ecoinvent-v3-10/</w:t>
        </w:r>
      </w:hyperlink>
      <w:r w:rsidRPr="00DA2DE2">
        <w:rPr>
          <w:rFonts w:ascii="Arial" w:hAnsi="Arial" w:cs="Arial"/>
          <w:color w:val="1F1F1F"/>
          <w:lang w:val="en-GB"/>
        </w:rPr>
        <w:t xml:space="preserve"> (last accessed 14 November 2025).</w:t>
      </w:r>
      <w:bookmarkEnd w:id="26"/>
    </w:p>
    <w:p w14:paraId="52A183D2" w14:textId="77777777" w:rsidR="00540F93" w:rsidRPr="00781DBD" w:rsidRDefault="00540F93" w:rsidP="00BF4A93">
      <w:pPr>
        <w:jc w:val="both"/>
        <w:rPr>
          <w:rFonts w:ascii="Arial" w:hAnsi="Arial" w:cs="Arial"/>
          <w:color w:val="1F1F1F"/>
          <w:lang w:val="en-GB"/>
        </w:rPr>
      </w:pPr>
    </w:p>
    <w:sectPr w:rsidR="00540F93" w:rsidRPr="00781DBD">
      <w:footerReference w:type="default" r:id="rId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8EB9F" w14:textId="77777777" w:rsidR="008A1769" w:rsidRDefault="008A1769" w:rsidP="00813C3B">
      <w:pPr>
        <w:spacing w:after="0" w:line="240" w:lineRule="auto"/>
      </w:pPr>
      <w:r>
        <w:separator/>
      </w:r>
    </w:p>
  </w:endnote>
  <w:endnote w:type="continuationSeparator" w:id="0">
    <w:p w14:paraId="596EC231" w14:textId="77777777" w:rsidR="008A1769" w:rsidRDefault="008A1769" w:rsidP="0081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DAAAC" w14:textId="58D4B0AE" w:rsidR="008F45A0" w:rsidRDefault="008F45A0">
    <w:pPr>
      <w:pStyle w:val="Footer"/>
      <w:jc w:val="right"/>
    </w:pPr>
  </w:p>
  <w:p w14:paraId="098A1355" w14:textId="77777777" w:rsidR="008F45A0" w:rsidRDefault="008F4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57B0B" w14:textId="77777777" w:rsidR="008A1769" w:rsidRDefault="008A1769" w:rsidP="00813C3B">
      <w:pPr>
        <w:spacing w:after="0" w:line="240" w:lineRule="auto"/>
      </w:pPr>
      <w:r>
        <w:separator/>
      </w:r>
    </w:p>
  </w:footnote>
  <w:footnote w:type="continuationSeparator" w:id="0">
    <w:p w14:paraId="0C54CA1A" w14:textId="77777777" w:rsidR="008A1769" w:rsidRDefault="008A1769" w:rsidP="00813C3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C82"/>
    <w:multiLevelType w:val="hybridMultilevel"/>
    <w:tmpl w:val="BB5EAC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C69827"/>
    <w:multiLevelType w:val="hybridMultilevel"/>
    <w:tmpl w:val="8300025E"/>
    <w:lvl w:ilvl="0" w:tplc="0CC43E6A">
      <w:start w:val="1"/>
      <w:numFmt w:val="bullet"/>
      <w:lvlText w:val=""/>
      <w:lvlJc w:val="left"/>
      <w:pPr>
        <w:ind w:left="720" w:hanging="360"/>
      </w:pPr>
      <w:rPr>
        <w:rFonts w:ascii="Symbol" w:hAnsi="Symbol" w:hint="default"/>
      </w:rPr>
    </w:lvl>
    <w:lvl w:ilvl="1" w:tplc="E3805AE2">
      <w:start w:val="1"/>
      <w:numFmt w:val="bullet"/>
      <w:lvlText w:val="o"/>
      <w:lvlJc w:val="left"/>
      <w:pPr>
        <w:ind w:left="1440" w:hanging="360"/>
      </w:pPr>
      <w:rPr>
        <w:rFonts w:ascii="Courier New" w:hAnsi="Courier New" w:hint="default"/>
      </w:rPr>
    </w:lvl>
    <w:lvl w:ilvl="2" w:tplc="2A5C9856">
      <w:start w:val="1"/>
      <w:numFmt w:val="bullet"/>
      <w:lvlText w:val=""/>
      <w:lvlJc w:val="left"/>
      <w:pPr>
        <w:ind w:left="2160" w:hanging="360"/>
      </w:pPr>
      <w:rPr>
        <w:rFonts w:ascii="Wingdings" w:hAnsi="Wingdings" w:hint="default"/>
      </w:rPr>
    </w:lvl>
    <w:lvl w:ilvl="3" w:tplc="BCBC263A">
      <w:start w:val="1"/>
      <w:numFmt w:val="bullet"/>
      <w:lvlText w:val=""/>
      <w:lvlJc w:val="left"/>
      <w:pPr>
        <w:ind w:left="2880" w:hanging="360"/>
      </w:pPr>
      <w:rPr>
        <w:rFonts w:ascii="Symbol" w:hAnsi="Symbol" w:hint="default"/>
      </w:rPr>
    </w:lvl>
    <w:lvl w:ilvl="4" w:tplc="0C4ADF98">
      <w:start w:val="1"/>
      <w:numFmt w:val="bullet"/>
      <w:lvlText w:val="o"/>
      <w:lvlJc w:val="left"/>
      <w:pPr>
        <w:ind w:left="3600" w:hanging="360"/>
      </w:pPr>
      <w:rPr>
        <w:rFonts w:ascii="Courier New" w:hAnsi="Courier New" w:hint="default"/>
      </w:rPr>
    </w:lvl>
    <w:lvl w:ilvl="5" w:tplc="64DCBD00">
      <w:start w:val="1"/>
      <w:numFmt w:val="bullet"/>
      <w:lvlText w:val=""/>
      <w:lvlJc w:val="left"/>
      <w:pPr>
        <w:ind w:left="4320" w:hanging="360"/>
      </w:pPr>
      <w:rPr>
        <w:rFonts w:ascii="Wingdings" w:hAnsi="Wingdings" w:hint="default"/>
      </w:rPr>
    </w:lvl>
    <w:lvl w:ilvl="6" w:tplc="61B849E8">
      <w:start w:val="1"/>
      <w:numFmt w:val="bullet"/>
      <w:lvlText w:val=""/>
      <w:lvlJc w:val="left"/>
      <w:pPr>
        <w:ind w:left="5040" w:hanging="360"/>
      </w:pPr>
      <w:rPr>
        <w:rFonts w:ascii="Symbol" w:hAnsi="Symbol" w:hint="default"/>
      </w:rPr>
    </w:lvl>
    <w:lvl w:ilvl="7" w:tplc="A91039D6">
      <w:start w:val="1"/>
      <w:numFmt w:val="bullet"/>
      <w:lvlText w:val="o"/>
      <w:lvlJc w:val="left"/>
      <w:pPr>
        <w:ind w:left="5760" w:hanging="360"/>
      </w:pPr>
      <w:rPr>
        <w:rFonts w:ascii="Courier New" w:hAnsi="Courier New" w:hint="default"/>
      </w:rPr>
    </w:lvl>
    <w:lvl w:ilvl="8" w:tplc="11BCCC14">
      <w:start w:val="1"/>
      <w:numFmt w:val="bullet"/>
      <w:lvlText w:val=""/>
      <w:lvlJc w:val="left"/>
      <w:pPr>
        <w:ind w:left="6480" w:hanging="360"/>
      </w:pPr>
      <w:rPr>
        <w:rFonts w:ascii="Wingdings" w:hAnsi="Wingdings" w:hint="default"/>
      </w:rPr>
    </w:lvl>
  </w:abstractNum>
  <w:abstractNum w:abstractNumId="2" w15:restartNumberingAfterBreak="0">
    <w:nsid w:val="08A507B4"/>
    <w:multiLevelType w:val="hybridMultilevel"/>
    <w:tmpl w:val="CC10217E"/>
    <w:lvl w:ilvl="0" w:tplc="22ECFCE0">
      <w:start w:val="1"/>
      <w:numFmt w:val="bullet"/>
      <w:lvlText w:val=""/>
      <w:lvlJc w:val="left"/>
      <w:pPr>
        <w:ind w:left="720" w:hanging="360"/>
      </w:pPr>
      <w:rPr>
        <w:rFonts w:ascii="Symbol" w:hAnsi="Symbol" w:hint="default"/>
      </w:rPr>
    </w:lvl>
    <w:lvl w:ilvl="1" w:tplc="CB24B0DC">
      <w:start w:val="1"/>
      <w:numFmt w:val="bullet"/>
      <w:lvlText w:val="o"/>
      <w:lvlJc w:val="left"/>
      <w:pPr>
        <w:ind w:left="1440" w:hanging="360"/>
      </w:pPr>
      <w:rPr>
        <w:rFonts w:ascii="Courier New" w:hAnsi="Courier New" w:hint="default"/>
      </w:rPr>
    </w:lvl>
    <w:lvl w:ilvl="2" w:tplc="68420A58">
      <w:start w:val="1"/>
      <w:numFmt w:val="bullet"/>
      <w:lvlText w:val=""/>
      <w:lvlJc w:val="left"/>
      <w:pPr>
        <w:ind w:left="2160" w:hanging="360"/>
      </w:pPr>
      <w:rPr>
        <w:rFonts w:ascii="Wingdings" w:hAnsi="Wingdings" w:hint="default"/>
      </w:rPr>
    </w:lvl>
    <w:lvl w:ilvl="3" w:tplc="28A46C8C">
      <w:start w:val="1"/>
      <w:numFmt w:val="bullet"/>
      <w:lvlText w:val=""/>
      <w:lvlJc w:val="left"/>
      <w:pPr>
        <w:ind w:left="2880" w:hanging="360"/>
      </w:pPr>
      <w:rPr>
        <w:rFonts w:ascii="Symbol" w:hAnsi="Symbol" w:hint="default"/>
      </w:rPr>
    </w:lvl>
    <w:lvl w:ilvl="4" w:tplc="C9B47410">
      <w:start w:val="1"/>
      <w:numFmt w:val="bullet"/>
      <w:lvlText w:val="o"/>
      <w:lvlJc w:val="left"/>
      <w:pPr>
        <w:ind w:left="3600" w:hanging="360"/>
      </w:pPr>
      <w:rPr>
        <w:rFonts w:ascii="Courier New" w:hAnsi="Courier New" w:hint="default"/>
      </w:rPr>
    </w:lvl>
    <w:lvl w:ilvl="5" w:tplc="E79A854C">
      <w:start w:val="1"/>
      <w:numFmt w:val="bullet"/>
      <w:lvlText w:val=""/>
      <w:lvlJc w:val="left"/>
      <w:pPr>
        <w:ind w:left="4320" w:hanging="360"/>
      </w:pPr>
      <w:rPr>
        <w:rFonts w:ascii="Wingdings" w:hAnsi="Wingdings" w:hint="default"/>
      </w:rPr>
    </w:lvl>
    <w:lvl w:ilvl="6" w:tplc="411E8B30">
      <w:start w:val="1"/>
      <w:numFmt w:val="bullet"/>
      <w:lvlText w:val=""/>
      <w:lvlJc w:val="left"/>
      <w:pPr>
        <w:ind w:left="5040" w:hanging="360"/>
      </w:pPr>
      <w:rPr>
        <w:rFonts w:ascii="Symbol" w:hAnsi="Symbol" w:hint="default"/>
      </w:rPr>
    </w:lvl>
    <w:lvl w:ilvl="7" w:tplc="254E80E0">
      <w:start w:val="1"/>
      <w:numFmt w:val="bullet"/>
      <w:lvlText w:val="o"/>
      <w:lvlJc w:val="left"/>
      <w:pPr>
        <w:ind w:left="5760" w:hanging="360"/>
      </w:pPr>
      <w:rPr>
        <w:rFonts w:ascii="Courier New" w:hAnsi="Courier New" w:hint="default"/>
      </w:rPr>
    </w:lvl>
    <w:lvl w:ilvl="8" w:tplc="83A4A9F4">
      <w:start w:val="1"/>
      <w:numFmt w:val="bullet"/>
      <w:lvlText w:val=""/>
      <w:lvlJc w:val="left"/>
      <w:pPr>
        <w:ind w:left="6480" w:hanging="360"/>
      </w:pPr>
      <w:rPr>
        <w:rFonts w:ascii="Wingdings" w:hAnsi="Wingdings" w:hint="default"/>
      </w:rPr>
    </w:lvl>
  </w:abstractNum>
  <w:abstractNum w:abstractNumId="3" w15:restartNumberingAfterBreak="0">
    <w:nsid w:val="0CA9682D"/>
    <w:multiLevelType w:val="hybridMultilevel"/>
    <w:tmpl w:val="C18C8E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18071D"/>
    <w:multiLevelType w:val="multilevel"/>
    <w:tmpl w:val="0F44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80C9B"/>
    <w:multiLevelType w:val="hybridMultilevel"/>
    <w:tmpl w:val="88246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7683A8"/>
    <w:multiLevelType w:val="hybridMultilevel"/>
    <w:tmpl w:val="69ECDA4E"/>
    <w:lvl w:ilvl="0" w:tplc="8C8696F8">
      <w:start w:val="1"/>
      <w:numFmt w:val="bullet"/>
      <w:lvlText w:val=""/>
      <w:lvlJc w:val="left"/>
      <w:pPr>
        <w:ind w:left="720" w:hanging="360"/>
      </w:pPr>
      <w:rPr>
        <w:rFonts w:ascii="Symbol" w:hAnsi="Symbol" w:hint="default"/>
      </w:rPr>
    </w:lvl>
    <w:lvl w:ilvl="1" w:tplc="4002DF30">
      <w:start w:val="1"/>
      <w:numFmt w:val="bullet"/>
      <w:lvlText w:val="o"/>
      <w:lvlJc w:val="left"/>
      <w:pPr>
        <w:ind w:left="1440" w:hanging="360"/>
      </w:pPr>
      <w:rPr>
        <w:rFonts w:ascii="Courier New" w:hAnsi="Courier New" w:hint="default"/>
      </w:rPr>
    </w:lvl>
    <w:lvl w:ilvl="2" w:tplc="D50EF1AC">
      <w:start w:val="1"/>
      <w:numFmt w:val="bullet"/>
      <w:lvlText w:val=""/>
      <w:lvlJc w:val="left"/>
      <w:pPr>
        <w:ind w:left="2160" w:hanging="360"/>
      </w:pPr>
      <w:rPr>
        <w:rFonts w:ascii="Wingdings" w:hAnsi="Wingdings" w:hint="default"/>
      </w:rPr>
    </w:lvl>
    <w:lvl w:ilvl="3" w:tplc="00200D80">
      <w:start w:val="1"/>
      <w:numFmt w:val="bullet"/>
      <w:lvlText w:val=""/>
      <w:lvlJc w:val="left"/>
      <w:pPr>
        <w:ind w:left="2880" w:hanging="360"/>
      </w:pPr>
      <w:rPr>
        <w:rFonts w:ascii="Symbol" w:hAnsi="Symbol" w:hint="default"/>
      </w:rPr>
    </w:lvl>
    <w:lvl w:ilvl="4" w:tplc="6638EDD0">
      <w:start w:val="1"/>
      <w:numFmt w:val="bullet"/>
      <w:lvlText w:val="o"/>
      <w:lvlJc w:val="left"/>
      <w:pPr>
        <w:ind w:left="3600" w:hanging="360"/>
      </w:pPr>
      <w:rPr>
        <w:rFonts w:ascii="Courier New" w:hAnsi="Courier New" w:hint="default"/>
      </w:rPr>
    </w:lvl>
    <w:lvl w:ilvl="5" w:tplc="F5BA85F6">
      <w:start w:val="1"/>
      <w:numFmt w:val="bullet"/>
      <w:lvlText w:val=""/>
      <w:lvlJc w:val="left"/>
      <w:pPr>
        <w:ind w:left="4320" w:hanging="360"/>
      </w:pPr>
      <w:rPr>
        <w:rFonts w:ascii="Wingdings" w:hAnsi="Wingdings" w:hint="default"/>
      </w:rPr>
    </w:lvl>
    <w:lvl w:ilvl="6" w:tplc="AFC0F7AA">
      <w:start w:val="1"/>
      <w:numFmt w:val="bullet"/>
      <w:lvlText w:val=""/>
      <w:lvlJc w:val="left"/>
      <w:pPr>
        <w:ind w:left="5040" w:hanging="360"/>
      </w:pPr>
      <w:rPr>
        <w:rFonts w:ascii="Symbol" w:hAnsi="Symbol" w:hint="default"/>
      </w:rPr>
    </w:lvl>
    <w:lvl w:ilvl="7" w:tplc="CFAA6A6A">
      <w:start w:val="1"/>
      <w:numFmt w:val="bullet"/>
      <w:lvlText w:val="o"/>
      <w:lvlJc w:val="left"/>
      <w:pPr>
        <w:ind w:left="5760" w:hanging="360"/>
      </w:pPr>
      <w:rPr>
        <w:rFonts w:ascii="Courier New" w:hAnsi="Courier New" w:hint="default"/>
      </w:rPr>
    </w:lvl>
    <w:lvl w:ilvl="8" w:tplc="C4822C54">
      <w:start w:val="1"/>
      <w:numFmt w:val="bullet"/>
      <w:lvlText w:val=""/>
      <w:lvlJc w:val="left"/>
      <w:pPr>
        <w:ind w:left="6480" w:hanging="360"/>
      </w:pPr>
      <w:rPr>
        <w:rFonts w:ascii="Wingdings" w:hAnsi="Wingdings" w:hint="default"/>
      </w:rPr>
    </w:lvl>
  </w:abstractNum>
  <w:abstractNum w:abstractNumId="7" w15:restartNumberingAfterBreak="0">
    <w:nsid w:val="15201BF9"/>
    <w:multiLevelType w:val="hybridMultilevel"/>
    <w:tmpl w:val="97DE9D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6C4D4B"/>
    <w:multiLevelType w:val="hybridMultilevel"/>
    <w:tmpl w:val="E3A60974"/>
    <w:lvl w:ilvl="0" w:tplc="02B41CA4">
      <w:start w:val="1"/>
      <w:numFmt w:val="bullet"/>
      <w:lvlText w:val=""/>
      <w:lvlJc w:val="left"/>
      <w:pPr>
        <w:ind w:left="720" w:hanging="360"/>
      </w:pPr>
      <w:rPr>
        <w:rFonts w:ascii="Symbol" w:hAnsi="Symbol" w:hint="default"/>
      </w:rPr>
    </w:lvl>
    <w:lvl w:ilvl="1" w:tplc="475ACF0C">
      <w:start w:val="1"/>
      <w:numFmt w:val="bullet"/>
      <w:lvlText w:val="o"/>
      <w:lvlJc w:val="left"/>
      <w:pPr>
        <w:ind w:left="1440" w:hanging="360"/>
      </w:pPr>
      <w:rPr>
        <w:rFonts w:ascii="Courier New" w:hAnsi="Courier New" w:hint="default"/>
      </w:rPr>
    </w:lvl>
    <w:lvl w:ilvl="2" w:tplc="BD9E0A04">
      <w:start w:val="1"/>
      <w:numFmt w:val="bullet"/>
      <w:lvlText w:val=""/>
      <w:lvlJc w:val="left"/>
      <w:pPr>
        <w:ind w:left="2160" w:hanging="360"/>
      </w:pPr>
      <w:rPr>
        <w:rFonts w:ascii="Wingdings" w:hAnsi="Wingdings" w:hint="default"/>
      </w:rPr>
    </w:lvl>
    <w:lvl w:ilvl="3" w:tplc="94807DD4">
      <w:start w:val="1"/>
      <w:numFmt w:val="bullet"/>
      <w:lvlText w:val=""/>
      <w:lvlJc w:val="left"/>
      <w:pPr>
        <w:ind w:left="2880" w:hanging="360"/>
      </w:pPr>
      <w:rPr>
        <w:rFonts w:ascii="Symbol" w:hAnsi="Symbol" w:hint="default"/>
      </w:rPr>
    </w:lvl>
    <w:lvl w:ilvl="4" w:tplc="8FBC853E">
      <w:start w:val="1"/>
      <w:numFmt w:val="bullet"/>
      <w:lvlText w:val="o"/>
      <w:lvlJc w:val="left"/>
      <w:pPr>
        <w:ind w:left="3600" w:hanging="360"/>
      </w:pPr>
      <w:rPr>
        <w:rFonts w:ascii="Courier New" w:hAnsi="Courier New" w:hint="default"/>
      </w:rPr>
    </w:lvl>
    <w:lvl w:ilvl="5" w:tplc="35B6093E">
      <w:start w:val="1"/>
      <w:numFmt w:val="bullet"/>
      <w:lvlText w:val=""/>
      <w:lvlJc w:val="left"/>
      <w:pPr>
        <w:ind w:left="4320" w:hanging="360"/>
      </w:pPr>
      <w:rPr>
        <w:rFonts w:ascii="Wingdings" w:hAnsi="Wingdings" w:hint="default"/>
      </w:rPr>
    </w:lvl>
    <w:lvl w:ilvl="6" w:tplc="0CB61016">
      <w:start w:val="1"/>
      <w:numFmt w:val="bullet"/>
      <w:lvlText w:val=""/>
      <w:lvlJc w:val="left"/>
      <w:pPr>
        <w:ind w:left="5040" w:hanging="360"/>
      </w:pPr>
      <w:rPr>
        <w:rFonts w:ascii="Symbol" w:hAnsi="Symbol" w:hint="default"/>
      </w:rPr>
    </w:lvl>
    <w:lvl w:ilvl="7" w:tplc="A0B26C68">
      <w:start w:val="1"/>
      <w:numFmt w:val="bullet"/>
      <w:lvlText w:val="o"/>
      <w:lvlJc w:val="left"/>
      <w:pPr>
        <w:ind w:left="5760" w:hanging="360"/>
      </w:pPr>
      <w:rPr>
        <w:rFonts w:ascii="Courier New" w:hAnsi="Courier New" w:hint="default"/>
      </w:rPr>
    </w:lvl>
    <w:lvl w:ilvl="8" w:tplc="67963C4C">
      <w:start w:val="1"/>
      <w:numFmt w:val="bullet"/>
      <w:lvlText w:val=""/>
      <w:lvlJc w:val="left"/>
      <w:pPr>
        <w:ind w:left="6480" w:hanging="360"/>
      </w:pPr>
      <w:rPr>
        <w:rFonts w:ascii="Wingdings" w:hAnsi="Wingdings" w:hint="default"/>
      </w:rPr>
    </w:lvl>
  </w:abstractNum>
  <w:abstractNum w:abstractNumId="9" w15:restartNumberingAfterBreak="0">
    <w:nsid w:val="1BB06FE1"/>
    <w:multiLevelType w:val="hybridMultilevel"/>
    <w:tmpl w:val="CA3028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1711D5"/>
    <w:multiLevelType w:val="multilevel"/>
    <w:tmpl w:val="A50A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66FEB"/>
    <w:multiLevelType w:val="hybridMultilevel"/>
    <w:tmpl w:val="EF7610BA"/>
    <w:lvl w:ilvl="0" w:tplc="F814BA02">
      <w:start w:val="1"/>
      <w:numFmt w:val="bullet"/>
      <w:lvlText w:val=""/>
      <w:lvlJc w:val="left"/>
      <w:pPr>
        <w:ind w:left="720" w:hanging="360"/>
      </w:pPr>
      <w:rPr>
        <w:rFonts w:ascii="Symbol" w:hAnsi="Symbol" w:hint="default"/>
      </w:rPr>
    </w:lvl>
    <w:lvl w:ilvl="1" w:tplc="85E63874">
      <w:start w:val="1"/>
      <w:numFmt w:val="bullet"/>
      <w:lvlText w:val="o"/>
      <w:lvlJc w:val="left"/>
      <w:pPr>
        <w:ind w:left="1440" w:hanging="360"/>
      </w:pPr>
      <w:rPr>
        <w:rFonts w:ascii="Courier New" w:hAnsi="Courier New" w:hint="default"/>
      </w:rPr>
    </w:lvl>
    <w:lvl w:ilvl="2" w:tplc="1540BA72">
      <w:start w:val="1"/>
      <w:numFmt w:val="bullet"/>
      <w:lvlText w:val=""/>
      <w:lvlJc w:val="left"/>
      <w:pPr>
        <w:ind w:left="2160" w:hanging="360"/>
      </w:pPr>
      <w:rPr>
        <w:rFonts w:ascii="Wingdings" w:hAnsi="Wingdings" w:hint="default"/>
      </w:rPr>
    </w:lvl>
    <w:lvl w:ilvl="3" w:tplc="32C4DC20">
      <w:start w:val="1"/>
      <w:numFmt w:val="bullet"/>
      <w:lvlText w:val=""/>
      <w:lvlJc w:val="left"/>
      <w:pPr>
        <w:ind w:left="2880" w:hanging="360"/>
      </w:pPr>
      <w:rPr>
        <w:rFonts w:ascii="Symbol" w:hAnsi="Symbol" w:hint="default"/>
      </w:rPr>
    </w:lvl>
    <w:lvl w:ilvl="4" w:tplc="330CAE6A">
      <w:start w:val="1"/>
      <w:numFmt w:val="bullet"/>
      <w:lvlText w:val="o"/>
      <w:lvlJc w:val="left"/>
      <w:pPr>
        <w:ind w:left="3600" w:hanging="360"/>
      </w:pPr>
      <w:rPr>
        <w:rFonts w:ascii="Courier New" w:hAnsi="Courier New" w:hint="default"/>
      </w:rPr>
    </w:lvl>
    <w:lvl w:ilvl="5" w:tplc="8A181C4E">
      <w:start w:val="1"/>
      <w:numFmt w:val="bullet"/>
      <w:lvlText w:val=""/>
      <w:lvlJc w:val="left"/>
      <w:pPr>
        <w:ind w:left="4320" w:hanging="360"/>
      </w:pPr>
      <w:rPr>
        <w:rFonts w:ascii="Wingdings" w:hAnsi="Wingdings" w:hint="default"/>
      </w:rPr>
    </w:lvl>
    <w:lvl w:ilvl="6" w:tplc="4E600BB6">
      <w:start w:val="1"/>
      <w:numFmt w:val="bullet"/>
      <w:lvlText w:val=""/>
      <w:lvlJc w:val="left"/>
      <w:pPr>
        <w:ind w:left="5040" w:hanging="360"/>
      </w:pPr>
      <w:rPr>
        <w:rFonts w:ascii="Symbol" w:hAnsi="Symbol" w:hint="default"/>
      </w:rPr>
    </w:lvl>
    <w:lvl w:ilvl="7" w:tplc="B52A8374">
      <w:start w:val="1"/>
      <w:numFmt w:val="bullet"/>
      <w:lvlText w:val="o"/>
      <w:lvlJc w:val="left"/>
      <w:pPr>
        <w:ind w:left="5760" w:hanging="360"/>
      </w:pPr>
      <w:rPr>
        <w:rFonts w:ascii="Courier New" w:hAnsi="Courier New" w:hint="default"/>
      </w:rPr>
    </w:lvl>
    <w:lvl w:ilvl="8" w:tplc="6DDCFD94">
      <w:start w:val="1"/>
      <w:numFmt w:val="bullet"/>
      <w:lvlText w:val=""/>
      <w:lvlJc w:val="left"/>
      <w:pPr>
        <w:ind w:left="6480" w:hanging="360"/>
      </w:pPr>
      <w:rPr>
        <w:rFonts w:ascii="Wingdings" w:hAnsi="Wingdings" w:hint="default"/>
      </w:rPr>
    </w:lvl>
  </w:abstractNum>
  <w:abstractNum w:abstractNumId="12" w15:restartNumberingAfterBreak="0">
    <w:nsid w:val="326759DD"/>
    <w:multiLevelType w:val="hybridMultilevel"/>
    <w:tmpl w:val="60FE5FB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40426BE6"/>
    <w:multiLevelType w:val="hybridMultilevel"/>
    <w:tmpl w:val="1F22BD44"/>
    <w:lvl w:ilvl="0" w:tplc="75D636FE">
      <w:start w:val="1"/>
      <w:numFmt w:val="bullet"/>
      <w:lvlText w:val=""/>
      <w:lvlJc w:val="left"/>
      <w:pPr>
        <w:ind w:left="720" w:hanging="360"/>
      </w:pPr>
      <w:rPr>
        <w:rFonts w:ascii="Symbol" w:hAnsi="Symbol" w:hint="default"/>
      </w:rPr>
    </w:lvl>
    <w:lvl w:ilvl="1" w:tplc="1EC4B42C">
      <w:start w:val="1"/>
      <w:numFmt w:val="bullet"/>
      <w:lvlText w:val="o"/>
      <w:lvlJc w:val="left"/>
      <w:pPr>
        <w:ind w:left="1440" w:hanging="360"/>
      </w:pPr>
      <w:rPr>
        <w:rFonts w:ascii="Courier New" w:hAnsi="Courier New" w:hint="default"/>
      </w:rPr>
    </w:lvl>
    <w:lvl w:ilvl="2" w:tplc="87F8C440">
      <w:start w:val="1"/>
      <w:numFmt w:val="bullet"/>
      <w:lvlText w:val=""/>
      <w:lvlJc w:val="left"/>
      <w:pPr>
        <w:ind w:left="2160" w:hanging="360"/>
      </w:pPr>
      <w:rPr>
        <w:rFonts w:ascii="Wingdings" w:hAnsi="Wingdings" w:hint="default"/>
      </w:rPr>
    </w:lvl>
    <w:lvl w:ilvl="3" w:tplc="6A4A38F8">
      <w:start w:val="1"/>
      <w:numFmt w:val="bullet"/>
      <w:lvlText w:val=""/>
      <w:lvlJc w:val="left"/>
      <w:pPr>
        <w:ind w:left="2880" w:hanging="360"/>
      </w:pPr>
      <w:rPr>
        <w:rFonts w:ascii="Symbol" w:hAnsi="Symbol" w:hint="default"/>
      </w:rPr>
    </w:lvl>
    <w:lvl w:ilvl="4" w:tplc="079079DA">
      <w:start w:val="1"/>
      <w:numFmt w:val="bullet"/>
      <w:lvlText w:val="o"/>
      <w:lvlJc w:val="left"/>
      <w:pPr>
        <w:ind w:left="3600" w:hanging="360"/>
      </w:pPr>
      <w:rPr>
        <w:rFonts w:ascii="Courier New" w:hAnsi="Courier New" w:hint="default"/>
      </w:rPr>
    </w:lvl>
    <w:lvl w:ilvl="5" w:tplc="FF146A60">
      <w:start w:val="1"/>
      <w:numFmt w:val="bullet"/>
      <w:lvlText w:val=""/>
      <w:lvlJc w:val="left"/>
      <w:pPr>
        <w:ind w:left="4320" w:hanging="360"/>
      </w:pPr>
      <w:rPr>
        <w:rFonts w:ascii="Wingdings" w:hAnsi="Wingdings" w:hint="default"/>
      </w:rPr>
    </w:lvl>
    <w:lvl w:ilvl="6" w:tplc="41EEAC62">
      <w:start w:val="1"/>
      <w:numFmt w:val="bullet"/>
      <w:lvlText w:val=""/>
      <w:lvlJc w:val="left"/>
      <w:pPr>
        <w:ind w:left="5040" w:hanging="360"/>
      </w:pPr>
      <w:rPr>
        <w:rFonts w:ascii="Symbol" w:hAnsi="Symbol" w:hint="default"/>
      </w:rPr>
    </w:lvl>
    <w:lvl w:ilvl="7" w:tplc="C15A51EC">
      <w:start w:val="1"/>
      <w:numFmt w:val="bullet"/>
      <w:lvlText w:val="o"/>
      <w:lvlJc w:val="left"/>
      <w:pPr>
        <w:ind w:left="5760" w:hanging="360"/>
      </w:pPr>
      <w:rPr>
        <w:rFonts w:ascii="Courier New" w:hAnsi="Courier New" w:hint="default"/>
      </w:rPr>
    </w:lvl>
    <w:lvl w:ilvl="8" w:tplc="2CF28E60">
      <w:start w:val="1"/>
      <w:numFmt w:val="bullet"/>
      <w:lvlText w:val=""/>
      <w:lvlJc w:val="left"/>
      <w:pPr>
        <w:ind w:left="6480" w:hanging="360"/>
      </w:pPr>
      <w:rPr>
        <w:rFonts w:ascii="Wingdings" w:hAnsi="Wingdings" w:hint="default"/>
      </w:rPr>
    </w:lvl>
  </w:abstractNum>
  <w:abstractNum w:abstractNumId="14" w15:restartNumberingAfterBreak="0">
    <w:nsid w:val="4A304B15"/>
    <w:multiLevelType w:val="multilevel"/>
    <w:tmpl w:val="5B624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713E98"/>
    <w:multiLevelType w:val="hybridMultilevel"/>
    <w:tmpl w:val="232A52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3C6BC7"/>
    <w:multiLevelType w:val="hybridMultilevel"/>
    <w:tmpl w:val="870A31A2"/>
    <w:lvl w:ilvl="0" w:tplc="81BA5C24">
      <w:start w:val="1"/>
      <w:numFmt w:val="bullet"/>
      <w:lvlText w:val=""/>
      <w:lvlJc w:val="left"/>
      <w:pPr>
        <w:ind w:left="720" w:hanging="360"/>
      </w:pPr>
      <w:rPr>
        <w:rFonts w:ascii="Symbol" w:hAnsi="Symbol" w:hint="default"/>
      </w:rPr>
    </w:lvl>
    <w:lvl w:ilvl="1" w:tplc="4922EBCC">
      <w:start w:val="1"/>
      <w:numFmt w:val="bullet"/>
      <w:lvlText w:val="o"/>
      <w:lvlJc w:val="left"/>
      <w:pPr>
        <w:ind w:left="1440" w:hanging="360"/>
      </w:pPr>
      <w:rPr>
        <w:rFonts w:ascii="Courier New" w:hAnsi="Courier New" w:hint="default"/>
      </w:rPr>
    </w:lvl>
    <w:lvl w:ilvl="2" w:tplc="976C7ACE">
      <w:start w:val="1"/>
      <w:numFmt w:val="bullet"/>
      <w:lvlText w:val=""/>
      <w:lvlJc w:val="left"/>
      <w:pPr>
        <w:ind w:left="2160" w:hanging="360"/>
      </w:pPr>
      <w:rPr>
        <w:rFonts w:ascii="Wingdings" w:hAnsi="Wingdings" w:hint="default"/>
      </w:rPr>
    </w:lvl>
    <w:lvl w:ilvl="3" w:tplc="A6629A3E">
      <w:start w:val="1"/>
      <w:numFmt w:val="bullet"/>
      <w:lvlText w:val=""/>
      <w:lvlJc w:val="left"/>
      <w:pPr>
        <w:ind w:left="2880" w:hanging="360"/>
      </w:pPr>
      <w:rPr>
        <w:rFonts w:ascii="Symbol" w:hAnsi="Symbol" w:hint="default"/>
      </w:rPr>
    </w:lvl>
    <w:lvl w:ilvl="4" w:tplc="A26EE05C">
      <w:start w:val="1"/>
      <w:numFmt w:val="bullet"/>
      <w:lvlText w:val="o"/>
      <w:lvlJc w:val="left"/>
      <w:pPr>
        <w:ind w:left="3600" w:hanging="360"/>
      </w:pPr>
      <w:rPr>
        <w:rFonts w:ascii="Courier New" w:hAnsi="Courier New" w:hint="default"/>
      </w:rPr>
    </w:lvl>
    <w:lvl w:ilvl="5" w:tplc="BD96A6DE">
      <w:start w:val="1"/>
      <w:numFmt w:val="bullet"/>
      <w:lvlText w:val=""/>
      <w:lvlJc w:val="left"/>
      <w:pPr>
        <w:ind w:left="4320" w:hanging="360"/>
      </w:pPr>
      <w:rPr>
        <w:rFonts w:ascii="Wingdings" w:hAnsi="Wingdings" w:hint="default"/>
      </w:rPr>
    </w:lvl>
    <w:lvl w:ilvl="6" w:tplc="3D16DEF4">
      <w:start w:val="1"/>
      <w:numFmt w:val="bullet"/>
      <w:lvlText w:val=""/>
      <w:lvlJc w:val="left"/>
      <w:pPr>
        <w:ind w:left="5040" w:hanging="360"/>
      </w:pPr>
      <w:rPr>
        <w:rFonts w:ascii="Symbol" w:hAnsi="Symbol" w:hint="default"/>
      </w:rPr>
    </w:lvl>
    <w:lvl w:ilvl="7" w:tplc="F4E6CFB2">
      <w:start w:val="1"/>
      <w:numFmt w:val="bullet"/>
      <w:lvlText w:val="o"/>
      <w:lvlJc w:val="left"/>
      <w:pPr>
        <w:ind w:left="5760" w:hanging="360"/>
      </w:pPr>
      <w:rPr>
        <w:rFonts w:ascii="Courier New" w:hAnsi="Courier New" w:hint="default"/>
      </w:rPr>
    </w:lvl>
    <w:lvl w:ilvl="8" w:tplc="62F47EFE">
      <w:start w:val="1"/>
      <w:numFmt w:val="bullet"/>
      <w:lvlText w:val=""/>
      <w:lvlJc w:val="left"/>
      <w:pPr>
        <w:ind w:left="6480" w:hanging="360"/>
      </w:pPr>
      <w:rPr>
        <w:rFonts w:ascii="Wingdings" w:hAnsi="Wingdings" w:hint="default"/>
      </w:rPr>
    </w:lvl>
  </w:abstractNum>
  <w:abstractNum w:abstractNumId="17" w15:restartNumberingAfterBreak="0">
    <w:nsid w:val="56246EBF"/>
    <w:multiLevelType w:val="hybridMultilevel"/>
    <w:tmpl w:val="4954805E"/>
    <w:lvl w:ilvl="0" w:tplc="9702CE1A">
      <w:start w:val="8"/>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A9FDBD"/>
    <w:multiLevelType w:val="hybridMultilevel"/>
    <w:tmpl w:val="A488715C"/>
    <w:lvl w:ilvl="0" w:tplc="4086E65E">
      <w:start w:val="1"/>
      <w:numFmt w:val="bullet"/>
      <w:lvlText w:val=""/>
      <w:lvlJc w:val="left"/>
      <w:pPr>
        <w:ind w:left="720" w:hanging="360"/>
      </w:pPr>
      <w:rPr>
        <w:rFonts w:ascii="Symbol" w:hAnsi="Symbol" w:hint="default"/>
      </w:rPr>
    </w:lvl>
    <w:lvl w:ilvl="1" w:tplc="401AB032">
      <w:start w:val="1"/>
      <w:numFmt w:val="bullet"/>
      <w:lvlText w:val="o"/>
      <w:lvlJc w:val="left"/>
      <w:pPr>
        <w:ind w:left="1440" w:hanging="360"/>
      </w:pPr>
      <w:rPr>
        <w:rFonts w:ascii="Courier New" w:hAnsi="Courier New" w:hint="default"/>
      </w:rPr>
    </w:lvl>
    <w:lvl w:ilvl="2" w:tplc="23748FDE">
      <w:start w:val="1"/>
      <w:numFmt w:val="bullet"/>
      <w:lvlText w:val=""/>
      <w:lvlJc w:val="left"/>
      <w:pPr>
        <w:ind w:left="2160" w:hanging="360"/>
      </w:pPr>
      <w:rPr>
        <w:rFonts w:ascii="Wingdings" w:hAnsi="Wingdings" w:hint="default"/>
      </w:rPr>
    </w:lvl>
    <w:lvl w:ilvl="3" w:tplc="AD725DCC">
      <w:start w:val="1"/>
      <w:numFmt w:val="bullet"/>
      <w:lvlText w:val=""/>
      <w:lvlJc w:val="left"/>
      <w:pPr>
        <w:ind w:left="2880" w:hanging="360"/>
      </w:pPr>
      <w:rPr>
        <w:rFonts w:ascii="Symbol" w:hAnsi="Symbol" w:hint="default"/>
      </w:rPr>
    </w:lvl>
    <w:lvl w:ilvl="4" w:tplc="D6F8A7F6">
      <w:start w:val="1"/>
      <w:numFmt w:val="bullet"/>
      <w:lvlText w:val="o"/>
      <w:lvlJc w:val="left"/>
      <w:pPr>
        <w:ind w:left="3600" w:hanging="360"/>
      </w:pPr>
      <w:rPr>
        <w:rFonts w:ascii="Courier New" w:hAnsi="Courier New" w:hint="default"/>
      </w:rPr>
    </w:lvl>
    <w:lvl w:ilvl="5" w:tplc="2FBEDE02">
      <w:start w:val="1"/>
      <w:numFmt w:val="bullet"/>
      <w:lvlText w:val=""/>
      <w:lvlJc w:val="left"/>
      <w:pPr>
        <w:ind w:left="4320" w:hanging="360"/>
      </w:pPr>
      <w:rPr>
        <w:rFonts w:ascii="Wingdings" w:hAnsi="Wingdings" w:hint="default"/>
      </w:rPr>
    </w:lvl>
    <w:lvl w:ilvl="6" w:tplc="B156B9F0">
      <w:start w:val="1"/>
      <w:numFmt w:val="bullet"/>
      <w:lvlText w:val=""/>
      <w:lvlJc w:val="left"/>
      <w:pPr>
        <w:ind w:left="5040" w:hanging="360"/>
      </w:pPr>
      <w:rPr>
        <w:rFonts w:ascii="Symbol" w:hAnsi="Symbol" w:hint="default"/>
      </w:rPr>
    </w:lvl>
    <w:lvl w:ilvl="7" w:tplc="BBC406BA">
      <w:start w:val="1"/>
      <w:numFmt w:val="bullet"/>
      <w:lvlText w:val="o"/>
      <w:lvlJc w:val="left"/>
      <w:pPr>
        <w:ind w:left="5760" w:hanging="360"/>
      </w:pPr>
      <w:rPr>
        <w:rFonts w:ascii="Courier New" w:hAnsi="Courier New" w:hint="default"/>
      </w:rPr>
    </w:lvl>
    <w:lvl w:ilvl="8" w:tplc="7BA4A5C8">
      <w:start w:val="1"/>
      <w:numFmt w:val="bullet"/>
      <w:lvlText w:val=""/>
      <w:lvlJc w:val="left"/>
      <w:pPr>
        <w:ind w:left="6480" w:hanging="360"/>
      </w:pPr>
      <w:rPr>
        <w:rFonts w:ascii="Wingdings" w:hAnsi="Wingdings" w:hint="default"/>
      </w:rPr>
    </w:lvl>
  </w:abstractNum>
  <w:abstractNum w:abstractNumId="19" w15:restartNumberingAfterBreak="0">
    <w:nsid w:val="5984AFD2"/>
    <w:multiLevelType w:val="hybridMultilevel"/>
    <w:tmpl w:val="7B42200A"/>
    <w:lvl w:ilvl="0" w:tplc="631EE622">
      <w:start w:val="1"/>
      <w:numFmt w:val="bullet"/>
      <w:lvlText w:val=""/>
      <w:lvlJc w:val="left"/>
      <w:pPr>
        <w:ind w:left="720" w:hanging="360"/>
      </w:pPr>
      <w:rPr>
        <w:rFonts w:ascii="Symbol" w:hAnsi="Symbol" w:hint="default"/>
      </w:rPr>
    </w:lvl>
    <w:lvl w:ilvl="1" w:tplc="668C6EEC">
      <w:start w:val="1"/>
      <w:numFmt w:val="bullet"/>
      <w:lvlText w:val="o"/>
      <w:lvlJc w:val="left"/>
      <w:pPr>
        <w:ind w:left="1440" w:hanging="360"/>
      </w:pPr>
      <w:rPr>
        <w:rFonts w:ascii="Courier New" w:hAnsi="Courier New" w:hint="default"/>
      </w:rPr>
    </w:lvl>
    <w:lvl w:ilvl="2" w:tplc="C0BC94E6">
      <w:start w:val="1"/>
      <w:numFmt w:val="bullet"/>
      <w:lvlText w:val=""/>
      <w:lvlJc w:val="left"/>
      <w:pPr>
        <w:ind w:left="2160" w:hanging="360"/>
      </w:pPr>
      <w:rPr>
        <w:rFonts w:ascii="Wingdings" w:hAnsi="Wingdings" w:hint="default"/>
      </w:rPr>
    </w:lvl>
    <w:lvl w:ilvl="3" w:tplc="C5805884">
      <w:start w:val="1"/>
      <w:numFmt w:val="bullet"/>
      <w:lvlText w:val=""/>
      <w:lvlJc w:val="left"/>
      <w:pPr>
        <w:ind w:left="2880" w:hanging="360"/>
      </w:pPr>
      <w:rPr>
        <w:rFonts w:ascii="Symbol" w:hAnsi="Symbol" w:hint="default"/>
      </w:rPr>
    </w:lvl>
    <w:lvl w:ilvl="4" w:tplc="1348177C">
      <w:start w:val="1"/>
      <w:numFmt w:val="bullet"/>
      <w:lvlText w:val="o"/>
      <w:lvlJc w:val="left"/>
      <w:pPr>
        <w:ind w:left="3600" w:hanging="360"/>
      </w:pPr>
      <w:rPr>
        <w:rFonts w:ascii="Courier New" w:hAnsi="Courier New" w:hint="default"/>
      </w:rPr>
    </w:lvl>
    <w:lvl w:ilvl="5" w:tplc="5C30263E">
      <w:start w:val="1"/>
      <w:numFmt w:val="bullet"/>
      <w:lvlText w:val=""/>
      <w:lvlJc w:val="left"/>
      <w:pPr>
        <w:ind w:left="4320" w:hanging="360"/>
      </w:pPr>
      <w:rPr>
        <w:rFonts w:ascii="Wingdings" w:hAnsi="Wingdings" w:hint="default"/>
      </w:rPr>
    </w:lvl>
    <w:lvl w:ilvl="6" w:tplc="9508BB4C">
      <w:start w:val="1"/>
      <w:numFmt w:val="bullet"/>
      <w:lvlText w:val=""/>
      <w:lvlJc w:val="left"/>
      <w:pPr>
        <w:ind w:left="5040" w:hanging="360"/>
      </w:pPr>
      <w:rPr>
        <w:rFonts w:ascii="Symbol" w:hAnsi="Symbol" w:hint="default"/>
      </w:rPr>
    </w:lvl>
    <w:lvl w:ilvl="7" w:tplc="F8A6A490">
      <w:start w:val="1"/>
      <w:numFmt w:val="bullet"/>
      <w:lvlText w:val="o"/>
      <w:lvlJc w:val="left"/>
      <w:pPr>
        <w:ind w:left="5760" w:hanging="360"/>
      </w:pPr>
      <w:rPr>
        <w:rFonts w:ascii="Courier New" w:hAnsi="Courier New" w:hint="default"/>
      </w:rPr>
    </w:lvl>
    <w:lvl w:ilvl="8" w:tplc="BFC2F600">
      <w:start w:val="1"/>
      <w:numFmt w:val="bullet"/>
      <w:lvlText w:val=""/>
      <w:lvlJc w:val="left"/>
      <w:pPr>
        <w:ind w:left="6480" w:hanging="360"/>
      </w:pPr>
      <w:rPr>
        <w:rFonts w:ascii="Wingdings" w:hAnsi="Wingdings" w:hint="default"/>
      </w:rPr>
    </w:lvl>
  </w:abstractNum>
  <w:abstractNum w:abstractNumId="20" w15:restartNumberingAfterBreak="0">
    <w:nsid w:val="5C044D6C"/>
    <w:multiLevelType w:val="hybridMultilevel"/>
    <w:tmpl w:val="E02E09F8"/>
    <w:lvl w:ilvl="0" w:tplc="B7EA12F4">
      <w:start w:val="1"/>
      <w:numFmt w:val="bullet"/>
      <w:lvlText w:val=""/>
      <w:lvlJc w:val="left"/>
      <w:pPr>
        <w:ind w:left="720" w:hanging="360"/>
      </w:pPr>
      <w:rPr>
        <w:rFonts w:ascii="Symbol" w:hAnsi="Symbol" w:hint="default"/>
      </w:rPr>
    </w:lvl>
    <w:lvl w:ilvl="1" w:tplc="8ED616BA">
      <w:start w:val="1"/>
      <w:numFmt w:val="bullet"/>
      <w:lvlText w:val="o"/>
      <w:lvlJc w:val="left"/>
      <w:pPr>
        <w:ind w:left="1440" w:hanging="360"/>
      </w:pPr>
      <w:rPr>
        <w:rFonts w:ascii="Courier New" w:hAnsi="Courier New" w:hint="default"/>
      </w:rPr>
    </w:lvl>
    <w:lvl w:ilvl="2" w:tplc="303E339C">
      <w:start w:val="1"/>
      <w:numFmt w:val="bullet"/>
      <w:lvlText w:val=""/>
      <w:lvlJc w:val="left"/>
      <w:pPr>
        <w:ind w:left="2160" w:hanging="360"/>
      </w:pPr>
      <w:rPr>
        <w:rFonts w:ascii="Wingdings" w:hAnsi="Wingdings" w:hint="default"/>
      </w:rPr>
    </w:lvl>
    <w:lvl w:ilvl="3" w:tplc="7550E104">
      <w:start w:val="1"/>
      <w:numFmt w:val="bullet"/>
      <w:lvlText w:val=""/>
      <w:lvlJc w:val="left"/>
      <w:pPr>
        <w:ind w:left="2880" w:hanging="360"/>
      </w:pPr>
      <w:rPr>
        <w:rFonts w:ascii="Symbol" w:hAnsi="Symbol" w:hint="default"/>
      </w:rPr>
    </w:lvl>
    <w:lvl w:ilvl="4" w:tplc="057CB556">
      <w:start w:val="1"/>
      <w:numFmt w:val="bullet"/>
      <w:lvlText w:val="o"/>
      <w:lvlJc w:val="left"/>
      <w:pPr>
        <w:ind w:left="3600" w:hanging="360"/>
      </w:pPr>
      <w:rPr>
        <w:rFonts w:ascii="Courier New" w:hAnsi="Courier New" w:hint="default"/>
      </w:rPr>
    </w:lvl>
    <w:lvl w:ilvl="5" w:tplc="1CB482B4">
      <w:start w:val="1"/>
      <w:numFmt w:val="bullet"/>
      <w:lvlText w:val=""/>
      <w:lvlJc w:val="left"/>
      <w:pPr>
        <w:ind w:left="4320" w:hanging="360"/>
      </w:pPr>
      <w:rPr>
        <w:rFonts w:ascii="Wingdings" w:hAnsi="Wingdings" w:hint="default"/>
      </w:rPr>
    </w:lvl>
    <w:lvl w:ilvl="6" w:tplc="AA0AB270">
      <w:start w:val="1"/>
      <w:numFmt w:val="bullet"/>
      <w:lvlText w:val=""/>
      <w:lvlJc w:val="left"/>
      <w:pPr>
        <w:ind w:left="5040" w:hanging="360"/>
      </w:pPr>
      <w:rPr>
        <w:rFonts w:ascii="Symbol" w:hAnsi="Symbol" w:hint="default"/>
      </w:rPr>
    </w:lvl>
    <w:lvl w:ilvl="7" w:tplc="24FC4C30">
      <w:start w:val="1"/>
      <w:numFmt w:val="bullet"/>
      <w:lvlText w:val="o"/>
      <w:lvlJc w:val="left"/>
      <w:pPr>
        <w:ind w:left="5760" w:hanging="360"/>
      </w:pPr>
      <w:rPr>
        <w:rFonts w:ascii="Courier New" w:hAnsi="Courier New" w:hint="default"/>
      </w:rPr>
    </w:lvl>
    <w:lvl w:ilvl="8" w:tplc="1B34EBD6">
      <w:start w:val="1"/>
      <w:numFmt w:val="bullet"/>
      <w:lvlText w:val=""/>
      <w:lvlJc w:val="left"/>
      <w:pPr>
        <w:ind w:left="6480" w:hanging="360"/>
      </w:pPr>
      <w:rPr>
        <w:rFonts w:ascii="Wingdings" w:hAnsi="Wingdings" w:hint="default"/>
      </w:rPr>
    </w:lvl>
  </w:abstractNum>
  <w:abstractNum w:abstractNumId="21" w15:restartNumberingAfterBreak="0">
    <w:nsid w:val="62B171BC"/>
    <w:multiLevelType w:val="hybridMultilevel"/>
    <w:tmpl w:val="3A4CDDA4"/>
    <w:lvl w:ilvl="0" w:tplc="796827C0">
      <w:start w:val="1"/>
      <w:numFmt w:val="bullet"/>
      <w:lvlText w:val=""/>
      <w:lvlJc w:val="left"/>
      <w:pPr>
        <w:ind w:left="720" w:hanging="360"/>
      </w:pPr>
      <w:rPr>
        <w:rFonts w:ascii="Symbol" w:hAnsi="Symbol" w:hint="default"/>
      </w:rPr>
    </w:lvl>
    <w:lvl w:ilvl="1" w:tplc="352C3DE8">
      <w:start w:val="1"/>
      <w:numFmt w:val="bullet"/>
      <w:lvlText w:val="o"/>
      <w:lvlJc w:val="left"/>
      <w:pPr>
        <w:ind w:left="1440" w:hanging="360"/>
      </w:pPr>
      <w:rPr>
        <w:rFonts w:ascii="Courier New" w:hAnsi="Courier New" w:hint="default"/>
      </w:rPr>
    </w:lvl>
    <w:lvl w:ilvl="2" w:tplc="6B1EFC44">
      <w:start w:val="1"/>
      <w:numFmt w:val="bullet"/>
      <w:lvlText w:val=""/>
      <w:lvlJc w:val="left"/>
      <w:pPr>
        <w:ind w:left="2160" w:hanging="360"/>
      </w:pPr>
      <w:rPr>
        <w:rFonts w:ascii="Wingdings" w:hAnsi="Wingdings" w:hint="default"/>
      </w:rPr>
    </w:lvl>
    <w:lvl w:ilvl="3" w:tplc="439C2088">
      <w:start w:val="1"/>
      <w:numFmt w:val="bullet"/>
      <w:lvlText w:val=""/>
      <w:lvlJc w:val="left"/>
      <w:pPr>
        <w:ind w:left="2880" w:hanging="360"/>
      </w:pPr>
      <w:rPr>
        <w:rFonts w:ascii="Symbol" w:hAnsi="Symbol" w:hint="default"/>
      </w:rPr>
    </w:lvl>
    <w:lvl w:ilvl="4" w:tplc="4140BEE4">
      <w:start w:val="1"/>
      <w:numFmt w:val="bullet"/>
      <w:lvlText w:val="o"/>
      <w:lvlJc w:val="left"/>
      <w:pPr>
        <w:ind w:left="3600" w:hanging="360"/>
      </w:pPr>
      <w:rPr>
        <w:rFonts w:ascii="Courier New" w:hAnsi="Courier New" w:hint="default"/>
      </w:rPr>
    </w:lvl>
    <w:lvl w:ilvl="5" w:tplc="DB863944">
      <w:start w:val="1"/>
      <w:numFmt w:val="bullet"/>
      <w:lvlText w:val=""/>
      <w:lvlJc w:val="left"/>
      <w:pPr>
        <w:ind w:left="4320" w:hanging="360"/>
      </w:pPr>
      <w:rPr>
        <w:rFonts w:ascii="Wingdings" w:hAnsi="Wingdings" w:hint="default"/>
      </w:rPr>
    </w:lvl>
    <w:lvl w:ilvl="6" w:tplc="48BEFC84">
      <w:start w:val="1"/>
      <w:numFmt w:val="bullet"/>
      <w:lvlText w:val=""/>
      <w:lvlJc w:val="left"/>
      <w:pPr>
        <w:ind w:left="5040" w:hanging="360"/>
      </w:pPr>
      <w:rPr>
        <w:rFonts w:ascii="Symbol" w:hAnsi="Symbol" w:hint="default"/>
      </w:rPr>
    </w:lvl>
    <w:lvl w:ilvl="7" w:tplc="F15AC9EA">
      <w:start w:val="1"/>
      <w:numFmt w:val="bullet"/>
      <w:lvlText w:val="o"/>
      <w:lvlJc w:val="left"/>
      <w:pPr>
        <w:ind w:left="5760" w:hanging="360"/>
      </w:pPr>
      <w:rPr>
        <w:rFonts w:ascii="Courier New" w:hAnsi="Courier New" w:hint="default"/>
      </w:rPr>
    </w:lvl>
    <w:lvl w:ilvl="8" w:tplc="CA6079AC">
      <w:start w:val="1"/>
      <w:numFmt w:val="bullet"/>
      <w:lvlText w:val=""/>
      <w:lvlJc w:val="left"/>
      <w:pPr>
        <w:ind w:left="6480" w:hanging="360"/>
      </w:pPr>
      <w:rPr>
        <w:rFonts w:ascii="Wingdings" w:hAnsi="Wingdings" w:hint="default"/>
      </w:rPr>
    </w:lvl>
  </w:abstractNum>
  <w:abstractNum w:abstractNumId="22" w15:restartNumberingAfterBreak="0">
    <w:nsid w:val="6E020A90"/>
    <w:multiLevelType w:val="hybridMultilevel"/>
    <w:tmpl w:val="946EED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7251DE8"/>
    <w:multiLevelType w:val="hybridMultilevel"/>
    <w:tmpl w:val="6E3ED8EA"/>
    <w:lvl w:ilvl="0" w:tplc="98B4C09A">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4" w15:restartNumberingAfterBreak="0">
    <w:nsid w:val="7AF5188A"/>
    <w:multiLevelType w:val="hybridMultilevel"/>
    <w:tmpl w:val="1624A87A"/>
    <w:lvl w:ilvl="0" w:tplc="ECF4F0A0">
      <w:start w:val="1"/>
      <w:numFmt w:val="bullet"/>
      <w:lvlText w:val=""/>
      <w:lvlJc w:val="left"/>
      <w:pPr>
        <w:ind w:left="720" w:hanging="360"/>
      </w:pPr>
      <w:rPr>
        <w:rFonts w:ascii="Symbol" w:hAnsi="Symbol" w:hint="default"/>
      </w:rPr>
    </w:lvl>
    <w:lvl w:ilvl="1" w:tplc="F4284E76">
      <w:start w:val="1"/>
      <w:numFmt w:val="bullet"/>
      <w:lvlText w:val="o"/>
      <w:lvlJc w:val="left"/>
      <w:pPr>
        <w:ind w:left="1440" w:hanging="360"/>
      </w:pPr>
      <w:rPr>
        <w:rFonts w:ascii="Courier New" w:hAnsi="Courier New" w:hint="default"/>
      </w:rPr>
    </w:lvl>
    <w:lvl w:ilvl="2" w:tplc="73D40510">
      <w:start w:val="1"/>
      <w:numFmt w:val="bullet"/>
      <w:lvlText w:val=""/>
      <w:lvlJc w:val="left"/>
      <w:pPr>
        <w:ind w:left="2160" w:hanging="360"/>
      </w:pPr>
      <w:rPr>
        <w:rFonts w:ascii="Wingdings" w:hAnsi="Wingdings" w:hint="default"/>
      </w:rPr>
    </w:lvl>
    <w:lvl w:ilvl="3" w:tplc="AB4634D0">
      <w:start w:val="1"/>
      <w:numFmt w:val="bullet"/>
      <w:lvlText w:val=""/>
      <w:lvlJc w:val="left"/>
      <w:pPr>
        <w:ind w:left="2880" w:hanging="360"/>
      </w:pPr>
      <w:rPr>
        <w:rFonts w:ascii="Symbol" w:hAnsi="Symbol" w:hint="default"/>
      </w:rPr>
    </w:lvl>
    <w:lvl w:ilvl="4" w:tplc="7FC2CB72">
      <w:start w:val="1"/>
      <w:numFmt w:val="bullet"/>
      <w:lvlText w:val="o"/>
      <w:lvlJc w:val="left"/>
      <w:pPr>
        <w:ind w:left="3600" w:hanging="360"/>
      </w:pPr>
      <w:rPr>
        <w:rFonts w:ascii="Courier New" w:hAnsi="Courier New" w:hint="default"/>
      </w:rPr>
    </w:lvl>
    <w:lvl w:ilvl="5" w:tplc="83BAF55C">
      <w:start w:val="1"/>
      <w:numFmt w:val="bullet"/>
      <w:lvlText w:val=""/>
      <w:lvlJc w:val="left"/>
      <w:pPr>
        <w:ind w:left="4320" w:hanging="360"/>
      </w:pPr>
      <w:rPr>
        <w:rFonts w:ascii="Wingdings" w:hAnsi="Wingdings" w:hint="default"/>
      </w:rPr>
    </w:lvl>
    <w:lvl w:ilvl="6" w:tplc="764E0208">
      <w:start w:val="1"/>
      <w:numFmt w:val="bullet"/>
      <w:lvlText w:val=""/>
      <w:lvlJc w:val="left"/>
      <w:pPr>
        <w:ind w:left="5040" w:hanging="360"/>
      </w:pPr>
      <w:rPr>
        <w:rFonts w:ascii="Symbol" w:hAnsi="Symbol" w:hint="default"/>
      </w:rPr>
    </w:lvl>
    <w:lvl w:ilvl="7" w:tplc="35FEA906">
      <w:start w:val="1"/>
      <w:numFmt w:val="bullet"/>
      <w:lvlText w:val="o"/>
      <w:lvlJc w:val="left"/>
      <w:pPr>
        <w:ind w:left="5760" w:hanging="360"/>
      </w:pPr>
      <w:rPr>
        <w:rFonts w:ascii="Courier New" w:hAnsi="Courier New" w:hint="default"/>
      </w:rPr>
    </w:lvl>
    <w:lvl w:ilvl="8" w:tplc="E5F20D52">
      <w:start w:val="1"/>
      <w:numFmt w:val="bullet"/>
      <w:lvlText w:val=""/>
      <w:lvlJc w:val="left"/>
      <w:pPr>
        <w:ind w:left="6480" w:hanging="360"/>
      </w:pPr>
      <w:rPr>
        <w:rFonts w:ascii="Wingdings" w:hAnsi="Wingdings" w:hint="default"/>
      </w:rPr>
    </w:lvl>
  </w:abstractNum>
  <w:abstractNum w:abstractNumId="25" w15:restartNumberingAfterBreak="0">
    <w:nsid w:val="7DA86A12"/>
    <w:multiLevelType w:val="hybridMultilevel"/>
    <w:tmpl w:val="E1A625A8"/>
    <w:lvl w:ilvl="0" w:tplc="9702CE1A">
      <w:start w:val="8"/>
      <w:numFmt w:val="bullet"/>
      <w:lvlText w:val="-"/>
      <w:lvlJc w:val="left"/>
      <w:pPr>
        <w:ind w:left="1080" w:hanging="360"/>
      </w:pPr>
      <w:rPr>
        <w:rFonts w:ascii="Calibri" w:eastAsiaTheme="minorEastAsia"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931816493">
    <w:abstractNumId w:val="20"/>
  </w:num>
  <w:num w:numId="2" w16cid:durableId="935285617">
    <w:abstractNumId w:val="11"/>
  </w:num>
  <w:num w:numId="3" w16cid:durableId="223179143">
    <w:abstractNumId w:val="2"/>
  </w:num>
  <w:num w:numId="4" w16cid:durableId="1052002931">
    <w:abstractNumId w:val="18"/>
  </w:num>
  <w:num w:numId="5" w16cid:durableId="1815294944">
    <w:abstractNumId w:val="19"/>
  </w:num>
  <w:num w:numId="6" w16cid:durableId="1300529011">
    <w:abstractNumId w:val="8"/>
  </w:num>
  <w:num w:numId="7" w16cid:durableId="885070140">
    <w:abstractNumId w:val="16"/>
  </w:num>
  <w:num w:numId="8" w16cid:durableId="640502068">
    <w:abstractNumId w:val="21"/>
  </w:num>
  <w:num w:numId="9" w16cid:durableId="150948840">
    <w:abstractNumId w:val="24"/>
  </w:num>
  <w:num w:numId="10" w16cid:durableId="1528522693">
    <w:abstractNumId w:val="6"/>
  </w:num>
  <w:num w:numId="11" w16cid:durableId="1742293781">
    <w:abstractNumId w:val="13"/>
  </w:num>
  <w:num w:numId="12" w16cid:durableId="1312948599">
    <w:abstractNumId w:val="1"/>
  </w:num>
  <w:num w:numId="13" w16cid:durableId="501549182">
    <w:abstractNumId w:val="10"/>
  </w:num>
  <w:num w:numId="14" w16cid:durableId="1035153228">
    <w:abstractNumId w:val="4"/>
  </w:num>
  <w:num w:numId="15" w16cid:durableId="213351765">
    <w:abstractNumId w:val="23"/>
  </w:num>
  <w:num w:numId="16" w16cid:durableId="1867599548">
    <w:abstractNumId w:val="0"/>
  </w:num>
  <w:num w:numId="17" w16cid:durableId="2032950767">
    <w:abstractNumId w:val="14"/>
  </w:num>
  <w:num w:numId="18" w16cid:durableId="129439779">
    <w:abstractNumId w:val="22"/>
  </w:num>
  <w:num w:numId="19" w16cid:durableId="624850613">
    <w:abstractNumId w:val="3"/>
  </w:num>
  <w:num w:numId="20" w16cid:durableId="1184831398">
    <w:abstractNumId w:val="9"/>
  </w:num>
  <w:num w:numId="21" w16cid:durableId="686369132">
    <w:abstractNumId w:val="17"/>
  </w:num>
  <w:num w:numId="22" w16cid:durableId="473452066">
    <w:abstractNumId w:val="25"/>
  </w:num>
  <w:num w:numId="23" w16cid:durableId="81724235">
    <w:abstractNumId w:val="12"/>
  </w:num>
  <w:num w:numId="24" w16cid:durableId="257373649">
    <w:abstractNumId w:val="5"/>
  </w:num>
  <w:num w:numId="25" w16cid:durableId="579365681">
    <w:abstractNumId w:val="15"/>
  </w:num>
  <w:num w:numId="26" w16cid:durableId="837576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6B1"/>
    <w:rsid w:val="00006964"/>
    <w:rsid w:val="000121B8"/>
    <w:rsid w:val="0001298F"/>
    <w:rsid w:val="00012D14"/>
    <w:rsid w:val="000158E7"/>
    <w:rsid w:val="000163B8"/>
    <w:rsid w:val="000228DF"/>
    <w:rsid w:val="0002486A"/>
    <w:rsid w:val="00026DB8"/>
    <w:rsid w:val="00026E43"/>
    <w:rsid w:val="00032B48"/>
    <w:rsid w:val="00045F27"/>
    <w:rsid w:val="00047491"/>
    <w:rsid w:val="00052B78"/>
    <w:rsid w:val="00053A2C"/>
    <w:rsid w:val="0005597D"/>
    <w:rsid w:val="00055C69"/>
    <w:rsid w:val="000610C1"/>
    <w:rsid w:val="00064F00"/>
    <w:rsid w:val="00080965"/>
    <w:rsid w:val="000830FC"/>
    <w:rsid w:val="00087A7C"/>
    <w:rsid w:val="0009028E"/>
    <w:rsid w:val="00092B9B"/>
    <w:rsid w:val="000A0AA3"/>
    <w:rsid w:val="000A0E10"/>
    <w:rsid w:val="000A487F"/>
    <w:rsid w:val="000A7666"/>
    <w:rsid w:val="000A7AB5"/>
    <w:rsid w:val="000B091B"/>
    <w:rsid w:val="000B15E6"/>
    <w:rsid w:val="000B5C14"/>
    <w:rsid w:val="000B7728"/>
    <w:rsid w:val="000C0070"/>
    <w:rsid w:val="000C0AC2"/>
    <w:rsid w:val="000C1E0A"/>
    <w:rsid w:val="000C6B99"/>
    <w:rsid w:val="000D2F52"/>
    <w:rsid w:val="000D334E"/>
    <w:rsid w:val="000D4692"/>
    <w:rsid w:val="000D69ED"/>
    <w:rsid w:val="000E141D"/>
    <w:rsid w:val="000E2A30"/>
    <w:rsid w:val="000E3BA4"/>
    <w:rsid w:val="000E5BB0"/>
    <w:rsid w:val="000F0468"/>
    <w:rsid w:val="000F6416"/>
    <w:rsid w:val="00102FFB"/>
    <w:rsid w:val="001054E2"/>
    <w:rsid w:val="00107AC9"/>
    <w:rsid w:val="001115EE"/>
    <w:rsid w:val="001138CF"/>
    <w:rsid w:val="00116794"/>
    <w:rsid w:val="001247C1"/>
    <w:rsid w:val="001252D8"/>
    <w:rsid w:val="001275A4"/>
    <w:rsid w:val="00130468"/>
    <w:rsid w:val="001329A9"/>
    <w:rsid w:val="00133748"/>
    <w:rsid w:val="00134F3F"/>
    <w:rsid w:val="00137643"/>
    <w:rsid w:val="001377CB"/>
    <w:rsid w:val="00141180"/>
    <w:rsid w:val="00141812"/>
    <w:rsid w:val="001435E2"/>
    <w:rsid w:val="001446E3"/>
    <w:rsid w:val="0015025F"/>
    <w:rsid w:val="00151363"/>
    <w:rsid w:val="00152F0D"/>
    <w:rsid w:val="00156C8A"/>
    <w:rsid w:val="00157FCC"/>
    <w:rsid w:val="001621B4"/>
    <w:rsid w:val="001654E5"/>
    <w:rsid w:val="00167FFD"/>
    <w:rsid w:val="00173115"/>
    <w:rsid w:val="00176F76"/>
    <w:rsid w:val="00177D4B"/>
    <w:rsid w:val="001841AD"/>
    <w:rsid w:val="00187226"/>
    <w:rsid w:val="00190276"/>
    <w:rsid w:val="00195485"/>
    <w:rsid w:val="00197B3F"/>
    <w:rsid w:val="001A0321"/>
    <w:rsid w:val="001A3438"/>
    <w:rsid w:val="001A6EFB"/>
    <w:rsid w:val="001A72A0"/>
    <w:rsid w:val="001B0696"/>
    <w:rsid w:val="001B117B"/>
    <w:rsid w:val="001B1422"/>
    <w:rsid w:val="001B2258"/>
    <w:rsid w:val="001B78D5"/>
    <w:rsid w:val="001C1D22"/>
    <w:rsid w:val="001C283E"/>
    <w:rsid w:val="001C3074"/>
    <w:rsid w:val="001C74C0"/>
    <w:rsid w:val="001C7A90"/>
    <w:rsid w:val="001C7C50"/>
    <w:rsid w:val="001D064D"/>
    <w:rsid w:val="001D13A5"/>
    <w:rsid w:val="001D238C"/>
    <w:rsid w:val="001D745F"/>
    <w:rsid w:val="001E061E"/>
    <w:rsid w:val="001E4C3F"/>
    <w:rsid w:val="001E5406"/>
    <w:rsid w:val="001E7390"/>
    <w:rsid w:val="001F05BD"/>
    <w:rsid w:val="001F070E"/>
    <w:rsid w:val="001F092B"/>
    <w:rsid w:val="001F23A9"/>
    <w:rsid w:val="001F247F"/>
    <w:rsid w:val="001F342B"/>
    <w:rsid w:val="001F3FC3"/>
    <w:rsid w:val="001F58D6"/>
    <w:rsid w:val="00204659"/>
    <w:rsid w:val="00206C26"/>
    <w:rsid w:val="00212F6F"/>
    <w:rsid w:val="00213407"/>
    <w:rsid w:val="00213CFA"/>
    <w:rsid w:val="002218D0"/>
    <w:rsid w:val="00222BBB"/>
    <w:rsid w:val="00222D4C"/>
    <w:rsid w:val="002321AD"/>
    <w:rsid w:val="0023397E"/>
    <w:rsid w:val="00234869"/>
    <w:rsid w:val="00236F2E"/>
    <w:rsid w:val="002456F2"/>
    <w:rsid w:val="002510EB"/>
    <w:rsid w:val="00253B38"/>
    <w:rsid w:val="00255BAB"/>
    <w:rsid w:val="0025784E"/>
    <w:rsid w:val="00260F5C"/>
    <w:rsid w:val="00261E34"/>
    <w:rsid w:val="00270DAA"/>
    <w:rsid w:val="002757F9"/>
    <w:rsid w:val="00276A2B"/>
    <w:rsid w:val="00276E4B"/>
    <w:rsid w:val="00280A5A"/>
    <w:rsid w:val="00280C77"/>
    <w:rsid w:val="00281186"/>
    <w:rsid w:val="00283227"/>
    <w:rsid w:val="00285290"/>
    <w:rsid w:val="00286C4C"/>
    <w:rsid w:val="002915FF"/>
    <w:rsid w:val="0029206C"/>
    <w:rsid w:val="002923BE"/>
    <w:rsid w:val="002927C8"/>
    <w:rsid w:val="00296E73"/>
    <w:rsid w:val="002971EE"/>
    <w:rsid w:val="002A16B1"/>
    <w:rsid w:val="002A4ADC"/>
    <w:rsid w:val="002A5328"/>
    <w:rsid w:val="002A5EB1"/>
    <w:rsid w:val="002B352C"/>
    <w:rsid w:val="002B4544"/>
    <w:rsid w:val="002B5430"/>
    <w:rsid w:val="002C07E9"/>
    <w:rsid w:val="002C0DAF"/>
    <w:rsid w:val="002C2297"/>
    <w:rsid w:val="002D4FEE"/>
    <w:rsid w:val="002D5356"/>
    <w:rsid w:val="002D64C2"/>
    <w:rsid w:val="002D7AE3"/>
    <w:rsid w:val="002E12CF"/>
    <w:rsid w:val="002E137B"/>
    <w:rsid w:val="002E1D08"/>
    <w:rsid w:val="002E3870"/>
    <w:rsid w:val="002F2EBD"/>
    <w:rsid w:val="002F685D"/>
    <w:rsid w:val="002F6B28"/>
    <w:rsid w:val="00302B50"/>
    <w:rsid w:val="003044B8"/>
    <w:rsid w:val="00304D99"/>
    <w:rsid w:val="00305224"/>
    <w:rsid w:val="00310441"/>
    <w:rsid w:val="00312CA1"/>
    <w:rsid w:val="00314B55"/>
    <w:rsid w:val="00315A3B"/>
    <w:rsid w:val="003229CD"/>
    <w:rsid w:val="00325CA9"/>
    <w:rsid w:val="0032619C"/>
    <w:rsid w:val="0032758F"/>
    <w:rsid w:val="00331D69"/>
    <w:rsid w:val="00341965"/>
    <w:rsid w:val="00342208"/>
    <w:rsid w:val="0034485C"/>
    <w:rsid w:val="00345F76"/>
    <w:rsid w:val="003471BE"/>
    <w:rsid w:val="00350A5C"/>
    <w:rsid w:val="00351C0D"/>
    <w:rsid w:val="00352F9A"/>
    <w:rsid w:val="0035331E"/>
    <w:rsid w:val="00356DE8"/>
    <w:rsid w:val="00357138"/>
    <w:rsid w:val="0036310A"/>
    <w:rsid w:val="003651A0"/>
    <w:rsid w:val="00370901"/>
    <w:rsid w:val="003714BF"/>
    <w:rsid w:val="003769ED"/>
    <w:rsid w:val="003769F7"/>
    <w:rsid w:val="00377271"/>
    <w:rsid w:val="00380C83"/>
    <w:rsid w:val="00383915"/>
    <w:rsid w:val="00396E82"/>
    <w:rsid w:val="00397119"/>
    <w:rsid w:val="003A03D8"/>
    <w:rsid w:val="003A048D"/>
    <w:rsid w:val="003A33CC"/>
    <w:rsid w:val="003A4350"/>
    <w:rsid w:val="003A7EA0"/>
    <w:rsid w:val="003C07B8"/>
    <w:rsid w:val="003C2060"/>
    <w:rsid w:val="003C393F"/>
    <w:rsid w:val="003C71BF"/>
    <w:rsid w:val="003C7950"/>
    <w:rsid w:val="003D3B07"/>
    <w:rsid w:val="003D5C3D"/>
    <w:rsid w:val="003D6694"/>
    <w:rsid w:val="003D743E"/>
    <w:rsid w:val="003E029C"/>
    <w:rsid w:val="003E0412"/>
    <w:rsid w:val="003E050D"/>
    <w:rsid w:val="003F257B"/>
    <w:rsid w:val="003F35F9"/>
    <w:rsid w:val="003F4365"/>
    <w:rsid w:val="003F6114"/>
    <w:rsid w:val="003F64CF"/>
    <w:rsid w:val="0040238E"/>
    <w:rsid w:val="004042C4"/>
    <w:rsid w:val="00405588"/>
    <w:rsid w:val="00412A0D"/>
    <w:rsid w:val="0041427C"/>
    <w:rsid w:val="004156D7"/>
    <w:rsid w:val="00416BB4"/>
    <w:rsid w:val="004173B1"/>
    <w:rsid w:val="00420660"/>
    <w:rsid w:val="004236C4"/>
    <w:rsid w:val="00423B0F"/>
    <w:rsid w:val="00425F79"/>
    <w:rsid w:val="0043149A"/>
    <w:rsid w:val="00432968"/>
    <w:rsid w:val="004350BE"/>
    <w:rsid w:val="00435420"/>
    <w:rsid w:val="004368EB"/>
    <w:rsid w:val="004378D6"/>
    <w:rsid w:val="004418D3"/>
    <w:rsid w:val="00446A29"/>
    <w:rsid w:val="00450F26"/>
    <w:rsid w:val="00463C0E"/>
    <w:rsid w:val="00465800"/>
    <w:rsid w:val="00466610"/>
    <w:rsid w:val="00466D36"/>
    <w:rsid w:val="0046771D"/>
    <w:rsid w:val="004733F2"/>
    <w:rsid w:val="00473433"/>
    <w:rsid w:val="00475960"/>
    <w:rsid w:val="00482C21"/>
    <w:rsid w:val="00483B50"/>
    <w:rsid w:val="00485971"/>
    <w:rsid w:val="0048704F"/>
    <w:rsid w:val="004914D3"/>
    <w:rsid w:val="0049357C"/>
    <w:rsid w:val="004968F9"/>
    <w:rsid w:val="00497268"/>
    <w:rsid w:val="00497F63"/>
    <w:rsid w:val="004A207D"/>
    <w:rsid w:val="004A3AA2"/>
    <w:rsid w:val="004C03E5"/>
    <w:rsid w:val="004C0603"/>
    <w:rsid w:val="004C2173"/>
    <w:rsid w:val="004C3331"/>
    <w:rsid w:val="004C6BF4"/>
    <w:rsid w:val="004D0D0B"/>
    <w:rsid w:val="004D2650"/>
    <w:rsid w:val="004D305B"/>
    <w:rsid w:val="004D3366"/>
    <w:rsid w:val="004D4267"/>
    <w:rsid w:val="004D6479"/>
    <w:rsid w:val="004D6EBF"/>
    <w:rsid w:val="004E058D"/>
    <w:rsid w:val="004E1B8F"/>
    <w:rsid w:val="004E4656"/>
    <w:rsid w:val="004E7590"/>
    <w:rsid w:val="004E7CA5"/>
    <w:rsid w:val="004F3486"/>
    <w:rsid w:val="004F44F5"/>
    <w:rsid w:val="004F744B"/>
    <w:rsid w:val="004F7AB5"/>
    <w:rsid w:val="00500223"/>
    <w:rsid w:val="0050464D"/>
    <w:rsid w:val="00506383"/>
    <w:rsid w:val="00510856"/>
    <w:rsid w:val="00510F45"/>
    <w:rsid w:val="0051213B"/>
    <w:rsid w:val="005130CA"/>
    <w:rsid w:val="0051470B"/>
    <w:rsid w:val="00515128"/>
    <w:rsid w:val="00516961"/>
    <w:rsid w:val="00520C20"/>
    <w:rsid w:val="00523A56"/>
    <w:rsid w:val="00523F8A"/>
    <w:rsid w:val="00524913"/>
    <w:rsid w:val="00527779"/>
    <w:rsid w:val="00536BA0"/>
    <w:rsid w:val="00540A96"/>
    <w:rsid w:val="00540F93"/>
    <w:rsid w:val="0054256F"/>
    <w:rsid w:val="0054274A"/>
    <w:rsid w:val="00542B43"/>
    <w:rsid w:val="00544455"/>
    <w:rsid w:val="005460F3"/>
    <w:rsid w:val="00546E20"/>
    <w:rsid w:val="00553AF8"/>
    <w:rsid w:val="00557ACD"/>
    <w:rsid w:val="00563806"/>
    <w:rsid w:val="005641AF"/>
    <w:rsid w:val="005662D0"/>
    <w:rsid w:val="00567017"/>
    <w:rsid w:val="005677A8"/>
    <w:rsid w:val="00571D3D"/>
    <w:rsid w:val="00576D45"/>
    <w:rsid w:val="00577C31"/>
    <w:rsid w:val="00580831"/>
    <w:rsid w:val="005864E9"/>
    <w:rsid w:val="00590AB7"/>
    <w:rsid w:val="005926C6"/>
    <w:rsid w:val="00593C85"/>
    <w:rsid w:val="00596D72"/>
    <w:rsid w:val="00597FDD"/>
    <w:rsid w:val="005A0925"/>
    <w:rsid w:val="005A23B8"/>
    <w:rsid w:val="005A3DC7"/>
    <w:rsid w:val="005A6BE2"/>
    <w:rsid w:val="005A7F26"/>
    <w:rsid w:val="005B2502"/>
    <w:rsid w:val="005B39D9"/>
    <w:rsid w:val="005C0CCF"/>
    <w:rsid w:val="005C1113"/>
    <w:rsid w:val="005C5FF5"/>
    <w:rsid w:val="005C6F32"/>
    <w:rsid w:val="005D0505"/>
    <w:rsid w:val="005D483D"/>
    <w:rsid w:val="005D6063"/>
    <w:rsid w:val="005E1A29"/>
    <w:rsid w:val="005E47F3"/>
    <w:rsid w:val="005E4A67"/>
    <w:rsid w:val="005E7523"/>
    <w:rsid w:val="005E7EAE"/>
    <w:rsid w:val="005F3140"/>
    <w:rsid w:val="005F6C6C"/>
    <w:rsid w:val="00601C75"/>
    <w:rsid w:val="00602327"/>
    <w:rsid w:val="006028ED"/>
    <w:rsid w:val="00604B68"/>
    <w:rsid w:val="00607B49"/>
    <w:rsid w:val="006102D9"/>
    <w:rsid w:val="006113DF"/>
    <w:rsid w:val="00616976"/>
    <w:rsid w:val="00617B51"/>
    <w:rsid w:val="00621F10"/>
    <w:rsid w:val="00621FE6"/>
    <w:rsid w:val="0062325A"/>
    <w:rsid w:val="006248C9"/>
    <w:rsid w:val="00626BF8"/>
    <w:rsid w:val="00627747"/>
    <w:rsid w:val="006315B3"/>
    <w:rsid w:val="006322D0"/>
    <w:rsid w:val="00633DD5"/>
    <w:rsid w:val="00636851"/>
    <w:rsid w:val="00637B45"/>
    <w:rsid w:val="006405E7"/>
    <w:rsid w:val="00641CC1"/>
    <w:rsid w:val="0064251B"/>
    <w:rsid w:val="006446BE"/>
    <w:rsid w:val="00644A53"/>
    <w:rsid w:val="00646EDF"/>
    <w:rsid w:val="00651329"/>
    <w:rsid w:val="0065496C"/>
    <w:rsid w:val="006575DE"/>
    <w:rsid w:val="00663C42"/>
    <w:rsid w:val="00664891"/>
    <w:rsid w:val="006649C9"/>
    <w:rsid w:val="00666C38"/>
    <w:rsid w:val="00667279"/>
    <w:rsid w:val="00671689"/>
    <w:rsid w:val="006759FB"/>
    <w:rsid w:val="00681C51"/>
    <w:rsid w:val="00683A65"/>
    <w:rsid w:val="006846DA"/>
    <w:rsid w:val="0068490D"/>
    <w:rsid w:val="006856AC"/>
    <w:rsid w:val="006862F4"/>
    <w:rsid w:val="00687521"/>
    <w:rsid w:val="0069323B"/>
    <w:rsid w:val="006937B2"/>
    <w:rsid w:val="006941D2"/>
    <w:rsid w:val="006971D4"/>
    <w:rsid w:val="00697A36"/>
    <w:rsid w:val="006A1873"/>
    <w:rsid w:val="006B2179"/>
    <w:rsid w:val="006C083F"/>
    <w:rsid w:val="006C2519"/>
    <w:rsid w:val="006C2DD8"/>
    <w:rsid w:val="006C3695"/>
    <w:rsid w:val="006C7019"/>
    <w:rsid w:val="006D048B"/>
    <w:rsid w:val="006D0B4E"/>
    <w:rsid w:val="006D1C07"/>
    <w:rsid w:val="006D2FE9"/>
    <w:rsid w:val="006D508A"/>
    <w:rsid w:val="006E03A0"/>
    <w:rsid w:val="006E129A"/>
    <w:rsid w:val="006E16E0"/>
    <w:rsid w:val="006E193F"/>
    <w:rsid w:val="006E31D8"/>
    <w:rsid w:val="006E402F"/>
    <w:rsid w:val="006E6906"/>
    <w:rsid w:val="006E6B65"/>
    <w:rsid w:val="006F1AEA"/>
    <w:rsid w:val="006F1F17"/>
    <w:rsid w:val="006F2EDF"/>
    <w:rsid w:val="00702A5B"/>
    <w:rsid w:val="0070313F"/>
    <w:rsid w:val="00714490"/>
    <w:rsid w:val="00714E02"/>
    <w:rsid w:val="007169A0"/>
    <w:rsid w:val="00722355"/>
    <w:rsid w:val="007226C0"/>
    <w:rsid w:val="007229FE"/>
    <w:rsid w:val="00727415"/>
    <w:rsid w:val="00730356"/>
    <w:rsid w:val="00730BF1"/>
    <w:rsid w:val="00733ACE"/>
    <w:rsid w:val="00734C2A"/>
    <w:rsid w:val="0073745E"/>
    <w:rsid w:val="00737811"/>
    <w:rsid w:val="00740217"/>
    <w:rsid w:val="0074037E"/>
    <w:rsid w:val="00744161"/>
    <w:rsid w:val="00746C21"/>
    <w:rsid w:val="00750CDC"/>
    <w:rsid w:val="0075228D"/>
    <w:rsid w:val="007535CC"/>
    <w:rsid w:val="00753E83"/>
    <w:rsid w:val="00754049"/>
    <w:rsid w:val="00756604"/>
    <w:rsid w:val="00756849"/>
    <w:rsid w:val="0075767F"/>
    <w:rsid w:val="0075A45F"/>
    <w:rsid w:val="00760EAB"/>
    <w:rsid w:val="00762663"/>
    <w:rsid w:val="00763EE0"/>
    <w:rsid w:val="007673F0"/>
    <w:rsid w:val="007720FC"/>
    <w:rsid w:val="0077439C"/>
    <w:rsid w:val="00775548"/>
    <w:rsid w:val="00776E97"/>
    <w:rsid w:val="00781D63"/>
    <w:rsid w:val="00781DBD"/>
    <w:rsid w:val="00781EAD"/>
    <w:rsid w:val="00783590"/>
    <w:rsid w:val="007839FB"/>
    <w:rsid w:val="00784E7D"/>
    <w:rsid w:val="00787246"/>
    <w:rsid w:val="00791352"/>
    <w:rsid w:val="00791B44"/>
    <w:rsid w:val="00791D2C"/>
    <w:rsid w:val="007927F7"/>
    <w:rsid w:val="00795D0E"/>
    <w:rsid w:val="007A4897"/>
    <w:rsid w:val="007A5D4E"/>
    <w:rsid w:val="007A6569"/>
    <w:rsid w:val="007A738B"/>
    <w:rsid w:val="007A73ED"/>
    <w:rsid w:val="007A7D3B"/>
    <w:rsid w:val="007B04F6"/>
    <w:rsid w:val="007B1F47"/>
    <w:rsid w:val="007B25F8"/>
    <w:rsid w:val="007B2B5F"/>
    <w:rsid w:val="007B4BB0"/>
    <w:rsid w:val="007B60E9"/>
    <w:rsid w:val="007C27C6"/>
    <w:rsid w:val="007D0032"/>
    <w:rsid w:val="007D442A"/>
    <w:rsid w:val="007E1DC9"/>
    <w:rsid w:val="007E20A9"/>
    <w:rsid w:val="007E2766"/>
    <w:rsid w:val="007E3E70"/>
    <w:rsid w:val="007E4137"/>
    <w:rsid w:val="007E4149"/>
    <w:rsid w:val="007E5DDA"/>
    <w:rsid w:val="007F5633"/>
    <w:rsid w:val="007F5D1F"/>
    <w:rsid w:val="00801230"/>
    <w:rsid w:val="0080262C"/>
    <w:rsid w:val="00813021"/>
    <w:rsid w:val="00813C3B"/>
    <w:rsid w:val="0081456C"/>
    <w:rsid w:val="00814B0E"/>
    <w:rsid w:val="00824966"/>
    <w:rsid w:val="008257E0"/>
    <w:rsid w:val="00827A85"/>
    <w:rsid w:val="00830195"/>
    <w:rsid w:val="0083134F"/>
    <w:rsid w:val="0083383B"/>
    <w:rsid w:val="008342F5"/>
    <w:rsid w:val="00834EDB"/>
    <w:rsid w:val="00835233"/>
    <w:rsid w:val="00841756"/>
    <w:rsid w:val="0084403E"/>
    <w:rsid w:val="00850459"/>
    <w:rsid w:val="00850804"/>
    <w:rsid w:val="0085224C"/>
    <w:rsid w:val="008641B9"/>
    <w:rsid w:val="008648DD"/>
    <w:rsid w:val="00866C22"/>
    <w:rsid w:val="0087414A"/>
    <w:rsid w:val="008817EB"/>
    <w:rsid w:val="00881DAC"/>
    <w:rsid w:val="00886487"/>
    <w:rsid w:val="008912F0"/>
    <w:rsid w:val="00892BF8"/>
    <w:rsid w:val="00894E3D"/>
    <w:rsid w:val="00895DF2"/>
    <w:rsid w:val="00896088"/>
    <w:rsid w:val="008970AA"/>
    <w:rsid w:val="00897EC0"/>
    <w:rsid w:val="008A10D8"/>
    <w:rsid w:val="008A1769"/>
    <w:rsid w:val="008A7CB3"/>
    <w:rsid w:val="008B093C"/>
    <w:rsid w:val="008B0A43"/>
    <w:rsid w:val="008B1521"/>
    <w:rsid w:val="008B35E5"/>
    <w:rsid w:val="008B77BD"/>
    <w:rsid w:val="008C03AC"/>
    <w:rsid w:val="008C0936"/>
    <w:rsid w:val="008C0A29"/>
    <w:rsid w:val="008C4431"/>
    <w:rsid w:val="008C674E"/>
    <w:rsid w:val="008C770D"/>
    <w:rsid w:val="008C7E7B"/>
    <w:rsid w:val="008D5CEC"/>
    <w:rsid w:val="008D6DC6"/>
    <w:rsid w:val="008E04CA"/>
    <w:rsid w:val="008E2B22"/>
    <w:rsid w:val="008E394A"/>
    <w:rsid w:val="008E45C6"/>
    <w:rsid w:val="008F1A69"/>
    <w:rsid w:val="008F2B80"/>
    <w:rsid w:val="008F33F6"/>
    <w:rsid w:val="008F3657"/>
    <w:rsid w:val="008F45A0"/>
    <w:rsid w:val="008F735A"/>
    <w:rsid w:val="00900E95"/>
    <w:rsid w:val="009027CD"/>
    <w:rsid w:val="0090308C"/>
    <w:rsid w:val="0090527F"/>
    <w:rsid w:val="009056DD"/>
    <w:rsid w:val="00906088"/>
    <w:rsid w:val="00907ABC"/>
    <w:rsid w:val="00907E1B"/>
    <w:rsid w:val="00913260"/>
    <w:rsid w:val="00913E15"/>
    <w:rsid w:val="00916F12"/>
    <w:rsid w:val="009204D7"/>
    <w:rsid w:val="00924FD7"/>
    <w:rsid w:val="00932813"/>
    <w:rsid w:val="009350F5"/>
    <w:rsid w:val="0093712D"/>
    <w:rsid w:val="009464FB"/>
    <w:rsid w:val="00947962"/>
    <w:rsid w:val="00950704"/>
    <w:rsid w:val="009510EB"/>
    <w:rsid w:val="00953306"/>
    <w:rsid w:val="0095403E"/>
    <w:rsid w:val="00955090"/>
    <w:rsid w:val="00960F9A"/>
    <w:rsid w:val="00962C9C"/>
    <w:rsid w:val="0096699A"/>
    <w:rsid w:val="00966D7A"/>
    <w:rsid w:val="00967980"/>
    <w:rsid w:val="009704AD"/>
    <w:rsid w:val="00971868"/>
    <w:rsid w:val="009721B3"/>
    <w:rsid w:val="009721FD"/>
    <w:rsid w:val="009729D4"/>
    <w:rsid w:val="00975A7E"/>
    <w:rsid w:val="00976272"/>
    <w:rsid w:val="00976B7C"/>
    <w:rsid w:val="00977A4A"/>
    <w:rsid w:val="0098112D"/>
    <w:rsid w:val="00981405"/>
    <w:rsid w:val="009836E3"/>
    <w:rsid w:val="00985D01"/>
    <w:rsid w:val="009875EE"/>
    <w:rsid w:val="009902C8"/>
    <w:rsid w:val="00997F1C"/>
    <w:rsid w:val="009A14DA"/>
    <w:rsid w:val="009B03FF"/>
    <w:rsid w:val="009B0B28"/>
    <w:rsid w:val="009B2F34"/>
    <w:rsid w:val="009B492C"/>
    <w:rsid w:val="009B4C3C"/>
    <w:rsid w:val="009B776E"/>
    <w:rsid w:val="009C1F4B"/>
    <w:rsid w:val="009C4D53"/>
    <w:rsid w:val="009C5793"/>
    <w:rsid w:val="009C69A3"/>
    <w:rsid w:val="009C6BBD"/>
    <w:rsid w:val="009D199C"/>
    <w:rsid w:val="009D2909"/>
    <w:rsid w:val="009D3D7A"/>
    <w:rsid w:val="009D46B6"/>
    <w:rsid w:val="009D49E6"/>
    <w:rsid w:val="009D4FFE"/>
    <w:rsid w:val="009D7E37"/>
    <w:rsid w:val="009E0738"/>
    <w:rsid w:val="009E3AE0"/>
    <w:rsid w:val="009E3C0F"/>
    <w:rsid w:val="009E5186"/>
    <w:rsid w:val="009E5899"/>
    <w:rsid w:val="009F04AC"/>
    <w:rsid w:val="009F0527"/>
    <w:rsid w:val="009F3B3F"/>
    <w:rsid w:val="009F4FA2"/>
    <w:rsid w:val="009F7E9B"/>
    <w:rsid w:val="00A026FD"/>
    <w:rsid w:val="00A048A0"/>
    <w:rsid w:val="00A10038"/>
    <w:rsid w:val="00A10388"/>
    <w:rsid w:val="00A11CD6"/>
    <w:rsid w:val="00A1321E"/>
    <w:rsid w:val="00A23E7B"/>
    <w:rsid w:val="00A331B3"/>
    <w:rsid w:val="00A33990"/>
    <w:rsid w:val="00A33A9B"/>
    <w:rsid w:val="00A36D9D"/>
    <w:rsid w:val="00A41E7D"/>
    <w:rsid w:val="00A43190"/>
    <w:rsid w:val="00A452D8"/>
    <w:rsid w:val="00A457A4"/>
    <w:rsid w:val="00A46830"/>
    <w:rsid w:val="00A5168C"/>
    <w:rsid w:val="00A5390F"/>
    <w:rsid w:val="00A60EC4"/>
    <w:rsid w:val="00A624C1"/>
    <w:rsid w:val="00A63139"/>
    <w:rsid w:val="00A63CC6"/>
    <w:rsid w:val="00A66C09"/>
    <w:rsid w:val="00A66D81"/>
    <w:rsid w:val="00A67911"/>
    <w:rsid w:val="00A7048C"/>
    <w:rsid w:val="00A7206E"/>
    <w:rsid w:val="00A7617E"/>
    <w:rsid w:val="00A766BC"/>
    <w:rsid w:val="00A76DE2"/>
    <w:rsid w:val="00A77922"/>
    <w:rsid w:val="00A82927"/>
    <w:rsid w:val="00A84828"/>
    <w:rsid w:val="00A84865"/>
    <w:rsid w:val="00A877E3"/>
    <w:rsid w:val="00A90AF3"/>
    <w:rsid w:val="00A913F6"/>
    <w:rsid w:val="00A92519"/>
    <w:rsid w:val="00A930CF"/>
    <w:rsid w:val="00AA082A"/>
    <w:rsid w:val="00AA1F13"/>
    <w:rsid w:val="00AB0B70"/>
    <w:rsid w:val="00AB2CCB"/>
    <w:rsid w:val="00AB6E0F"/>
    <w:rsid w:val="00AC26DB"/>
    <w:rsid w:val="00AC4B0F"/>
    <w:rsid w:val="00AC52F5"/>
    <w:rsid w:val="00AC54F9"/>
    <w:rsid w:val="00AC78E6"/>
    <w:rsid w:val="00AD190D"/>
    <w:rsid w:val="00AD2CA2"/>
    <w:rsid w:val="00AD328C"/>
    <w:rsid w:val="00AD749A"/>
    <w:rsid w:val="00AE15A7"/>
    <w:rsid w:val="00AE37E1"/>
    <w:rsid w:val="00AE6D6A"/>
    <w:rsid w:val="00AE71C5"/>
    <w:rsid w:val="00AF0FD6"/>
    <w:rsid w:val="00AF196F"/>
    <w:rsid w:val="00AF333F"/>
    <w:rsid w:val="00B00686"/>
    <w:rsid w:val="00B04D90"/>
    <w:rsid w:val="00B06218"/>
    <w:rsid w:val="00B06EDE"/>
    <w:rsid w:val="00B07C21"/>
    <w:rsid w:val="00B12E39"/>
    <w:rsid w:val="00B13EAE"/>
    <w:rsid w:val="00B14BA2"/>
    <w:rsid w:val="00B15E2A"/>
    <w:rsid w:val="00B243C9"/>
    <w:rsid w:val="00B246EC"/>
    <w:rsid w:val="00B3064F"/>
    <w:rsid w:val="00B34113"/>
    <w:rsid w:val="00B3469F"/>
    <w:rsid w:val="00B352F9"/>
    <w:rsid w:val="00B366BA"/>
    <w:rsid w:val="00B36EAC"/>
    <w:rsid w:val="00B403E9"/>
    <w:rsid w:val="00B414B9"/>
    <w:rsid w:val="00B41B80"/>
    <w:rsid w:val="00B4689F"/>
    <w:rsid w:val="00B46AC8"/>
    <w:rsid w:val="00B46C5C"/>
    <w:rsid w:val="00B5078F"/>
    <w:rsid w:val="00B550F7"/>
    <w:rsid w:val="00B573FA"/>
    <w:rsid w:val="00B5759F"/>
    <w:rsid w:val="00B62AE2"/>
    <w:rsid w:val="00B63400"/>
    <w:rsid w:val="00B64E08"/>
    <w:rsid w:val="00B660B5"/>
    <w:rsid w:val="00B67A6C"/>
    <w:rsid w:val="00B7422A"/>
    <w:rsid w:val="00B76CEA"/>
    <w:rsid w:val="00B776AC"/>
    <w:rsid w:val="00B849B2"/>
    <w:rsid w:val="00B90D74"/>
    <w:rsid w:val="00B90E43"/>
    <w:rsid w:val="00B919B5"/>
    <w:rsid w:val="00B919DC"/>
    <w:rsid w:val="00B92B19"/>
    <w:rsid w:val="00B9752D"/>
    <w:rsid w:val="00BA126A"/>
    <w:rsid w:val="00BA1DD5"/>
    <w:rsid w:val="00BA2FFD"/>
    <w:rsid w:val="00BA5B8D"/>
    <w:rsid w:val="00BB385F"/>
    <w:rsid w:val="00BB42E5"/>
    <w:rsid w:val="00BB5CC4"/>
    <w:rsid w:val="00BC1075"/>
    <w:rsid w:val="00BC1E4E"/>
    <w:rsid w:val="00BC2533"/>
    <w:rsid w:val="00BC5500"/>
    <w:rsid w:val="00BC61E7"/>
    <w:rsid w:val="00BC6E08"/>
    <w:rsid w:val="00BD2E81"/>
    <w:rsid w:val="00BD309F"/>
    <w:rsid w:val="00BD3C05"/>
    <w:rsid w:val="00BD66EC"/>
    <w:rsid w:val="00BD76C1"/>
    <w:rsid w:val="00BE2F59"/>
    <w:rsid w:val="00BF4A93"/>
    <w:rsid w:val="00BF7352"/>
    <w:rsid w:val="00BF78F6"/>
    <w:rsid w:val="00C00687"/>
    <w:rsid w:val="00C027FC"/>
    <w:rsid w:val="00C03E39"/>
    <w:rsid w:val="00C04238"/>
    <w:rsid w:val="00C10C1D"/>
    <w:rsid w:val="00C10D21"/>
    <w:rsid w:val="00C12200"/>
    <w:rsid w:val="00C14636"/>
    <w:rsid w:val="00C15D9B"/>
    <w:rsid w:val="00C16239"/>
    <w:rsid w:val="00C1652B"/>
    <w:rsid w:val="00C31820"/>
    <w:rsid w:val="00C3212D"/>
    <w:rsid w:val="00C35FD9"/>
    <w:rsid w:val="00C367BE"/>
    <w:rsid w:val="00C42074"/>
    <w:rsid w:val="00C42C20"/>
    <w:rsid w:val="00C44127"/>
    <w:rsid w:val="00C45ECE"/>
    <w:rsid w:val="00C52CA8"/>
    <w:rsid w:val="00C5436B"/>
    <w:rsid w:val="00C567F2"/>
    <w:rsid w:val="00C62049"/>
    <w:rsid w:val="00C621D0"/>
    <w:rsid w:val="00C6692E"/>
    <w:rsid w:val="00C67977"/>
    <w:rsid w:val="00C740A2"/>
    <w:rsid w:val="00C756F5"/>
    <w:rsid w:val="00C76B07"/>
    <w:rsid w:val="00C76C5F"/>
    <w:rsid w:val="00C76E2F"/>
    <w:rsid w:val="00C82591"/>
    <w:rsid w:val="00C83FB6"/>
    <w:rsid w:val="00C84275"/>
    <w:rsid w:val="00C859B6"/>
    <w:rsid w:val="00C872D4"/>
    <w:rsid w:val="00C87D33"/>
    <w:rsid w:val="00C932C7"/>
    <w:rsid w:val="00C934A9"/>
    <w:rsid w:val="00C96C51"/>
    <w:rsid w:val="00CA074F"/>
    <w:rsid w:val="00CA49E7"/>
    <w:rsid w:val="00CA5DEC"/>
    <w:rsid w:val="00CB0D0D"/>
    <w:rsid w:val="00CB453B"/>
    <w:rsid w:val="00CB4F5E"/>
    <w:rsid w:val="00CB5B46"/>
    <w:rsid w:val="00CC12D3"/>
    <w:rsid w:val="00CC3D40"/>
    <w:rsid w:val="00CC7FFB"/>
    <w:rsid w:val="00CD104D"/>
    <w:rsid w:val="00CD35EF"/>
    <w:rsid w:val="00CD722F"/>
    <w:rsid w:val="00CE3800"/>
    <w:rsid w:val="00CE5372"/>
    <w:rsid w:val="00CE53A6"/>
    <w:rsid w:val="00CE6C94"/>
    <w:rsid w:val="00CF426C"/>
    <w:rsid w:val="00CF45E2"/>
    <w:rsid w:val="00CF46BA"/>
    <w:rsid w:val="00CF7527"/>
    <w:rsid w:val="00CF75AC"/>
    <w:rsid w:val="00D014E8"/>
    <w:rsid w:val="00D06C22"/>
    <w:rsid w:val="00D0779E"/>
    <w:rsid w:val="00D07E45"/>
    <w:rsid w:val="00D11954"/>
    <w:rsid w:val="00D11D9A"/>
    <w:rsid w:val="00D126EE"/>
    <w:rsid w:val="00D168A5"/>
    <w:rsid w:val="00D21311"/>
    <w:rsid w:val="00D23C9A"/>
    <w:rsid w:val="00D25729"/>
    <w:rsid w:val="00D27B9E"/>
    <w:rsid w:val="00D302D0"/>
    <w:rsid w:val="00D30742"/>
    <w:rsid w:val="00D33FA0"/>
    <w:rsid w:val="00D34C5F"/>
    <w:rsid w:val="00D35EF2"/>
    <w:rsid w:val="00D37081"/>
    <w:rsid w:val="00D37A7A"/>
    <w:rsid w:val="00D4115F"/>
    <w:rsid w:val="00D411B6"/>
    <w:rsid w:val="00D43B04"/>
    <w:rsid w:val="00D44D63"/>
    <w:rsid w:val="00D4761B"/>
    <w:rsid w:val="00D50F3D"/>
    <w:rsid w:val="00D515C8"/>
    <w:rsid w:val="00D54F85"/>
    <w:rsid w:val="00D5510E"/>
    <w:rsid w:val="00D565BD"/>
    <w:rsid w:val="00D570BD"/>
    <w:rsid w:val="00D604AE"/>
    <w:rsid w:val="00D60B63"/>
    <w:rsid w:val="00D60BE2"/>
    <w:rsid w:val="00D60BF9"/>
    <w:rsid w:val="00D62293"/>
    <w:rsid w:val="00D625A1"/>
    <w:rsid w:val="00D646F9"/>
    <w:rsid w:val="00D65C33"/>
    <w:rsid w:val="00D67751"/>
    <w:rsid w:val="00D714F9"/>
    <w:rsid w:val="00D72593"/>
    <w:rsid w:val="00D80CFE"/>
    <w:rsid w:val="00D82D83"/>
    <w:rsid w:val="00D836E6"/>
    <w:rsid w:val="00D85EE3"/>
    <w:rsid w:val="00D91332"/>
    <w:rsid w:val="00D94F61"/>
    <w:rsid w:val="00D952AB"/>
    <w:rsid w:val="00D96A58"/>
    <w:rsid w:val="00DA0EFD"/>
    <w:rsid w:val="00DA230E"/>
    <w:rsid w:val="00DA2DE2"/>
    <w:rsid w:val="00DA302F"/>
    <w:rsid w:val="00DA4A19"/>
    <w:rsid w:val="00DA5307"/>
    <w:rsid w:val="00DA6A3F"/>
    <w:rsid w:val="00DB1371"/>
    <w:rsid w:val="00DB5559"/>
    <w:rsid w:val="00DB7C58"/>
    <w:rsid w:val="00DC4B2C"/>
    <w:rsid w:val="00DC6489"/>
    <w:rsid w:val="00DC736B"/>
    <w:rsid w:val="00DD2F00"/>
    <w:rsid w:val="00DE04C9"/>
    <w:rsid w:val="00DE725F"/>
    <w:rsid w:val="00DF0A0D"/>
    <w:rsid w:val="00DF0B56"/>
    <w:rsid w:val="00DF1FE4"/>
    <w:rsid w:val="00DF2F1A"/>
    <w:rsid w:val="00DF4075"/>
    <w:rsid w:val="00DF688D"/>
    <w:rsid w:val="00DF6E45"/>
    <w:rsid w:val="00E003CD"/>
    <w:rsid w:val="00E00DD7"/>
    <w:rsid w:val="00E02426"/>
    <w:rsid w:val="00E036AC"/>
    <w:rsid w:val="00E04545"/>
    <w:rsid w:val="00E04CAB"/>
    <w:rsid w:val="00E076AB"/>
    <w:rsid w:val="00E10AAD"/>
    <w:rsid w:val="00E12756"/>
    <w:rsid w:val="00E13F46"/>
    <w:rsid w:val="00E156A2"/>
    <w:rsid w:val="00E15A38"/>
    <w:rsid w:val="00E206EE"/>
    <w:rsid w:val="00E21BFE"/>
    <w:rsid w:val="00E25BD1"/>
    <w:rsid w:val="00E27D05"/>
    <w:rsid w:val="00E32BE6"/>
    <w:rsid w:val="00E33F7B"/>
    <w:rsid w:val="00E400B8"/>
    <w:rsid w:val="00E4014F"/>
    <w:rsid w:val="00E466D2"/>
    <w:rsid w:val="00E509DE"/>
    <w:rsid w:val="00E515F0"/>
    <w:rsid w:val="00E55D9F"/>
    <w:rsid w:val="00E56AE4"/>
    <w:rsid w:val="00E63DE4"/>
    <w:rsid w:val="00E6455C"/>
    <w:rsid w:val="00E64C7C"/>
    <w:rsid w:val="00E657DA"/>
    <w:rsid w:val="00E66A40"/>
    <w:rsid w:val="00E701BA"/>
    <w:rsid w:val="00E7102B"/>
    <w:rsid w:val="00E73835"/>
    <w:rsid w:val="00E74152"/>
    <w:rsid w:val="00E80732"/>
    <w:rsid w:val="00E83321"/>
    <w:rsid w:val="00E83B31"/>
    <w:rsid w:val="00E848DE"/>
    <w:rsid w:val="00E85EAB"/>
    <w:rsid w:val="00E93649"/>
    <w:rsid w:val="00E97BBE"/>
    <w:rsid w:val="00E9B6D4"/>
    <w:rsid w:val="00EA2124"/>
    <w:rsid w:val="00EA3BDB"/>
    <w:rsid w:val="00EA48AB"/>
    <w:rsid w:val="00EA7222"/>
    <w:rsid w:val="00EA781B"/>
    <w:rsid w:val="00EA7F68"/>
    <w:rsid w:val="00EB0EF7"/>
    <w:rsid w:val="00EB4121"/>
    <w:rsid w:val="00EB4AD7"/>
    <w:rsid w:val="00EB5462"/>
    <w:rsid w:val="00EB6373"/>
    <w:rsid w:val="00EC391D"/>
    <w:rsid w:val="00ED18B0"/>
    <w:rsid w:val="00ED2272"/>
    <w:rsid w:val="00ED2349"/>
    <w:rsid w:val="00ED3F5E"/>
    <w:rsid w:val="00ED5E9B"/>
    <w:rsid w:val="00ED6BE7"/>
    <w:rsid w:val="00EE35EA"/>
    <w:rsid w:val="00EE5767"/>
    <w:rsid w:val="00EE6119"/>
    <w:rsid w:val="00EE6FF5"/>
    <w:rsid w:val="00EF09A3"/>
    <w:rsid w:val="00EF161D"/>
    <w:rsid w:val="00EF50AE"/>
    <w:rsid w:val="00EF52D5"/>
    <w:rsid w:val="00EF56C4"/>
    <w:rsid w:val="00EF5BBA"/>
    <w:rsid w:val="00F01871"/>
    <w:rsid w:val="00F01B31"/>
    <w:rsid w:val="00F1233D"/>
    <w:rsid w:val="00F176FF"/>
    <w:rsid w:val="00F20C05"/>
    <w:rsid w:val="00F22B4B"/>
    <w:rsid w:val="00F22C7B"/>
    <w:rsid w:val="00F23BF3"/>
    <w:rsid w:val="00F24F60"/>
    <w:rsid w:val="00F25713"/>
    <w:rsid w:val="00F25B0E"/>
    <w:rsid w:val="00F25E2C"/>
    <w:rsid w:val="00F2702E"/>
    <w:rsid w:val="00F32568"/>
    <w:rsid w:val="00F33BC7"/>
    <w:rsid w:val="00F33D8F"/>
    <w:rsid w:val="00F34E7A"/>
    <w:rsid w:val="00F35399"/>
    <w:rsid w:val="00F35A38"/>
    <w:rsid w:val="00F37F74"/>
    <w:rsid w:val="00F46269"/>
    <w:rsid w:val="00F46997"/>
    <w:rsid w:val="00F516CA"/>
    <w:rsid w:val="00F5349E"/>
    <w:rsid w:val="00F539FE"/>
    <w:rsid w:val="00F54742"/>
    <w:rsid w:val="00F559E5"/>
    <w:rsid w:val="00F56032"/>
    <w:rsid w:val="00F576BD"/>
    <w:rsid w:val="00F60FAE"/>
    <w:rsid w:val="00F619A7"/>
    <w:rsid w:val="00F62A51"/>
    <w:rsid w:val="00F67A40"/>
    <w:rsid w:val="00F700A8"/>
    <w:rsid w:val="00F70386"/>
    <w:rsid w:val="00F73560"/>
    <w:rsid w:val="00F81E25"/>
    <w:rsid w:val="00F8248D"/>
    <w:rsid w:val="00F836D1"/>
    <w:rsid w:val="00F855DC"/>
    <w:rsid w:val="00FA0981"/>
    <w:rsid w:val="00FA1F27"/>
    <w:rsid w:val="00FA1FC8"/>
    <w:rsid w:val="00FA3056"/>
    <w:rsid w:val="00FA7CF6"/>
    <w:rsid w:val="00FB2CE6"/>
    <w:rsid w:val="00FB3716"/>
    <w:rsid w:val="00FC04CB"/>
    <w:rsid w:val="00FC491E"/>
    <w:rsid w:val="00FC4DBD"/>
    <w:rsid w:val="00FC7064"/>
    <w:rsid w:val="00FD03E7"/>
    <w:rsid w:val="00FD1787"/>
    <w:rsid w:val="00FD4C30"/>
    <w:rsid w:val="00FE00C9"/>
    <w:rsid w:val="00FE124A"/>
    <w:rsid w:val="00FE179F"/>
    <w:rsid w:val="00FE28B8"/>
    <w:rsid w:val="00FE29FC"/>
    <w:rsid w:val="00FE4F2B"/>
    <w:rsid w:val="00FE52D4"/>
    <w:rsid w:val="00FE7A3D"/>
    <w:rsid w:val="01104F55"/>
    <w:rsid w:val="01198FD8"/>
    <w:rsid w:val="011D4DDD"/>
    <w:rsid w:val="01ABE135"/>
    <w:rsid w:val="01B3A775"/>
    <w:rsid w:val="01E9CF3B"/>
    <w:rsid w:val="021D59BA"/>
    <w:rsid w:val="021DCC1A"/>
    <w:rsid w:val="026C913E"/>
    <w:rsid w:val="02EFDBB9"/>
    <w:rsid w:val="034F98F7"/>
    <w:rsid w:val="03AC933E"/>
    <w:rsid w:val="03FBB6D0"/>
    <w:rsid w:val="0412F4D5"/>
    <w:rsid w:val="04CE8C9B"/>
    <w:rsid w:val="04D90FAE"/>
    <w:rsid w:val="05395CAB"/>
    <w:rsid w:val="0554DB89"/>
    <w:rsid w:val="06050439"/>
    <w:rsid w:val="06631570"/>
    <w:rsid w:val="06F90E0F"/>
    <w:rsid w:val="073A0383"/>
    <w:rsid w:val="0757206D"/>
    <w:rsid w:val="081DFE29"/>
    <w:rsid w:val="08A55FA8"/>
    <w:rsid w:val="08DD0E5E"/>
    <w:rsid w:val="08F7CAEA"/>
    <w:rsid w:val="093B7855"/>
    <w:rsid w:val="0961018F"/>
    <w:rsid w:val="0A0AB4FE"/>
    <w:rsid w:val="0A34EC40"/>
    <w:rsid w:val="0ADF2AC6"/>
    <w:rsid w:val="0B302BDB"/>
    <w:rsid w:val="0B541B5E"/>
    <w:rsid w:val="0C035FAC"/>
    <w:rsid w:val="0CB4835F"/>
    <w:rsid w:val="0CFB7925"/>
    <w:rsid w:val="0D0CCF46"/>
    <w:rsid w:val="0D45C3E1"/>
    <w:rsid w:val="0D689A0C"/>
    <w:rsid w:val="0D9D2E84"/>
    <w:rsid w:val="0DADADC5"/>
    <w:rsid w:val="0E2A982E"/>
    <w:rsid w:val="0E2B083E"/>
    <w:rsid w:val="0E6F4C25"/>
    <w:rsid w:val="0F1BDE45"/>
    <w:rsid w:val="0F3D7FD1"/>
    <w:rsid w:val="0F5C264D"/>
    <w:rsid w:val="10C709FB"/>
    <w:rsid w:val="111CE2C6"/>
    <w:rsid w:val="11521C5D"/>
    <w:rsid w:val="11A741B8"/>
    <w:rsid w:val="11ECA8F9"/>
    <w:rsid w:val="1200737C"/>
    <w:rsid w:val="123372D1"/>
    <w:rsid w:val="124AC291"/>
    <w:rsid w:val="128BAE55"/>
    <w:rsid w:val="129D9B37"/>
    <w:rsid w:val="12CE2B63"/>
    <w:rsid w:val="1355430E"/>
    <w:rsid w:val="1381B4B4"/>
    <w:rsid w:val="13A0E788"/>
    <w:rsid w:val="15099F07"/>
    <w:rsid w:val="15441A51"/>
    <w:rsid w:val="1554EEA9"/>
    <w:rsid w:val="157AC1C5"/>
    <w:rsid w:val="1581C975"/>
    <w:rsid w:val="15D166FB"/>
    <w:rsid w:val="16557AAC"/>
    <w:rsid w:val="16672CA7"/>
    <w:rsid w:val="16A129A1"/>
    <w:rsid w:val="16E60659"/>
    <w:rsid w:val="17087AAA"/>
    <w:rsid w:val="17219541"/>
    <w:rsid w:val="17A2D32C"/>
    <w:rsid w:val="18417EDC"/>
    <w:rsid w:val="18A90AC7"/>
    <w:rsid w:val="18FF920E"/>
    <w:rsid w:val="190E5FC0"/>
    <w:rsid w:val="1943F701"/>
    <w:rsid w:val="19DB4813"/>
    <w:rsid w:val="19E46E56"/>
    <w:rsid w:val="1A571776"/>
    <w:rsid w:val="1A593E1D"/>
    <w:rsid w:val="1A5DBD8D"/>
    <w:rsid w:val="1A89803F"/>
    <w:rsid w:val="1ACC9425"/>
    <w:rsid w:val="1AF2D921"/>
    <w:rsid w:val="1B761A59"/>
    <w:rsid w:val="1BE0552F"/>
    <w:rsid w:val="1C4C88C0"/>
    <w:rsid w:val="1C688551"/>
    <w:rsid w:val="1CAB2C47"/>
    <w:rsid w:val="1CB8D576"/>
    <w:rsid w:val="1CD70538"/>
    <w:rsid w:val="1CF3B364"/>
    <w:rsid w:val="1D0B3D37"/>
    <w:rsid w:val="1D19F940"/>
    <w:rsid w:val="1DD11F14"/>
    <w:rsid w:val="1DF5EE16"/>
    <w:rsid w:val="1E093CAB"/>
    <w:rsid w:val="1E0FCC5E"/>
    <w:rsid w:val="1E342025"/>
    <w:rsid w:val="1E49A729"/>
    <w:rsid w:val="1E4AA731"/>
    <w:rsid w:val="1E72D1AB"/>
    <w:rsid w:val="1E7F29E3"/>
    <w:rsid w:val="1E8F9DA6"/>
    <w:rsid w:val="1F02B158"/>
    <w:rsid w:val="1F35572F"/>
    <w:rsid w:val="1F63B6E6"/>
    <w:rsid w:val="1FC40A01"/>
    <w:rsid w:val="1FE39610"/>
    <w:rsid w:val="2006B1D5"/>
    <w:rsid w:val="201DF548"/>
    <w:rsid w:val="202F8C80"/>
    <w:rsid w:val="20688828"/>
    <w:rsid w:val="2071F6E1"/>
    <w:rsid w:val="20724FFB"/>
    <w:rsid w:val="20C98F9E"/>
    <w:rsid w:val="212ED512"/>
    <w:rsid w:val="22C7D92B"/>
    <w:rsid w:val="23090568"/>
    <w:rsid w:val="2319F8EE"/>
    <w:rsid w:val="233600E5"/>
    <w:rsid w:val="23B5D7BB"/>
    <w:rsid w:val="23E04CA3"/>
    <w:rsid w:val="241105AC"/>
    <w:rsid w:val="247AD538"/>
    <w:rsid w:val="2493221C"/>
    <w:rsid w:val="24B1A233"/>
    <w:rsid w:val="24FA908B"/>
    <w:rsid w:val="254DDDF7"/>
    <w:rsid w:val="259E67BB"/>
    <w:rsid w:val="25B0DC34"/>
    <w:rsid w:val="2621FC3F"/>
    <w:rsid w:val="262DE062"/>
    <w:rsid w:val="26760CDC"/>
    <w:rsid w:val="2677F2DA"/>
    <w:rsid w:val="26932B98"/>
    <w:rsid w:val="26B3EAD2"/>
    <w:rsid w:val="26D0C12C"/>
    <w:rsid w:val="271C0D0C"/>
    <w:rsid w:val="28600BF0"/>
    <w:rsid w:val="288347CF"/>
    <w:rsid w:val="289E8ED8"/>
    <w:rsid w:val="28BB7155"/>
    <w:rsid w:val="28E624AF"/>
    <w:rsid w:val="29153FAA"/>
    <w:rsid w:val="2A5D3C59"/>
    <w:rsid w:val="2A6E300B"/>
    <w:rsid w:val="2A786CCD"/>
    <w:rsid w:val="2AA2E55E"/>
    <w:rsid w:val="2AD95D3C"/>
    <w:rsid w:val="2B34FCA8"/>
    <w:rsid w:val="2B409E0F"/>
    <w:rsid w:val="2B5C8D39"/>
    <w:rsid w:val="2BF1A8CC"/>
    <w:rsid w:val="2C6EBBAB"/>
    <w:rsid w:val="2CA64DA2"/>
    <w:rsid w:val="2CC2DF49"/>
    <w:rsid w:val="2CEBDF3C"/>
    <w:rsid w:val="2D2EF6B6"/>
    <w:rsid w:val="2D57B198"/>
    <w:rsid w:val="2D677281"/>
    <w:rsid w:val="2D8CC126"/>
    <w:rsid w:val="2DAEB7A7"/>
    <w:rsid w:val="2DE37956"/>
    <w:rsid w:val="2DFC104A"/>
    <w:rsid w:val="2E221592"/>
    <w:rsid w:val="2E29F06F"/>
    <w:rsid w:val="2E3944F5"/>
    <w:rsid w:val="2F572BAA"/>
    <w:rsid w:val="2F826C95"/>
    <w:rsid w:val="2FD22E8D"/>
    <w:rsid w:val="2FDDBFD9"/>
    <w:rsid w:val="301EC5B3"/>
    <w:rsid w:val="30360E6B"/>
    <w:rsid w:val="303649EE"/>
    <w:rsid w:val="30639E1E"/>
    <w:rsid w:val="30C09F8D"/>
    <w:rsid w:val="31530AFF"/>
    <w:rsid w:val="317738EB"/>
    <w:rsid w:val="31A9B5D8"/>
    <w:rsid w:val="31D67A8D"/>
    <w:rsid w:val="31FF7F0B"/>
    <w:rsid w:val="32031B89"/>
    <w:rsid w:val="321E6ED6"/>
    <w:rsid w:val="32637E47"/>
    <w:rsid w:val="3274F046"/>
    <w:rsid w:val="332118E6"/>
    <w:rsid w:val="33476813"/>
    <w:rsid w:val="33972F2F"/>
    <w:rsid w:val="341ECA0C"/>
    <w:rsid w:val="344F2A39"/>
    <w:rsid w:val="34691A62"/>
    <w:rsid w:val="347AC284"/>
    <w:rsid w:val="34BC8491"/>
    <w:rsid w:val="3545ECC4"/>
    <w:rsid w:val="354E9231"/>
    <w:rsid w:val="3573ECFC"/>
    <w:rsid w:val="358574E2"/>
    <w:rsid w:val="35F23CC0"/>
    <w:rsid w:val="360E511C"/>
    <w:rsid w:val="36365B88"/>
    <w:rsid w:val="366EB9F2"/>
    <w:rsid w:val="3699BA40"/>
    <w:rsid w:val="36A4F834"/>
    <w:rsid w:val="36A96C6C"/>
    <w:rsid w:val="36E22878"/>
    <w:rsid w:val="371BA266"/>
    <w:rsid w:val="380F4552"/>
    <w:rsid w:val="3859ABEB"/>
    <w:rsid w:val="38848B08"/>
    <w:rsid w:val="392BCC35"/>
    <w:rsid w:val="39B7ADE7"/>
    <w:rsid w:val="39C0B7AB"/>
    <w:rsid w:val="39E1FD8B"/>
    <w:rsid w:val="3A3D350F"/>
    <w:rsid w:val="3A6E6136"/>
    <w:rsid w:val="3A70085F"/>
    <w:rsid w:val="3A97DE74"/>
    <w:rsid w:val="3AB8016C"/>
    <w:rsid w:val="3B0F2447"/>
    <w:rsid w:val="3B311341"/>
    <w:rsid w:val="3B9147E5"/>
    <w:rsid w:val="3C0FDD90"/>
    <w:rsid w:val="3C5B58F3"/>
    <w:rsid w:val="3CCFBB9E"/>
    <w:rsid w:val="3D4C9076"/>
    <w:rsid w:val="3D5747C6"/>
    <w:rsid w:val="3D6BDBB4"/>
    <w:rsid w:val="3D8C6BBC"/>
    <w:rsid w:val="3D8D4EC0"/>
    <w:rsid w:val="3DCD1328"/>
    <w:rsid w:val="3E2CC3F5"/>
    <w:rsid w:val="3E599E14"/>
    <w:rsid w:val="3E67D90C"/>
    <w:rsid w:val="3E9F14C3"/>
    <w:rsid w:val="3F0D7106"/>
    <w:rsid w:val="3F49D1D8"/>
    <w:rsid w:val="3F6D747F"/>
    <w:rsid w:val="3FE18F12"/>
    <w:rsid w:val="4009DDAD"/>
    <w:rsid w:val="4031E6DD"/>
    <w:rsid w:val="406BE72F"/>
    <w:rsid w:val="406ED1B1"/>
    <w:rsid w:val="40D14EB2"/>
    <w:rsid w:val="41315AA3"/>
    <w:rsid w:val="41510BB1"/>
    <w:rsid w:val="416CFEE7"/>
    <w:rsid w:val="4198E832"/>
    <w:rsid w:val="41BD42BB"/>
    <w:rsid w:val="41D32187"/>
    <w:rsid w:val="41DBEEC8"/>
    <w:rsid w:val="41F5E3D0"/>
    <w:rsid w:val="420B3088"/>
    <w:rsid w:val="42295E85"/>
    <w:rsid w:val="4235D067"/>
    <w:rsid w:val="425CDE01"/>
    <w:rsid w:val="42622862"/>
    <w:rsid w:val="43074311"/>
    <w:rsid w:val="4311467C"/>
    <w:rsid w:val="4312CF74"/>
    <w:rsid w:val="43265CC9"/>
    <w:rsid w:val="4336F2CF"/>
    <w:rsid w:val="433A9825"/>
    <w:rsid w:val="44850158"/>
    <w:rsid w:val="45110192"/>
    <w:rsid w:val="453340BD"/>
    <w:rsid w:val="4535A4B6"/>
    <w:rsid w:val="45A450DC"/>
    <w:rsid w:val="463C3F84"/>
    <w:rsid w:val="46691AFB"/>
    <w:rsid w:val="468A7730"/>
    <w:rsid w:val="46A4D4AC"/>
    <w:rsid w:val="46F2670B"/>
    <w:rsid w:val="477B553E"/>
    <w:rsid w:val="47A2DD8C"/>
    <w:rsid w:val="47A312B5"/>
    <w:rsid w:val="47AD134F"/>
    <w:rsid w:val="47CE95C2"/>
    <w:rsid w:val="48A14E53"/>
    <w:rsid w:val="48B28AAB"/>
    <w:rsid w:val="48C30686"/>
    <w:rsid w:val="494ACA6C"/>
    <w:rsid w:val="49E8C0B4"/>
    <w:rsid w:val="4A527858"/>
    <w:rsid w:val="4B4AEDC4"/>
    <w:rsid w:val="4B6B9729"/>
    <w:rsid w:val="4BD77A4B"/>
    <w:rsid w:val="4C21FF39"/>
    <w:rsid w:val="4C2DDAEB"/>
    <w:rsid w:val="4C439D22"/>
    <w:rsid w:val="4C5B0A75"/>
    <w:rsid w:val="4CE5F102"/>
    <w:rsid w:val="4D3481ED"/>
    <w:rsid w:val="4D86EABC"/>
    <w:rsid w:val="4D9BE8B6"/>
    <w:rsid w:val="4DFFAB62"/>
    <w:rsid w:val="4E768BFC"/>
    <w:rsid w:val="4E7D9688"/>
    <w:rsid w:val="4E87B795"/>
    <w:rsid w:val="4EAA5ACC"/>
    <w:rsid w:val="4F000160"/>
    <w:rsid w:val="4F336A03"/>
    <w:rsid w:val="4F3D16C4"/>
    <w:rsid w:val="4F58508E"/>
    <w:rsid w:val="4F63D26A"/>
    <w:rsid w:val="4FD5B309"/>
    <w:rsid w:val="5033C0F1"/>
    <w:rsid w:val="508192D7"/>
    <w:rsid w:val="50E96570"/>
    <w:rsid w:val="50FFD6A1"/>
    <w:rsid w:val="519F9227"/>
    <w:rsid w:val="51D65F54"/>
    <w:rsid w:val="51EEE251"/>
    <w:rsid w:val="52086EFF"/>
    <w:rsid w:val="524EB453"/>
    <w:rsid w:val="5270D2D9"/>
    <w:rsid w:val="5277DB4E"/>
    <w:rsid w:val="52C5DDC1"/>
    <w:rsid w:val="52DD5013"/>
    <w:rsid w:val="531D3188"/>
    <w:rsid w:val="53868B3D"/>
    <w:rsid w:val="53AE7B92"/>
    <w:rsid w:val="53FC05D1"/>
    <w:rsid w:val="5405B888"/>
    <w:rsid w:val="541A3062"/>
    <w:rsid w:val="54415B63"/>
    <w:rsid w:val="548ADEB0"/>
    <w:rsid w:val="5493A391"/>
    <w:rsid w:val="5601FD50"/>
    <w:rsid w:val="566614FA"/>
    <w:rsid w:val="5684D2C0"/>
    <w:rsid w:val="57170D6B"/>
    <w:rsid w:val="5722D44B"/>
    <w:rsid w:val="57384E29"/>
    <w:rsid w:val="574A5AAC"/>
    <w:rsid w:val="57971E33"/>
    <w:rsid w:val="57A22A8C"/>
    <w:rsid w:val="581A89A3"/>
    <w:rsid w:val="584F9B4A"/>
    <w:rsid w:val="5858F74F"/>
    <w:rsid w:val="589CDFE9"/>
    <w:rsid w:val="58AE202F"/>
    <w:rsid w:val="58B028D3"/>
    <w:rsid w:val="58B1FD83"/>
    <w:rsid w:val="58C596B5"/>
    <w:rsid w:val="591010EA"/>
    <w:rsid w:val="593909FB"/>
    <w:rsid w:val="59733A5A"/>
    <w:rsid w:val="59BF4084"/>
    <w:rsid w:val="59F1026F"/>
    <w:rsid w:val="5A2B8EC0"/>
    <w:rsid w:val="5A2DBB31"/>
    <w:rsid w:val="5ABEB493"/>
    <w:rsid w:val="5B672D82"/>
    <w:rsid w:val="5BC1C96D"/>
    <w:rsid w:val="5C0F7E60"/>
    <w:rsid w:val="5C10C5D2"/>
    <w:rsid w:val="5C6F4151"/>
    <w:rsid w:val="5CB59733"/>
    <w:rsid w:val="5D02178C"/>
    <w:rsid w:val="5D164AE6"/>
    <w:rsid w:val="5D7CA8D7"/>
    <w:rsid w:val="5DAEE0FD"/>
    <w:rsid w:val="5E13E791"/>
    <w:rsid w:val="5E68DAB8"/>
    <w:rsid w:val="5E7F6150"/>
    <w:rsid w:val="5E8926F7"/>
    <w:rsid w:val="5EC3CBCD"/>
    <w:rsid w:val="5ECCC1A8"/>
    <w:rsid w:val="5EE75E8B"/>
    <w:rsid w:val="5F2C6D5A"/>
    <w:rsid w:val="5FA95BB4"/>
    <w:rsid w:val="5FC80142"/>
    <w:rsid w:val="5FE103B0"/>
    <w:rsid w:val="5FFAD1B1"/>
    <w:rsid w:val="603B50A3"/>
    <w:rsid w:val="60499E68"/>
    <w:rsid w:val="6053C6D7"/>
    <w:rsid w:val="60658FDD"/>
    <w:rsid w:val="61706CD2"/>
    <w:rsid w:val="61950247"/>
    <w:rsid w:val="61C2CCBB"/>
    <w:rsid w:val="62473D6A"/>
    <w:rsid w:val="626BEF30"/>
    <w:rsid w:val="6280BB59"/>
    <w:rsid w:val="62A33029"/>
    <w:rsid w:val="62A47652"/>
    <w:rsid w:val="6329EE13"/>
    <w:rsid w:val="6370E5A4"/>
    <w:rsid w:val="64144D39"/>
    <w:rsid w:val="6436E3C0"/>
    <w:rsid w:val="64757AC0"/>
    <w:rsid w:val="64811B1B"/>
    <w:rsid w:val="64A54F48"/>
    <w:rsid w:val="65759437"/>
    <w:rsid w:val="65AF9FA2"/>
    <w:rsid w:val="65BEAB31"/>
    <w:rsid w:val="663B3B6B"/>
    <w:rsid w:val="664FEDB8"/>
    <w:rsid w:val="66A1A400"/>
    <w:rsid w:val="677B207A"/>
    <w:rsid w:val="67E0CA45"/>
    <w:rsid w:val="67EE4F53"/>
    <w:rsid w:val="67F6F963"/>
    <w:rsid w:val="688BD71B"/>
    <w:rsid w:val="68D1B983"/>
    <w:rsid w:val="6929AF7B"/>
    <w:rsid w:val="69A21BBB"/>
    <w:rsid w:val="69C76059"/>
    <w:rsid w:val="69E655C7"/>
    <w:rsid w:val="69E759A2"/>
    <w:rsid w:val="6A26D4CA"/>
    <w:rsid w:val="6A619322"/>
    <w:rsid w:val="6A66AE28"/>
    <w:rsid w:val="6B272AF7"/>
    <w:rsid w:val="6B999D2A"/>
    <w:rsid w:val="6BA6D630"/>
    <w:rsid w:val="6BCD2B13"/>
    <w:rsid w:val="6BDF1429"/>
    <w:rsid w:val="6BF8AB7B"/>
    <w:rsid w:val="6C47A8B8"/>
    <w:rsid w:val="6CC4D457"/>
    <w:rsid w:val="6D39C55A"/>
    <w:rsid w:val="6D9C0BC4"/>
    <w:rsid w:val="6E118909"/>
    <w:rsid w:val="6EFBC6BA"/>
    <w:rsid w:val="6F1B6BAD"/>
    <w:rsid w:val="6F24EEF0"/>
    <w:rsid w:val="6F38D21A"/>
    <w:rsid w:val="6F47CDEC"/>
    <w:rsid w:val="6FAC6E80"/>
    <w:rsid w:val="6FEE5E1D"/>
    <w:rsid w:val="700B4AB1"/>
    <w:rsid w:val="7040E431"/>
    <w:rsid w:val="7051A3F6"/>
    <w:rsid w:val="705EF915"/>
    <w:rsid w:val="708BAFB0"/>
    <w:rsid w:val="716D947A"/>
    <w:rsid w:val="717C9FE0"/>
    <w:rsid w:val="719A6F6E"/>
    <w:rsid w:val="71B256B3"/>
    <w:rsid w:val="71B545AB"/>
    <w:rsid w:val="71E07AD4"/>
    <w:rsid w:val="71E21C3B"/>
    <w:rsid w:val="7318FC85"/>
    <w:rsid w:val="7337930A"/>
    <w:rsid w:val="73772325"/>
    <w:rsid w:val="73B00AEB"/>
    <w:rsid w:val="74356527"/>
    <w:rsid w:val="74BF5B75"/>
    <w:rsid w:val="74E9AFBB"/>
    <w:rsid w:val="75844572"/>
    <w:rsid w:val="75ED0403"/>
    <w:rsid w:val="75F1E879"/>
    <w:rsid w:val="763C35A0"/>
    <w:rsid w:val="76874093"/>
    <w:rsid w:val="76CB39C5"/>
    <w:rsid w:val="77206F27"/>
    <w:rsid w:val="77555FC3"/>
    <w:rsid w:val="77898CE8"/>
    <w:rsid w:val="77A0E3F7"/>
    <w:rsid w:val="78836603"/>
    <w:rsid w:val="788F72DE"/>
    <w:rsid w:val="79720C01"/>
    <w:rsid w:val="79765B3F"/>
    <w:rsid w:val="7A45B9EA"/>
    <w:rsid w:val="7A82B771"/>
    <w:rsid w:val="7AE28F32"/>
    <w:rsid w:val="7AFA6946"/>
    <w:rsid w:val="7B1ACA36"/>
    <w:rsid w:val="7B47140E"/>
    <w:rsid w:val="7B70723E"/>
    <w:rsid w:val="7BDE4DB9"/>
    <w:rsid w:val="7BF85F03"/>
    <w:rsid w:val="7C8C2599"/>
    <w:rsid w:val="7CD78311"/>
    <w:rsid w:val="7CE2F9A8"/>
    <w:rsid w:val="7CEB58A2"/>
    <w:rsid w:val="7D60626A"/>
    <w:rsid w:val="7D9DEA32"/>
    <w:rsid w:val="7DF82D93"/>
    <w:rsid w:val="7E2672F2"/>
    <w:rsid w:val="7E88F658"/>
    <w:rsid w:val="7EAD411E"/>
    <w:rsid w:val="7F2A9D1F"/>
    <w:rsid w:val="7F436407"/>
    <w:rsid w:val="7FA4D04E"/>
    <w:rsid w:val="7FBA1F20"/>
    <w:rsid w:val="7FD0F4AC"/>
    <w:rsid w:val="7FDEE77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B7E0"/>
  <w15:chartTrackingRefBased/>
  <w15:docId w15:val="{073ADB7C-2C2F-4C5E-A889-A8F17B87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9A3"/>
  </w:style>
  <w:style w:type="paragraph" w:styleId="Heading2">
    <w:name w:val="heading 2"/>
    <w:basedOn w:val="Normal"/>
    <w:next w:val="Normal"/>
    <w:link w:val="Heading2Char"/>
    <w:uiPriority w:val="9"/>
    <w:unhideWhenUsed/>
    <w:qFormat/>
    <w:rsid w:val="00737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716D947A"/>
    <w:pPr>
      <w:keepNext/>
      <w:keepLines/>
      <w:spacing w:before="160" w:after="80"/>
      <w:outlineLvl w:val="2"/>
    </w:pPr>
    <w:rPr>
      <w:rFonts w:eastAsiaTheme="minorEastAsia" w:cstheme="majorEastAsia"/>
      <w:color w:val="2F5496" w:themeColor="accent1" w:themeShade="BF"/>
      <w:sz w:val="28"/>
      <w:szCs w:val="28"/>
    </w:rPr>
  </w:style>
  <w:style w:type="paragraph" w:styleId="Heading4">
    <w:name w:val="heading 4"/>
    <w:basedOn w:val="Normal"/>
    <w:next w:val="Normal"/>
    <w:uiPriority w:val="9"/>
    <w:unhideWhenUsed/>
    <w:qFormat/>
    <w:rsid w:val="716D947A"/>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1"/>
    <w:rsid w:val="33476813"/>
    <w:pPr>
      <w:ind w:firstLine="284"/>
      <w:jc w:val="both"/>
    </w:pPr>
    <w:rPr>
      <w:rFonts w:ascii="Times New Roman" w:eastAsia="SimSun" w:hAnsi="Times New Roman" w:cs="Times New Roman"/>
      <w:sz w:val="24"/>
      <w:szCs w:val="24"/>
      <w:lang w:val="en-US" w:eastAsia="zh-CN"/>
    </w:rPr>
  </w:style>
  <w:style w:type="paragraph" w:customStyle="1" w:styleId="FigureCaption">
    <w:name w:val="FigureCaption"/>
    <w:basedOn w:val="Normal"/>
    <w:next w:val="Text"/>
    <w:uiPriority w:val="1"/>
    <w:rsid w:val="33476813"/>
    <w:pPr>
      <w:spacing w:before="120" w:after="240"/>
      <w:jc w:val="center"/>
    </w:pPr>
    <w:rPr>
      <w:rFonts w:ascii="Times New Roman" w:eastAsia="SimSun" w:hAnsi="Times New Roman" w:cs="Times New Roman"/>
      <w:sz w:val="20"/>
      <w:szCs w:val="20"/>
      <w:lang w:val="en-US" w:eastAsia="zh-CN"/>
    </w:rPr>
  </w:style>
  <w:style w:type="paragraph" w:styleId="ListParagraph">
    <w:name w:val="List Paragraph"/>
    <w:basedOn w:val="Normal"/>
    <w:uiPriority w:val="34"/>
    <w:qFormat/>
    <w:rsid w:val="716D947A"/>
    <w:pPr>
      <w:ind w:left="720"/>
      <w:contextualSpacing/>
    </w:pPr>
  </w:style>
  <w:style w:type="character" w:styleId="Hyperlink">
    <w:name w:val="Hyperlink"/>
    <w:basedOn w:val="DefaultParagraphFont"/>
    <w:uiPriority w:val="99"/>
    <w:unhideWhenUsed/>
    <w:rsid w:val="716D947A"/>
    <w:rPr>
      <w:color w:val="0563C1"/>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E2F"/>
    <w:rPr>
      <w:rFonts w:ascii="Segoe UI" w:hAnsi="Segoe UI" w:cs="Segoe UI"/>
      <w:sz w:val="18"/>
      <w:szCs w:val="18"/>
    </w:rPr>
  </w:style>
  <w:style w:type="paragraph" w:styleId="NormalWeb">
    <w:name w:val="Normal (Web)"/>
    <w:basedOn w:val="Normal"/>
    <w:uiPriority w:val="99"/>
    <w:unhideWhenUsed/>
    <w:rsid w:val="00AC26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Strong">
    <w:name w:val="Strong"/>
    <w:basedOn w:val="DefaultParagraphFont"/>
    <w:uiPriority w:val="22"/>
    <w:qFormat/>
    <w:rsid w:val="00AC26DB"/>
    <w:rPr>
      <w:b/>
      <w:bCs/>
    </w:rPr>
  </w:style>
  <w:style w:type="paragraph" w:styleId="CommentSubject">
    <w:name w:val="annotation subject"/>
    <w:basedOn w:val="CommentText"/>
    <w:next w:val="CommentText"/>
    <w:link w:val="CommentSubjectChar"/>
    <w:uiPriority w:val="99"/>
    <w:semiHidden/>
    <w:unhideWhenUsed/>
    <w:rsid w:val="00E93649"/>
    <w:rPr>
      <w:b/>
      <w:bCs/>
    </w:rPr>
  </w:style>
  <w:style w:type="character" w:customStyle="1" w:styleId="CommentSubjectChar">
    <w:name w:val="Comment Subject Char"/>
    <w:basedOn w:val="CommentTextChar"/>
    <w:link w:val="CommentSubject"/>
    <w:uiPriority w:val="99"/>
    <w:semiHidden/>
    <w:rsid w:val="00E93649"/>
    <w:rPr>
      <w:b/>
      <w:bCs/>
      <w:sz w:val="20"/>
      <w:szCs w:val="20"/>
    </w:rPr>
  </w:style>
  <w:style w:type="paragraph" w:styleId="Revision">
    <w:name w:val="Revision"/>
    <w:hidden/>
    <w:uiPriority w:val="99"/>
    <w:semiHidden/>
    <w:rsid w:val="00E93649"/>
    <w:pPr>
      <w:spacing w:after="0" w:line="240" w:lineRule="auto"/>
    </w:pPr>
  </w:style>
  <w:style w:type="character" w:styleId="UnresolvedMention">
    <w:name w:val="Unresolved Mention"/>
    <w:basedOn w:val="DefaultParagraphFont"/>
    <w:uiPriority w:val="99"/>
    <w:semiHidden/>
    <w:unhideWhenUsed/>
    <w:rsid w:val="00850804"/>
    <w:rPr>
      <w:color w:val="605E5C"/>
      <w:shd w:val="clear" w:color="auto" w:fill="E1DFDD"/>
    </w:rPr>
  </w:style>
  <w:style w:type="character" w:customStyle="1" w:styleId="katex-mathml">
    <w:name w:val="katex-mathml"/>
    <w:basedOn w:val="DefaultParagraphFont"/>
    <w:rsid w:val="0051213B"/>
  </w:style>
  <w:style w:type="character" w:customStyle="1" w:styleId="mord">
    <w:name w:val="mord"/>
    <w:basedOn w:val="DefaultParagraphFont"/>
    <w:rsid w:val="0051213B"/>
  </w:style>
  <w:style w:type="character" w:customStyle="1" w:styleId="mrel">
    <w:name w:val="mrel"/>
    <w:basedOn w:val="DefaultParagraphFont"/>
    <w:rsid w:val="0051213B"/>
  </w:style>
  <w:style w:type="character" w:customStyle="1" w:styleId="vlist-s">
    <w:name w:val="vlist-s"/>
    <w:basedOn w:val="DefaultParagraphFont"/>
    <w:rsid w:val="0051213B"/>
  </w:style>
  <w:style w:type="character" w:styleId="FollowedHyperlink">
    <w:name w:val="FollowedHyperlink"/>
    <w:basedOn w:val="DefaultParagraphFont"/>
    <w:uiPriority w:val="99"/>
    <w:semiHidden/>
    <w:unhideWhenUsed/>
    <w:rsid w:val="00BF78F6"/>
    <w:rPr>
      <w:color w:val="954F72" w:themeColor="followedHyperlink"/>
      <w:u w:val="single"/>
    </w:rPr>
  </w:style>
  <w:style w:type="character" w:customStyle="1" w:styleId="Heading2Char">
    <w:name w:val="Heading 2 Char"/>
    <w:basedOn w:val="DefaultParagraphFont"/>
    <w:link w:val="Heading2"/>
    <w:uiPriority w:val="9"/>
    <w:rsid w:val="0073745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646ED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13C3B"/>
    <w:pPr>
      <w:tabs>
        <w:tab w:val="center" w:pos="4986"/>
        <w:tab w:val="right" w:pos="9973"/>
      </w:tabs>
      <w:spacing w:after="0" w:line="240" w:lineRule="auto"/>
    </w:pPr>
  </w:style>
  <w:style w:type="character" w:customStyle="1" w:styleId="HeaderChar">
    <w:name w:val="Header Char"/>
    <w:basedOn w:val="DefaultParagraphFont"/>
    <w:link w:val="Header"/>
    <w:uiPriority w:val="99"/>
    <w:rsid w:val="00813C3B"/>
  </w:style>
  <w:style w:type="paragraph" w:styleId="Footer">
    <w:name w:val="footer"/>
    <w:basedOn w:val="Normal"/>
    <w:link w:val="FooterChar"/>
    <w:uiPriority w:val="99"/>
    <w:unhideWhenUsed/>
    <w:rsid w:val="00813C3B"/>
    <w:pPr>
      <w:tabs>
        <w:tab w:val="center" w:pos="4986"/>
        <w:tab w:val="right" w:pos="9973"/>
      </w:tabs>
      <w:spacing w:after="0" w:line="240" w:lineRule="auto"/>
    </w:pPr>
  </w:style>
  <w:style w:type="character" w:customStyle="1" w:styleId="FooterChar">
    <w:name w:val="Footer Char"/>
    <w:basedOn w:val="DefaultParagraphFont"/>
    <w:link w:val="Footer"/>
    <w:uiPriority w:val="99"/>
    <w:rsid w:val="00813C3B"/>
  </w:style>
  <w:style w:type="table" w:styleId="PlainTable2">
    <w:name w:val="Plain Table 2"/>
    <w:basedOn w:val="TableNormal"/>
    <w:uiPriority w:val="42"/>
    <w:rsid w:val="00F176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3471B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4E1B8F"/>
    <w:rPr>
      <w:rFonts w:eastAsiaTheme="minorEastAsia" w:cstheme="majorEastAsia"/>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8816">
      <w:bodyDiv w:val="1"/>
      <w:marLeft w:val="0"/>
      <w:marRight w:val="0"/>
      <w:marTop w:val="0"/>
      <w:marBottom w:val="0"/>
      <w:divBdr>
        <w:top w:val="none" w:sz="0" w:space="0" w:color="auto"/>
        <w:left w:val="none" w:sz="0" w:space="0" w:color="auto"/>
        <w:bottom w:val="none" w:sz="0" w:space="0" w:color="auto"/>
        <w:right w:val="none" w:sz="0" w:space="0" w:color="auto"/>
      </w:divBdr>
    </w:div>
    <w:div w:id="285234759">
      <w:bodyDiv w:val="1"/>
      <w:marLeft w:val="0"/>
      <w:marRight w:val="0"/>
      <w:marTop w:val="0"/>
      <w:marBottom w:val="0"/>
      <w:divBdr>
        <w:top w:val="none" w:sz="0" w:space="0" w:color="auto"/>
        <w:left w:val="none" w:sz="0" w:space="0" w:color="auto"/>
        <w:bottom w:val="none" w:sz="0" w:space="0" w:color="auto"/>
        <w:right w:val="none" w:sz="0" w:space="0" w:color="auto"/>
      </w:divBdr>
    </w:div>
    <w:div w:id="363092603">
      <w:bodyDiv w:val="1"/>
      <w:marLeft w:val="0"/>
      <w:marRight w:val="0"/>
      <w:marTop w:val="0"/>
      <w:marBottom w:val="0"/>
      <w:divBdr>
        <w:top w:val="none" w:sz="0" w:space="0" w:color="auto"/>
        <w:left w:val="none" w:sz="0" w:space="0" w:color="auto"/>
        <w:bottom w:val="none" w:sz="0" w:space="0" w:color="auto"/>
        <w:right w:val="none" w:sz="0" w:space="0" w:color="auto"/>
      </w:divBdr>
    </w:div>
    <w:div w:id="851846752">
      <w:bodyDiv w:val="1"/>
      <w:marLeft w:val="0"/>
      <w:marRight w:val="0"/>
      <w:marTop w:val="0"/>
      <w:marBottom w:val="0"/>
      <w:divBdr>
        <w:top w:val="none" w:sz="0" w:space="0" w:color="auto"/>
        <w:left w:val="none" w:sz="0" w:space="0" w:color="auto"/>
        <w:bottom w:val="none" w:sz="0" w:space="0" w:color="auto"/>
        <w:right w:val="none" w:sz="0" w:space="0" w:color="auto"/>
      </w:divBdr>
    </w:div>
    <w:div w:id="933590182">
      <w:bodyDiv w:val="1"/>
      <w:marLeft w:val="0"/>
      <w:marRight w:val="0"/>
      <w:marTop w:val="0"/>
      <w:marBottom w:val="0"/>
      <w:divBdr>
        <w:top w:val="none" w:sz="0" w:space="0" w:color="auto"/>
        <w:left w:val="none" w:sz="0" w:space="0" w:color="auto"/>
        <w:bottom w:val="none" w:sz="0" w:space="0" w:color="auto"/>
        <w:right w:val="none" w:sz="0" w:space="0" w:color="auto"/>
      </w:divBdr>
    </w:div>
    <w:div w:id="1005205790">
      <w:bodyDiv w:val="1"/>
      <w:marLeft w:val="0"/>
      <w:marRight w:val="0"/>
      <w:marTop w:val="0"/>
      <w:marBottom w:val="0"/>
      <w:divBdr>
        <w:top w:val="none" w:sz="0" w:space="0" w:color="auto"/>
        <w:left w:val="none" w:sz="0" w:space="0" w:color="auto"/>
        <w:bottom w:val="none" w:sz="0" w:space="0" w:color="auto"/>
        <w:right w:val="none" w:sz="0" w:space="0" w:color="auto"/>
      </w:divBdr>
    </w:div>
    <w:div w:id="1268611343">
      <w:bodyDiv w:val="1"/>
      <w:marLeft w:val="0"/>
      <w:marRight w:val="0"/>
      <w:marTop w:val="0"/>
      <w:marBottom w:val="0"/>
      <w:divBdr>
        <w:top w:val="none" w:sz="0" w:space="0" w:color="auto"/>
        <w:left w:val="none" w:sz="0" w:space="0" w:color="auto"/>
        <w:bottom w:val="none" w:sz="0" w:space="0" w:color="auto"/>
        <w:right w:val="none" w:sz="0" w:space="0" w:color="auto"/>
      </w:divBdr>
    </w:div>
    <w:div w:id="1438132697">
      <w:bodyDiv w:val="1"/>
      <w:marLeft w:val="0"/>
      <w:marRight w:val="0"/>
      <w:marTop w:val="0"/>
      <w:marBottom w:val="0"/>
      <w:divBdr>
        <w:top w:val="none" w:sz="0" w:space="0" w:color="auto"/>
        <w:left w:val="none" w:sz="0" w:space="0" w:color="auto"/>
        <w:bottom w:val="none" w:sz="0" w:space="0" w:color="auto"/>
        <w:right w:val="none" w:sz="0" w:space="0" w:color="auto"/>
      </w:divBdr>
    </w:div>
    <w:div w:id="1799104334">
      <w:bodyDiv w:val="1"/>
      <w:marLeft w:val="0"/>
      <w:marRight w:val="0"/>
      <w:marTop w:val="0"/>
      <w:marBottom w:val="0"/>
      <w:divBdr>
        <w:top w:val="none" w:sz="0" w:space="0" w:color="auto"/>
        <w:left w:val="none" w:sz="0" w:space="0" w:color="auto"/>
        <w:bottom w:val="none" w:sz="0" w:space="0" w:color="auto"/>
        <w:right w:val="none" w:sz="0" w:space="0" w:color="auto"/>
      </w:divBdr>
    </w:div>
    <w:div w:id="1891379345">
      <w:bodyDiv w:val="1"/>
      <w:marLeft w:val="0"/>
      <w:marRight w:val="0"/>
      <w:marTop w:val="0"/>
      <w:marBottom w:val="0"/>
      <w:divBdr>
        <w:top w:val="none" w:sz="0" w:space="0" w:color="auto"/>
        <w:left w:val="none" w:sz="0" w:space="0" w:color="auto"/>
        <w:bottom w:val="none" w:sz="0" w:space="0" w:color="auto"/>
        <w:right w:val="none" w:sz="0" w:space="0" w:color="auto"/>
      </w:divBdr>
    </w:div>
    <w:div w:id="2015716666">
      <w:bodyDiv w:val="1"/>
      <w:marLeft w:val="0"/>
      <w:marRight w:val="0"/>
      <w:marTop w:val="0"/>
      <w:marBottom w:val="0"/>
      <w:divBdr>
        <w:top w:val="none" w:sz="0" w:space="0" w:color="auto"/>
        <w:left w:val="none" w:sz="0" w:space="0" w:color="auto"/>
        <w:bottom w:val="none" w:sz="0" w:space="0" w:color="auto"/>
        <w:right w:val="none" w:sz="0" w:space="0" w:color="auto"/>
      </w:divBdr>
      <w:divsChild>
        <w:div w:id="98208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doi.org/10.1016/j.engstruct.2024.11888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metainfrastructure.org/use-cas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jotform.com/assign/240914112382044/240931517853055" TargetMode="External"/><Relationship Id="rId20" Type="http://schemas.openxmlformats.org/officeDocument/2006/relationships/image" Target="media/image11.png"/><Relationship Id="rId29" Type="http://schemas.openxmlformats.org/officeDocument/2006/relationships/hyperlink" Target="https://doi.org/10.2749/istanbul.2023.09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ekobaudat.de/OEKOBAU.DAT/datasetdetail/process.xhtml?uuid=0a1fa7f9-ad49-4942-a173-cb8c4ad99c9b&amp;version=20.24.07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diva-portal.org/smash/get/diva2:997963/FULLTEXT01.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ecoinvent.org/ecoinvent-v3-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structuremag.org/article/efficient-methods-for-upgrading-or-reinforcing-existing-bridges" TargetMode="External"/><Relationship Id="rId30" Type="http://schemas.openxmlformats.org/officeDocument/2006/relationships/hyperlink" Target="https://doi.org/10.1080/17452007.2020.1811079" TargetMode="External"/><Relationship Id="rId35" Type="http://schemas.microsoft.com/office/2020/10/relationships/intelligence" Target="intelligence2.xml"/><Relationship Id="rId8" Type="http://schemas.openxmlformats.org/officeDocument/2006/relationships/hyperlink" Target="mailto:s.mitoulis@ucl.ac.u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B1E72-8A8F-43FE-9643-89258852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7997</Words>
  <Characters>50701</Characters>
  <Application>Microsoft Office Word</Application>
  <DocSecurity>0</DocSecurity>
  <Lines>1748</Lines>
  <Paragraphs>1086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57612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Sotirios Argyroudis (Staff)</dc:creator>
  <cp:keywords/>
  <dc:description/>
  <cp:lastModifiedBy>Sotirios Argyroudis (Staff)</cp:lastModifiedBy>
  <cp:revision>3</cp:revision>
  <cp:lastPrinted>2026-01-08T10:44:00Z</cp:lastPrinted>
  <dcterms:created xsi:type="dcterms:W3CDTF">2026-02-01T18:40:00Z</dcterms:created>
  <dcterms:modified xsi:type="dcterms:W3CDTF">2026-02-01T18:40:00Z</dcterms:modified>
  <cp:category/>
</cp:coreProperties>
</file>