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2D60" w14:textId="1EA081B1" w:rsidR="00376034" w:rsidRPr="00376034" w:rsidRDefault="00376034" w:rsidP="00376034">
      <w:pPr>
        <w:pStyle w:val="Heading2"/>
        <w:spacing w:before="360" w:line="275" w:lineRule="auto"/>
        <w:rPr>
          <w:rFonts w:ascii="Times New Roman" w:eastAsia="Google Sans Text" w:hAnsi="Times New Roman" w:cs="Times New Roman"/>
          <w:color w:val="1F1F1F"/>
          <w:sz w:val="20"/>
          <w:szCs w:val="20"/>
        </w:rPr>
      </w:pPr>
      <w:r w:rsidRPr="00376034">
        <w:rPr>
          <w:rFonts w:ascii="Times New Roman" w:eastAsia="Google Sans Text" w:hAnsi="Times New Roman" w:cs="Times New Roman"/>
          <w:b/>
          <w:bCs/>
          <w:color w:val="1F1F1F"/>
          <w:sz w:val="20"/>
          <w:szCs w:val="20"/>
        </w:rPr>
        <w:t>Additional file 1</w:t>
      </w:r>
      <w:r w:rsidRPr="00376034">
        <w:rPr>
          <w:rFonts w:ascii="Times New Roman" w:eastAsia="Google Sans Text" w:hAnsi="Times New Roman" w:cs="Times New Roman"/>
          <w:color w:val="1F1F1F"/>
          <w:sz w:val="20"/>
          <w:szCs w:val="20"/>
        </w:rPr>
        <w:t xml:space="preserve"> Supplementary Table </w:t>
      </w:r>
    </w:p>
    <w:p w14:paraId="66EB715F" w14:textId="77777777" w:rsidR="00376034" w:rsidRPr="00376034" w:rsidRDefault="00376034" w:rsidP="00376034">
      <w:pPr>
        <w:pStyle w:val="Heading2"/>
        <w:spacing w:before="0" w:line="275" w:lineRule="auto"/>
        <w:rPr>
          <w:rFonts w:ascii="Times New Roman" w:eastAsia="Google Sans Text" w:hAnsi="Times New Roman" w:cs="Times New Roman"/>
          <w:color w:val="1F1F1F"/>
          <w:sz w:val="20"/>
          <w:szCs w:val="20"/>
        </w:rPr>
      </w:pPr>
      <w:bookmarkStart w:id="0" w:name="_ab9qrnqy8qle" w:colFirst="0" w:colLast="0"/>
      <w:bookmarkEnd w:id="0"/>
      <w:r w:rsidRPr="00376034">
        <w:rPr>
          <w:rFonts w:ascii="Times New Roman" w:eastAsia="Google Sans Text" w:hAnsi="Times New Roman" w:cs="Times New Roman"/>
          <w:color w:val="1F1F1F"/>
          <w:sz w:val="20"/>
          <w:szCs w:val="20"/>
        </w:rPr>
        <w:t>S1. Characteristics of the case-vignette bank used in the experiment</w:t>
      </w:r>
    </w:p>
    <w:tbl>
      <w:tblPr>
        <w:tblStyle w:val="PlainTable2"/>
        <w:tblW w:w="9220" w:type="dxa"/>
        <w:tblLayout w:type="fixed"/>
        <w:tblLook w:val="0600" w:firstRow="0" w:lastRow="0" w:firstColumn="0" w:lastColumn="0" w:noHBand="1" w:noVBand="1"/>
      </w:tblPr>
      <w:tblGrid>
        <w:gridCol w:w="4962"/>
        <w:gridCol w:w="4258"/>
      </w:tblGrid>
      <w:tr w:rsidR="00376034" w:rsidRPr="00376034" w14:paraId="1FFF2DD6" w14:textId="77777777" w:rsidTr="00376034">
        <w:trPr>
          <w:trHeight w:val="565"/>
        </w:trPr>
        <w:tc>
          <w:tcPr>
            <w:tcW w:w="4962" w:type="dxa"/>
            <w:tcBorders>
              <w:bottom w:val="single" w:sz="12" w:space="0" w:color="auto"/>
            </w:tcBorders>
          </w:tcPr>
          <w:p w14:paraId="71693DDF" w14:textId="77777777" w:rsidR="00376034" w:rsidRPr="00092EF4" w:rsidRDefault="00376034" w:rsidP="00092EF4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</w:pPr>
            <w:r w:rsidRPr="00092EF4"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  <w:t>Characteristic</w:t>
            </w:r>
          </w:p>
        </w:tc>
        <w:tc>
          <w:tcPr>
            <w:tcW w:w="4258" w:type="dxa"/>
            <w:tcBorders>
              <w:bottom w:val="single" w:sz="12" w:space="0" w:color="auto"/>
            </w:tcBorders>
          </w:tcPr>
          <w:p w14:paraId="6D779795" w14:textId="77777777" w:rsidR="00376034" w:rsidRPr="00092EF4" w:rsidRDefault="00376034" w:rsidP="00DF1A96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</w:pPr>
            <w:r w:rsidRPr="00092EF4"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  <w:t>Value</w:t>
            </w:r>
          </w:p>
        </w:tc>
      </w:tr>
      <w:tr w:rsidR="00376034" w:rsidRPr="00376034" w14:paraId="7E82B618" w14:textId="77777777" w:rsidTr="00376034">
        <w:trPr>
          <w:trHeight w:val="565"/>
        </w:trPr>
        <w:tc>
          <w:tcPr>
            <w:tcW w:w="4962" w:type="dxa"/>
            <w:tcBorders>
              <w:top w:val="single" w:sz="12" w:space="0" w:color="auto"/>
            </w:tcBorders>
          </w:tcPr>
          <w:p w14:paraId="1B8E2437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Total case vignettes in bank (final)</w:t>
            </w:r>
          </w:p>
        </w:tc>
        <w:tc>
          <w:tcPr>
            <w:tcW w:w="4258" w:type="dxa"/>
            <w:tcBorders>
              <w:top w:val="single" w:sz="12" w:space="0" w:color="auto"/>
            </w:tcBorders>
          </w:tcPr>
          <w:p w14:paraId="371011AC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41</w:t>
            </w:r>
          </w:p>
        </w:tc>
      </w:tr>
      <w:tr w:rsidR="00376034" w:rsidRPr="00376034" w14:paraId="2023F771" w14:textId="77777777" w:rsidTr="00376034">
        <w:trPr>
          <w:trHeight w:val="565"/>
        </w:trPr>
        <w:tc>
          <w:tcPr>
            <w:tcW w:w="4962" w:type="dxa"/>
          </w:tcPr>
          <w:p w14:paraId="7790A2EA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Age, mean ± SD (years)</w:t>
            </w:r>
          </w:p>
        </w:tc>
        <w:tc>
          <w:tcPr>
            <w:tcW w:w="4258" w:type="dxa"/>
          </w:tcPr>
          <w:p w14:paraId="02C6CFF1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71.8 ± 9.3</w:t>
            </w:r>
          </w:p>
        </w:tc>
      </w:tr>
      <w:tr w:rsidR="00376034" w:rsidRPr="00376034" w14:paraId="19299DF9" w14:textId="77777777" w:rsidTr="00376034">
        <w:trPr>
          <w:trHeight w:val="565"/>
        </w:trPr>
        <w:tc>
          <w:tcPr>
            <w:tcW w:w="4962" w:type="dxa"/>
            <w:tcBorders>
              <w:bottom w:val="single" w:sz="4" w:space="0" w:color="auto"/>
            </w:tcBorders>
          </w:tcPr>
          <w:p w14:paraId="1ED867F2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Sex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F187ABD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Female: 35; Male: 6</w:t>
            </w:r>
          </w:p>
        </w:tc>
      </w:tr>
      <w:tr w:rsidR="00376034" w:rsidRPr="00376034" w14:paraId="59CAB327" w14:textId="77777777" w:rsidTr="00376034">
        <w:trPr>
          <w:trHeight w:val="565"/>
        </w:trPr>
        <w:tc>
          <w:tcPr>
            <w:tcW w:w="4962" w:type="dxa"/>
            <w:tcBorders>
              <w:top w:val="single" w:sz="4" w:space="0" w:color="auto"/>
            </w:tcBorders>
          </w:tcPr>
          <w:p w14:paraId="6C9E0FED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  <w:t>Risk category (TOPF consensus)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06D5F954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</w:p>
        </w:tc>
      </w:tr>
      <w:tr w:rsidR="00376034" w:rsidRPr="00376034" w14:paraId="4699E686" w14:textId="77777777" w:rsidTr="00376034">
        <w:trPr>
          <w:trHeight w:val="565"/>
        </w:trPr>
        <w:tc>
          <w:tcPr>
            <w:tcW w:w="4962" w:type="dxa"/>
          </w:tcPr>
          <w:p w14:paraId="5047BC61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Low</w:t>
            </w:r>
          </w:p>
        </w:tc>
        <w:tc>
          <w:tcPr>
            <w:tcW w:w="4258" w:type="dxa"/>
          </w:tcPr>
          <w:p w14:paraId="6B12AD94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10</w:t>
            </w:r>
          </w:p>
        </w:tc>
      </w:tr>
      <w:tr w:rsidR="00376034" w:rsidRPr="00376034" w14:paraId="56F576A5" w14:textId="77777777" w:rsidTr="00376034">
        <w:trPr>
          <w:trHeight w:val="565"/>
        </w:trPr>
        <w:tc>
          <w:tcPr>
            <w:tcW w:w="4962" w:type="dxa"/>
          </w:tcPr>
          <w:p w14:paraId="192D81C4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Moderate</w:t>
            </w:r>
          </w:p>
        </w:tc>
        <w:tc>
          <w:tcPr>
            <w:tcW w:w="4258" w:type="dxa"/>
          </w:tcPr>
          <w:p w14:paraId="01D802F1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10</w:t>
            </w:r>
          </w:p>
        </w:tc>
      </w:tr>
      <w:tr w:rsidR="00376034" w:rsidRPr="00376034" w14:paraId="4AB8ABE2" w14:textId="77777777" w:rsidTr="00376034">
        <w:trPr>
          <w:trHeight w:val="565"/>
        </w:trPr>
        <w:tc>
          <w:tcPr>
            <w:tcW w:w="4962" w:type="dxa"/>
          </w:tcPr>
          <w:p w14:paraId="21D58065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High</w:t>
            </w:r>
          </w:p>
        </w:tc>
        <w:tc>
          <w:tcPr>
            <w:tcW w:w="4258" w:type="dxa"/>
          </w:tcPr>
          <w:p w14:paraId="16AB751E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10</w:t>
            </w:r>
          </w:p>
        </w:tc>
      </w:tr>
      <w:tr w:rsidR="00376034" w:rsidRPr="00376034" w14:paraId="263C6833" w14:textId="77777777" w:rsidTr="00376034">
        <w:trPr>
          <w:trHeight w:val="565"/>
        </w:trPr>
        <w:tc>
          <w:tcPr>
            <w:tcW w:w="4962" w:type="dxa"/>
            <w:tcBorders>
              <w:bottom w:val="single" w:sz="4" w:space="0" w:color="auto"/>
            </w:tcBorders>
          </w:tcPr>
          <w:p w14:paraId="29A6C87B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Very high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7E65E62E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11</w:t>
            </w:r>
          </w:p>
        </w:tc>
      </w:tr>
      <w:tr w:rsidR="00376034" w:rsidRPr="00376034" w14:paraId="265F7D2D" w14:textId="77777777" w:rsidTr="00376034">
        <w:trPr>
          <w:trHeight w:val="565"/>
        </w:trPr>
        <w:tc>
          <w:tcPr>
            <w:tcW w:w="4962" w:type="dxa"/>
            <w:tcBorders>
              <w:top w:val="single" w:sz="4" w:space="0" w:color="auto"/>
            </w:tcBorders>
          </w:tcPr>
          <w:p w14:paraId="76763F2C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  <w:t>Gold-standard treatment category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3162623D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</w:p>
        </w:tc>
      </w:tr>
      <w:tr w:rsidR="00376034" w:rsidRPr="00376034" w14:paraId="70130B02" w14:textId="77777777" w:rsidTr="00376034">
        <w:trPr>
          <w:trHeight w:val="565"/>
        </w:trPr>
        <w:tc>
          <w:tcPr>
            <w:tcW w:w="4962" w:type="dxa"/>
          </w:tcPr>
          <w:p w14:paraId="3851F7F9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No pharmacologic treatment / lifestyle</w:t>
            </w:r>
          </w:p>
        </w:tc>
        <w:tc>
          <w:tcPr>
            <w:tcW w:w="4258" w:type="dxa"/>
          </w:tcPr>
          <w:p w14:paraId="3BA2D004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20</w:t>
            </w:r>
          </w:p>
        </w:tc>
      </w:tr>
      <w:tr w:rsidR="00376034" w:rsidRPr="00376034" w14:paraId="6FA708D1" w14:textId="77777777" w:rsidTr="00376034">
        <w:trPr>
          <w:trHeight w:val="565"/>
        </w:trPr>
        <w:tc>
          <w:tcPr>
            <w:tcW w:w="4962" w:type="dxa"/>
          </w:tcPr>
          <w:p w14:paraId="259A3899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Antiresorptive therapy</w:t>
            </w:r>
          </w:p>
        </w:tc>
        <w:tc>
          <w:tcPr>
            <w:tcW w:w="4258" w:type="dxa"/>
          </w:tcPr>
          <w:p w14:paraId="287A1C93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10</w:t>
            </w:r>
          </w:p>
        </w:tc>
      </w:tr>
      <w:tr w:rsidR="00376034" w:rsidRPr="00376034" w14:paraId="164F51CC" w14:textId="77777777" w:rsidTr="00376034">
        <w:trPr>
          <w:trHeight w:val="565"/>
        </w:trPr>
        <w:tc>
          <w:tcPr>
            <w:tcW w:w="4962" w:type="dxa"/>
            <w:tcBorders>
              <w:bottom w:val="single" w:sz="4" w:space="0" w:color="auto"/>
            </w:tcBorders>
          </w:tcPr>
          <w:p w14:paraId="760A3CD3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– Anabolic therapy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1CC5115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11</w:t>
            </w:r>
          </w:p>
        </w:tc>
      </w:tr>
      <w:tr w:rsidR="00376034" w:rsidRPr="00376034" w14:paraId="46B30A0E" w14:textId="77777777" w:rsidTr="00376034">
        <w:trPr>
          <w:trHeight w:val="565"/>
        </w:trPr>
        <w:tc>
          <w:tcPr>
            <w:tcW w:w="4962" w:type="dxa"/>
            <w:tcBorders>
              <w:top w:val="single" w:sz="4" w:space="0" w:color="auto"/>
            </w:tcBorders>
          </w:tcPr>
          <w:p w14:paraId="7C01B74E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Cases with any fracture reported (any site)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68E22504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23</w:t>
            </w:r>
          </w:p>
        </w:tc>
      </w:tr>
      <w:tr w:rsidR="00376034" w:rsidRPr="00376034" w14:paraId="26152F43" w14:textId="77777777" w:rsidTr="00376034">
        <w:trPr>
          <w:trHeight w:val="565"/>
        </w:trPr>
        <w:tc>
          <w:tcPr>
            <w:tcW w:w="4962" w:type="dxa"/>
          </w:tcPr>
          <w:p w14:paraId="5D95A1BC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b/>
                <w:bCs/>
                <w:color w:val="1F1F1F"/>
                <w:sz w:val="20"/>
                <w:szCs w:val="20"/>
              </w:rPr>
              <w:t>Cases with fragility-site fracture</w:t>
            </w: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*</w:t>
            </w:r>
          </w:p>
        </w:tc>
        <w:tc>
          <w:tcPr>
            <w:tcW w:w="4258" w:type="dxa"/>
          </w:tcPr>
          <w:p w14:paraId="506AA3A7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15</w:t>
            </w:r>
          </w:p>
        </w:tc>
      </w:tr>
      <w:tr w:rsidR="00376034" w:rsidRPr="00376034" w14:paraId="1C99916B" w14:textId="77777777" w:rsidTr="00376034">
        <w:trPr>
          <w:trHeight w:val="565"/>
        </w:trPr>
        <w:tc>
          <w:tcPr>
            <w:tcW w:w="4962" w:type="dxa"/>
          </w:tcPr>
          <w:p w14:paraId="15C2DEE8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Recent fragility-site fracture (&lt;12 months)</w:t>
            </w:r>
          </w:p>
        </w:tc>
        <w:tc>
          <w:tcPr>
            <w:tcW w:w="4258" w:type="dxa"/>
          </w:tcPr>
          <w:p w14:paraId="6FEE1B48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4</w:t>
            </w:r>
          </w:p>
        </w:tc>
      </w:tr>
      <w:tr w:rsidR="00376034" w:rsidRPr="00376034" w14:paraId="2C7E4ECC" w14:textId="77777777" w:rsidTr="00376034">
        <w:trPr>
          <w:trHeight w:val="785"/>
        </w:trPr>
        <w:tc>
          <w:tcPr>
            <w:tcW w:w="4962" w:type="dxa"/>
          </w:tcPr>
          <w:p w14:paraId="4A6C7DE0" w14:textId="77777777" w:rsidR="00376034" w:rsidRPr="00376034" w:rsidRDefault="00376034" w:rsidP="00DF1A96">
            <w:pPr>
              <w:spacing w:before="120" w:after="120" w:line="275" w:lineRule="auto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Fragility-site fracture by site (case-level)**</w:t>
            </w:r>
          </w:p>
        </w:tc>
        <w:tc>
          <w:tcPr>
            <w:tcW w:w="4258" w:type="dxa"/>
          </w:tcPr>
          <w:p w14:paraId="3F25E992" w14:textId="77777777" w:rsidR="00376034" w:rsidRPr="00376034" w:rsidRDefault="00376034" w:rsidP="00376034">
            <w:pPr>
              <w:spacing w:before="120" w:after="120" w:line="275" w:lineRule="auto"/>
              <w:jc w:val="center"/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</w:pPr>
            <w:r w:rsidRPr="00376034">
              <w:rPr>
                <w:rFonts w:ascii="Times New Roman" w:eastAsia="Google Sans Text" w:hAnsi="Times New Roman" w:cs="Times New Roman"/>
                <w:color w:val="1F1F1F"/>
                <w:sz w:val="20"/>
                <w:szCs w:val="20"/>
              </w:rPr>
              <w:t>Spine: 11; Hip: 5; Forearm/Wrist: 1; Shoulder/Prox humerus: 1</w:t>
            </w:r>
          </w:p>
        </w:tc>
      </w:tr>
    </w:tbl>
    <w:p w14:paraId="372662C8" w14:textId="4E1AF755" w:rsidR="00376034" w:rsidRDefault="00376034" w:rsidP="00376034">
      <w:pPr>
        <w:spacing w:line="275" w:lineRule="auto"/>
        <w:rPr>
          <w:rFonts w:ascii="Times New Roman" w:eastAsia="Google Sans Text" w:hAnsi="Times New Roman" w:cs="Times New Roman"/>
          <w:color w:val="1F1F1F"/>
          <w:sz w:val="20"/>
          <w:szCs w:val="20"/>
        </w:rPr>
      </w:pPr>
      <w:r>
        <w:rPr>
          <w:rFonts w:ascii="Times New Roman" w:eastAsia="Google Sans Text" w:hAnsi="Times New Roman" w:cs="Times New Roman"/>
          <w:color w:val="1F1F1F"/>
          <w:sz w:val="20"/>
          <w:szCs w:val="20"/>
        </w:rPr>
        <w:t>Note</w:t>
      </w:r>
    </w:p>
    <w:p w14:paraId="48FFA276" w14:textId="0C062BC8" w:rsidR="00376034" w:rsidRPr="00376034" w:rsidRDefault="00376034" w:rsidP="00376034">
      <w:pPr>
        <w:spacing w:after="240" w:line="275" w:lineRule="auto"/>
        <w:rPr>
          <w:rFonts w:ascii="Times New Roman" w:eastAsia="Google Sans Text" w:hAnsi="Times New Roman" w:cs="Times New Roman"/>
          <w:color w:val="1F1F1F"/>
          <w:sz w:val="20"/>
          <w:szCs w:val="20"/>
        </w:rPr>
      </w:pPr>
      <w:r w:rsidRPr="00376034">
        <w:rPr>
          <w:rFonts w:ascii="Times New Roman" w:eastAsia="Google Sans Text" w:hAnsi="Times New Roman" w:cs="Times New Roman"/>
          <w:color w:val="1F1F1F"/>
          <w:sz w:val="20"/>
          <w:szCs w:val="20"/>
        </w:rPr>
        <w:t>* Fragility-site fractures were defined a priori as spine, hip, wrist/forearm, pelvis, and shoulder/proximal humerus, consistent with TOPF guideline-based risk consideration.</w:t>
      </w:r>
      <w:r w:rsidRPr="00376034">
        <w:rPr>
          <w:rFonts w:ascii="Times New Roman" w:eastAsia="Google Sans Text" w:hAnsi="Times New Roman" w:cs="Times New Roman"/>
          <w:color w:val="1F1F1F"/>
          <w:sz w:val="20"/>
          <w:szCs w:val="20"/>
        </w:rPr>
        <w:br/>
        <w:t>** Counts are not mutually exclusive because a vignette may include fractures at more than one site.</w:t>
      </w:r>
    </w:p>
    <w:p w14:paraId="120874C4" w14:textId="05B3FEE8" w:rsidR="00376034" w:rsidRPr="00376034" w:rsidRDefault="00376034" w:rsidP="00376034">
      <w:pPr>
        <w:spacing w:before="120" w:after="120" w:line="275" w:lineRule="auto"/>
        <w:rPr>
          <w:rFonts w:ascii="Times New Roman" w:eastAsia="Google Sans Text" w:hAnsi="Times New Roman" w:cs="Times New Roman"/>
          <w:b/>
          <w:bCs/>
          <w:color w:val="1F1F1F"/>
          <w:sz w:val="20"/>
          <w:szCs w:val="20"/>
        </w:rPr>
      </w:pPr>
      <w:r w:rsidRPr="00376034">
        <w:rPr>
          <w:rFonts w:ascii="Times New Roman" w:eastAsia="Google Sans Text" w:hAnsi="Times New Roman" w:cs="Times New Roman"/>
          <w:b/>
          <w:bCs/>
          <w:color w:val="1F1F1F"/>
          <w:sz w:val="20"/>
          <w:szCs w:val="20"/>
        </w:rPr>
        <w:t>Supplementary Note</w:t>
      </w:r>
    </w:p>
    <w:p w14:paraId="69744C42" w14:textId="77777777" w:rsidR="00376034" w:rsidRPr="00376034" w:rsidRDefault="00376034" w:rsidP="00376034">
      <w:pPr>
        <w:pBdr>
          <w:top w:val="nil"/>
          <w:left w:val="nil"/>
          <w:bottom w:val="nil"/>
          <w:right w:val="nil"/>
          <w:between w:val="nil"/>
        </w:pBdr>
        <w:spacing w:before="120" w:after="120" w:line="275" w:lineRule="auto"/>
        <w:rPr>
          <w:rFonts w:ascii="Times New Roman" w:eastAsia="Google Sans Text" w:hAnsi="Times New Roman" w:cs="Times New Roman"/>
          <w:color w:val="1F1F1F"/>
          <w:sz w:val="20"/>
          <w:szCs w:val="20"/>
        </w:rPr>
      </w:pPr>
      <w:r w:rsidRPr="00376034">
        <w:rPr>
          <w:rFonts w:ascii="Times New Roman" w:eastAsia="Google Sans Text" w:hAnsi="Times New Roman" w:cs="Times New Roman"/>
          <w:color w:val="1F1F1F"/>
          <w:sz w:val="20"/>
          <w:szCs w:val="20"/>
        </w:rPr>
        <w:t>Non-fragility fractures were included in selected case vignettes to enhance clinical realism. However, only fragility-site fractures (spine, hip, wrist/forearm, pelvis, and shoulder/proximal humerus) were considered in defining osteoporosis risk categories and treatment recommendations according to the Thai Osteoporosis Foundation guideline. Non-fragility fractures did not influence gold-standard risk classification or treatment decisions.</w:t>
      </w:r>
    </w:p>
    <w:p w14:paraId="7E1F1A8C" w14:textId="77777777" w:rsidR="00C839FE" w:rsidRPr="00376034" w:rsidRDefault="00C839FE">
      <w:pPr>
        <w:rPr>
          <w:rFonts w:ascii="Times New Roman" w:hAnsi="Times New Roman" w:cs="Times New Roman"/>
          <w:sz w:val="20"/>
          <w:szCs w:val="20"/>
        </w:rPr>
      </w:pPr>
    </w:p>
    <w:sectPr w:rsidR="00C839FE" w:rsidRPr="00376034" w:rsidSect="00376034">
      <w:pgSz w:w="12240" w:h="15840"/>
      <w:pgMar w:top="838" w:right="1440" w:bottom="122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ogle Sans Text">
    <w:altName w:val="Calibri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34"/>
    <w:rsid w:val="00007C45"/>
    <w:rsid w:val="00015D39"/>
    <w:rsid w:val="00026CF6"/>
    <w:rsid w:val="0005583B"/>
    <w:rsid w:val="000867DF"/>
    <w:rsid w:val="00092EF4"/>
    <w:rsid w:val="000956C3"/>
    <w:rsid w:val="000A24C0"/>
    <w:rsid w:val="001126AB"/>
    <w:rsid w:val="0013770C"/>
    <w:rsid w:val="00157809"/>
    <w:rsid w:val="0017240E"/>
    <w:rsid w:val="001830B5"/>
    <w:rsid w:val="001B563C"/>
    <w:rsid w:val="001E2A6C"/>
    <w:rsid w:val="001F7C18"/>
    <w:rsid w:val="002164F6"/>
    <w:rsid w:val="00223783"/>
    <w:rsid w:val="0022547C"/>
    <w:rsid w:val="002432D9"/>
    <w:rsid w:val="0024412D"/>
    <w:rsid w:val="00264AD8"/>
    <w:rsid w:val="00284D84"/>
    <w:rsid w:val="00285044"/>
    <w:rsid w:val="00291F98"/>
    <w:rsid w:val="002955F7"/>
    <w:rsid w:val="002C1A1C"/>
    <w:rsid w:val="002F7DDB"/>
    <w:rsid w:val="003028C6"/>
    <w:rsid w:val="00312C90"/>
    <w:rsid w:val="00322F38"/>
    <w:rsid w:val="00330C9E"/>
    <w:rsid w:val="00336384"/>
    <w:rsid w:val="00340D33"/>
    <w:rsid w:val="003526AE"/>
    <w:rsid w:val="00376034"/>
    <w:rsid w:val="00387DDE"/>
    <w:rsid w:val="003A32CA"/>
    <w:rsid w:val="003D463C"/>
    <w:rsid w:val="003E55F8"/>
    <w:rsid w:val="00430992"/>
    <w:rsid w:val="0044169A"/>
    <w:rsid w:val="00451C0D"/>
    <w:rsid w:val="004525CF"/>
    <w:rsid w:val="004674E0"/>
    <w:rsid w:val="004B7BB3"/>
    <w:rsid w:val="004F4106"/>
    <w:rsid w:val="00543F7F"/>
    <w:rsid w:val="005B2DAE"/>
    <w:rsid w:val="005B4DB8"/>
    <w:rsid w:val="005D3DC0"/>
    <w:rsid w:val="005F4725"/>
    <w:rsid w:val="0064474B"/>
    <w:rsid w:val="006607B4"/>
    <w:rsid w:val="006712E1"/>
    <w:rsid w:val="0067224D"/>
    <w:rsid w:val="00686AE9"/>
    <w:rsid w:val="006B5BBA"/>
    <w:rsid w:val="006C4CBC"/>
    <w:rsid w:val="00717DF3"/>
    <w:rsid w:val="00752FEF"/>
    <w:rsid w:val="00766029"/>
    <w:rsid w:val="00770251"/>
    <w:rsid w:val="00792439"/>
    <w:rsid w:val="007C1AA2"/>
    <w:rsid w:val="007C4091"/>
    <w:rsid w:val="007C6A78"/>
    <w:rsid w:val="007D2597"/>
    <w:rsid w:val="007E66C1"/>
    <w:rsid w:val="00817045"/>
    <w:rsid w:val="008300AD"/>
    <w:rsid w:val="00844F3E"/>
    <w:rsid w:val="00853B36"/>
    <w:rsid w:val="00867B1C"/>
    <w:rsid w:val="0089263B"/>
    <w:rsid w:val="008A7B5B"/>
    <w:rsid w:val="008C7A84"/>
    <w:rsid w:val="008E7FF1"/>
    <w:rsid w:val="00905117"/>
    <w:rsid w:val="00942363"/>
    <w:rsid w:val="009E0678"/>
    <w:rsid w:val="009E2C4A"/>
    <w:rsid w:val="009E4B1E"/>
    <w:rsid w:val="00A05DDA"/>
    <w:rsid w:val="00A06ECB"/>
    <w:rsid w:val="00A153A9"/>
    <w:rsid w:val="00A26640"/>
    <w:rsid w:val="00A33E95"/>
    <w:rsid w:val="00A349FB"/>
    <w:rsid w:val="00A670C4"/>
    <w:rsid w:val="00A73B95"/>
    <w:rsid w:val="00AA01E4"/>
    <w:rsid w:val="00AC215E"/>
    <w:rsid w:val="00AE0D71"/>
    <w:rsid w:val="00B14B79"/>
    <w:rsid w:val="00B47482"/>
    <w:rsid w:val="00B63666"/>
    <w:rsid w:val="00B65C6F"/>
    <w:rsid w:val="00B755DE"/>
    <w:rsid w:val="00B86B48"/>
    <w:rsid w:val="00B948F4"/>
    <w:rsid w:val="00BA235E"/>
    <w:rsid w:val="00C00F75"/>
    <w:rsid w:val="00C24F32"/>
    <w:rsid w:val="00C519AB"/>
    <w:rsid w:val="00C64E2C"/>
    <w:rsid w:val="00C75A9F"/>
    <w:rsid w:val="00C76091"/>
    <w:rsid w:val="00C76EC5"/>
    <w:rsid w:val="00C839FE"/>
    <w:rsid w:val="00C8535D"/>
    <w:rsid w:val="00C96024"/>
    <w:rsid w:val="00C96F00"/>
    <w:rsid w:val="00CD71B2"/>
    <w:rsid w:val="00D544CF"/>
    <w:rsid w:val="00D6146A"/>
    <w:rsid w:val="00D621E6"/>
    <w:rsid w:val="00D6537F"/>
    <w:rsid w:val="00D73E86"/>
    <w:rsid w:val="00DC082B"/>
    <w:rsid w:val="00DF5572"/>
    <w:rsid w:val="00E0173B"/>
    <w:rsid w:val="00E0652A"/>
    <w:rsid w:val="00E148FF"/>
    <w:rsid w:val="00E340BF"/>
    <w:rsid w:val="00E36B13"/>
    <w:rsid w:val="00E50185"/>
    <w:rsid w:val="00E61DA3"/>
    <w:rsid w:val="00E730FB"/>
    <w:rsid w:val="00E97D06"/>
    <w:rsid w:val="00EB28DB"/>
    <w:rsid w:val="00EC6AAF"/>
    <w:rsid w:val="00EE4C5F"/>
    <w:rsid w:val="00EF4866"/>
    <w:rsid w:val="00EF76A8"/>
    <w:rsid w:val="00F27F56"/>
    <w:rsid w:val="00F31D6E"/>
    <w:rsid w:val="00F441A5"/>
    <w:rsid w:val="00F504BF"/>
    <w:rsid w:val="00F82520"/>
    <w:rsid w:val="00F8408B"/>
    <w:rsid w:val="00F854C1"/>
    <w:rsid w:val="00F967D8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F8AC8"/>
  <w15:chartTrackingRefBased/>
  <w15:docId w15:val="{D62EF27E-D9D3-BB43-BFF9-32CBB18B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034"/>
    <w:pPr>
      <w:widowControl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03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03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03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760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760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76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034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034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034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7603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1245</Characters>
  <Application>Microsoft Office Word</Application>
  <DocSecurity>0</DocSecurity>
  <Lines>47</Lines>
  <Paragraphs>43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Nuttawut Chanalithichai</dc:creator>
  <cp:keywords/>
  <dc:description/>
  <cp:lastModifiedBy>Nuttawut Chanalithichai</cp:lastModifiedBy>
  <cp:revision>2</cp:revision>
  <dcterms:created xsi:type="dcterms:W3CDTF">2026-02-01T15:30:00Z</dcterms:created>
  <dcterms:modified xsi:type="dcterms:W3CDTF">2026-02-01T16:52:00Z</dcterms:modified>
</cp:coreProperties>
</file>