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160" w:line="256.7994545454545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6.7994545454545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sTable1</w:t>
      </w:r>
    </w:p>
    <w:p w:rsidR="00000000" w:rsidDel="00000000" w:rsidP="00000000" w:rsidRDefault="00000000" w:rsidRPr="00000000" w14:paraId="00000003">
      <w:pPr>
        <w:spacing w:after="160" w:line="256.7994545454545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OCD (N=12)</w:t>
      </w:r>
    </w:p>
    <w:tbl>
      <w:tblPr>
        <w:tblStyle w:val="Table1"/>
        <w:tblW w:w="9070.86614173228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88.2718607542483"/>
        <w:gridCol w:w="5982.594280978036"/>
        <w:tblGridChange w:id="0">
          <w:tblGrid>
            <w:gridCol w:w="3088.2718607542483"/>
            <w:gridCol w:w="5982.594280978036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Sex (% female)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41.7 (n=5)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Age at implantation (in years)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41.1±10.3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Y-BOCS at baseline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31.9±5.4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MADRS at baseline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17.4±9.3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Age at onset of illness (in years)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15.0±4.4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Duration of illness (in years)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25.1±10.9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Number of prior medications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6.7±2.7</w:t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Demographic clinical characteristics</w:t>
      </w:r>
      <w:r w:rsidDel="00000000" w:rsidR="00000000" w:rsidRPr="00000000">
        <w:rPr>
          <w:b w:val="1"/>
          <w:bCs w:val="1"/>
          <w:rtl w:val="0"/>
        </w:rPr>
        <w:t xml:space="preserve"> for investigation of disease specific connectivities.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Values are mean ± SD; MADRS = Montgomery Asberg Depression Rating Scale; Y-BOCS = Yale-Brown Obsessive Compulsive Scale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sTable2</w:t>
      </w:r>
    </w:p>
    <w:p w:rsidR="00000000" w:rsidDel="00000000" w:rsidP="00000000" w:rsidRDefault="00000000" w:rsidRPr="00000000" w14:paraId="00000038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cortico-subcortical (</w:t>
      </w:r>
      <w:r w:rsidDel="00000000" w:rsidR="00000000" w:rsidRPr="00000000">
        <w:rPr>
          <w:b w:val="1"/>
          <w:bCs w:val="1"/>
          <w:rtl w:val="0"/>
        </w:rPr>
        <w:t xml:space="preserve">projection</w:t>
      </w:r>
      <w:r w:rsidDel="00000000" w:rsidR="00000000" w:rsidRPr="00000000">
        <w:rPr>
          <w:rtl w:val="0"/>
        </w:rPr>
        <w:t xml:space="preserve"> fibers). </w:t>
      </w:r>
    </w:p>
    <w:tbl>
      <w:tblPr>
        <w:tblStyle w:val="Table2"/>
        <w:tblW w:w="6820.0" w:type="dxa"/>
        <w:jc w:val="left"/>
        <w:tblBorders>
          <w:top w:color="9e9e9e" w:space="0" w:sz="8" w:val="single"/>
          <w:left w:color="9e9e9e" w:space="0" w:sz="8" w:val="single"/>
          <w:bottom w:color="9e9e9e" w:space="0" w:sz="8" w:val="single"/>
          <w:right w:color="9e9e9e" w:space="0" w:sz="8" w:val="single"/>
          <w:insideH w:color="9e9e9e" w:space="0" w:sz="8" w:val="single"/>
          <w:insideV w:color="9e9e9e" w:space="0" w:sz="8" w:val="single"/>
        </w:tblBorders>
        <w:tblLayout w:type="fixed"/>
        <w:tblLook w:val="0600"/>
      </w:tblPr>
      <w:tblGrid>
        <w:gridCol w:w="1900"/>
        <w:gridCol w:w="1280"/>
        <w:gridCol w:w="1160"/>
        <w:gridCol w:w="1260"/>
        <w:gridCol w:w="1220"/>
        <w:tblGridChange w:id="0">
          <w:tblGrid>
            <w:gridCol w:w="1900"/>
            <w:gridCol w:w="1280"/>
            <w:gridCol w:w="1160"/>
            <w:gridCol w:w="1260"/>
            <w:gridCol w:w="122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OCD, 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right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/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/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/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/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/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OCD, 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left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vlPFC-STN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0.042509*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1.785364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2.060626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+</w:t>
            </w:r>
          </w:p>
        </w:tc>
      </w:tr>
    </w:tbl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  <w:t xml:space="preserve">cortico-cortical (</w:t>
      </w:r>
      <w:r w:rsidDel="00000000" w:rsidR="00000000" w:rsidRPr="00000000">
        <w:rPr>
          <w:b w:val="1"/>
          <w:bCs w:val="1"/>
          <w:rtl w:val="0"/>
        </w:rPr>
        <w:t xml:space="preserve">association</w:t>
      </w:r>
      <w:r w:rsidDel="00000000" w:rsidR="00000000" w:rsidRPr="00000000">
        <w:rPr>
          <w:rtl w:val="0"/>
        </w:rPr>
        <w:t xml:space="preserve"> fibers)</w:t>
      </w:r>
      <w:r w:rsidDel="00000000" w:rsidR="00000000" w:rsidRPr="00000000">
        <w:rPr>
          <w:rtl w:val="0"/>
        </w:rPr>
      </w:r>
    </w:p>
    <w:tbl>
      <w:tblPr>
        <w:tblStyle w:val="Table3"/>
        <w:tblW w:w="6810.0" w:type="dxa"/>
        <w:jc w:val="left"/>
        <w:tblBorders>
          <w:top w:color="9e9e9e" w:space="0" w:sz="8" w:val="single"/>
          <w:left w:color="9e9e9e" w:space="0" w:sz="8" w:val="single"/>
          <w:bottom w:color="9e9e9e" w:space="0" w:sz="8" w:val="single"/>
          <w:right w:color="9e9e9e" w:space="0" w:sz="8" w:val="single"/>
          <w:insideH w:color="9e9e9e" w:space="0" w:sz="8" w:val="single"/>
          <w:insideV w:color="9e9e9e" w:space="0" w:sz="8" w:val="single"/>
        </w:tblBorders>
        <w:tblLayout w:type="fixed"/>
        <w:tblLook w:val="0600"/>
      </w:tblPr>
      <w:tblGrid>
        <w:gridCol w:w="1890"/>
        <w:gridCol w:w="1260"/>
        <w:gridCol w:w="1170"/>
        <w:gridCol w:w="1260"/>
        <w:gridCol w:w="1230"/>
        <w:tblGridChange w:id="0">
          <w:tblGrid>
            <w:gridCol w:w="1890"/>
            <w:gridCol w:w="1260"/>
            <w:gridCol w:w="1170"/>
            <w:gridCol w:w="1260"/>
            <w:gridCol w:w="123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OCD, 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right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OFC - dmPFC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0.002874*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0.070413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3.076905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+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dmPFC - (pre)motor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0.005914*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0.144895 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-2.829137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-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dACC- (pre)motor 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0.038283*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0.937938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2.107082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+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OCD, 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left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OFC - (pre)motor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0.045535* 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1.115605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2.031808 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+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dmPFC - (pre)motor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0.023238*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0.569325 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-2.314515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-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dACC - dmPFC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0.040420*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0.990286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2.083707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+</w:t>
            </w:r>
          </w:p>
        </w:tc>
      </w:tr>
    </w:tbl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sTable: Disease specific connectivities for obsessive-compulsive disorder (OCD). </w:t>
      </w:r>
      <w:r w:rsidDel="00000000" w:rsidR="00000000" w:rsidRPr="00000000">
        <w:rPr>
          <w:rtl w:val="0"/>
        </w:rPr>
        <w:t xml:space="preserve">P values and effect sizes.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032842" cy="2826796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32842" cy="28267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sFigure1: </w:t>
      </w:r>
      <w:r w:rsidDel="00000000" w:rsidR="00000000" w:rsidRPr="00000000">
        <w:rPr>
          <w:sz w:val="18"/>
          <w:szCs w:val="18"/>
          <w:rtl w:val="0"/>
        </w:rPr>
        <w:t xml:space="preserve">Different strategies for normalisation of cord-plots. Note the amount of similarity achieved with bilateral adjustment to subcortical and cortical fibers - according to the Sinkhorn principle - despite different tracking technologies being taken (marmoset, AAvATT vs. human, HCP DTI-FT).</w:t>
      </w:r>
    </w:p>
    <w:p w:rsidR="00000000" w:rsidDel="00000000" w:rsidP="00000000" w:rsidRDefault="00000000" w:rsidRPr="00000000" w14:paraId="00000096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965944" cy="27909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65944" cy="27909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sFigure2: </w:t>
      </w:r>
      <w:r w:rsidDel="00000000" w:rsidR="00000000" w:rsidRPr="00000000">
        <w:rPr>
          <w:sz w:val="18"/>
          <w:szCs w:val="18"/>
          <w:rtl w:val="0"/>
        </w:rPr>
        <w:t xml:space="preserve">Qualitative comparison of sub-network contributions between marmoset (cord-plot, center) and human (orbitals). The purple equator separates cortical and subcortical territories.</w:t>
      </w:r>
    </w:p>
    <w:p w:rsidR="00000000" w:rsidDel="00000000" w:rsidP="00000000" w:rsidRDefault="00000000" w:rsidRPr="00000000" w14:paraId="000000AA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.3228346456694" w:top="1417.3228346456694" w:left="1417.3228346456694" w:right="1417.3228346456694" w:header="720" w:footer="720"/>
      <w:pgNumType w:start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pPr/>
    <w:rPr/>
    <w:tblPr>
      <w:tblStyleRowBandSize w:val="1"/>
      <w:tblStyleColBandSize w:val="1"/>
      <w:tblCellMar/>
    </w:tblPr>
    <w:tblStylePr w:type="band1Horz">
      <w:pPr/>
      <w:rPr/>
      <w:tcPr/>
    </w:tblStylePr>
    <w:tblStylePr w:type="band1Vert">
      <w:pPr/>
      <w:rPr/>
      <w:tcPr/>
    </w:tblStylePr>
    <w:tblStylePr w:type="band2Horz">
      <w:pPr/>
      <w:rPr/>
      <w:tcPr/>
    </w:tblStylePr>
    <w:tblStylePr w:type="band2Vert">
      <w:pPr/>
      <w:rPr/>
      <w:tcPr/>
    </w:tblStylePr>
    <w:tblStylePr w:type="firstCol">
      <w:pPr/>
      <w:rPr/>
      <w:tcPr/>
    </w:tblStylePr>
    <w:tblStylePr w:type="firstRow">
      <w:pPr/>
      <w:rPr/>
      <w:tcPr/>
    </w:tblStylePr>
    <w:tblStylePr w:type="lastCol">
      <w:pPr/>
      <w:rPr/>
      <w:tcPr/>
    </w:tblStylePr>
    <w:tblStylePr w:type="lastRow">
      <w:pPr/>
      <w:rPr/>
      <w:tcPr/>
    </w:tblStylePr>
    <w:tblStylePr w:type="neCell">
      <w:pPr/>
      <w:rPr/>
      <w:tcPr/>
    </w:tblStylePr>
    <w:tblStylePr w:type="nwCell">
      <w:pPr/>
      <w:rPr/>
      <w:tcPr/>
    </w:tblStylePr>
    <w:tblStylePr w:type="seCell">
      <w:pPr/>
      <w:rPr/>
      <w:tcPr/>
    </w:tblStylePr>
    <w:tblStylePr w:type="swCell">
      <w:pPr/>
      <w:rPr/>
      <w:tcPr/>
    </w:tblStylePr>
  </w:style>
  <w:style w:type="table" w:styleId="Table3">
    <w:basedOn w:val="TableNormal"/>
    <w:pPr/>
    <w:rPr/>
    <w:tblPr>
      <w:tblStyleRowBandSize w:val="1"/>
      <w:tblStyleColBandSize w:val="1"/>
      <w:tblCellMar/>
    </w:tblPr>
    <w:tblStylePr w:type="band1Horz">
      <w:pPr/>
      <w:rPr/>
      <w:tcPr/>
    </w:tblStylePr>
    <w:tblStylePr w:type="band1Vert">
      <w:pPr/>
      <w:rPr/>
      <w:tcPr/>
    </w:tblStylePr>
    <w:tblStylePr w:type="band2Horz">
      <w:pPr/>
      <w:rPr/>
      <w:tcPr/>
    </w:tblStylePr>
    <w:tblStylePr w:type="band2Vert">
      <w:pPr/>
      <w:rPr/>
      <w:tcPr/>
    </w:tblStylePr>
    <w:tblStylePr w:type="firstCol">
      <w:pPr/>
      <w:rPr/>
      <w:tcPr/>
    </w:tblStylePr>
    <w:tblStylePr w:type="firstRow">
      <w:pPr/>
      <w:rPr/>
      <w:tcPr/>
    </w:tblStylePr>
    <w:tblStylePr w:type="lastCol">
      <w:pPr/>
      <w:rPr/>
      <w:tcPr/>
    </w:tblStylePr>
    <w:tblStylePr w:type="lastRow">
      <w:pPr/>
      <w:rPr/>
      <w:tcPr/>
    </w:tblStylePr>
    <w:tblStylePr w:type="neCell">
      <w:pPr/>
      <w:rPr/>
      <w:tcPr/>
    </w:tblStylePr>
    <w:tblStylePr w:type="nwCell">
      <w:pPr/>
      <w:rPr/>
      <w:tcPr/>
    </w:tblStylePr>
    <w:tblStylePr w:type="seCell">
      <w:pPr/>
      <w:rPr/>
      <w:tcPr/>
    </w:tblStylePr>
    <w:tblStylePr w:type="swCell">
      <w:pPr/>
      <w:rPr/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