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A802CB6">
      <w:pPr>
        <w:rPr>
          <w:rFonts w:hint="eastAsia" w:ascii="Times New Roman" w:hAnsi="Times New Roman" w:cs="Times New Roman"/>
          <w:sz w:val="24"/>
        </w:rPr>
      </w:pPr>
      <w:r>
        <w:rPr>
          <w:rFonts w:hint="eastAsia" w:ascii="Times New Roman" w:hAnsi="Times New Roman" w:cs="Times New Roman"/>
          <w:b/>
          <w:bCs/>
          <w:sz w:val="24"/>
        </w:rPr>
        <w:t>Supplementary Table S1. Summary of genomic information for the 26 Gossypium accessions used in pan-genomic analysis.</w:t>
      </w:r>
    </w:p>
    <w:p w14:paraId="4826DF91">
      <w:pPr>
        <w:rPr>
          <w:rFonts w:hint="eastAsia" w:ascii="Times New Roman" w:hAnsi="Times New Roman" w:cs="Times New Roman"/>
          <w:sz w:val="24"/>
        </w:rPr>
      </w:pPr>
    </w:p>
    <w:tbl>
      <w:tblPr>
        <w:tblStyle w:val="5"/>
        <w:tblW w:w="0" w:type="auto"/>
        <w:tblInd w:w="0" w:type="dxa"/>
        <w:tblBorders>
          <w:top w:val="single" w:color="auto" w:sz="12" w:space="0"/>
          <w:left w:val="none" w:color="auto" w:sz="0" w:space="0"/>
          <w:bottom w:val="single" w:color="auto" w:sz="6"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866"/>
        <w:gridCol w:w="1363"/>
        <w:gridCol w:w="1248"/>
        <w:gridCol w:w="1512"/>
        <w:gridCol w:w="2533"/>
      </w:tblGrid>
      <w:tr w14:paraId="54054452">
        <w:tblPrEx>
          <w:tblBorders>
            <w:top w:val="single" w:color="auto" w:sz="12" w:space="0"/>
            <w:left w:val="none" w:color="auto" w:sz="0" w:space="0"/>
            <w:bottom w:val="single" w:color="auto" w:sz="6" w:space="0"/>
            <w:right w:val="none" w:color="auto" w:sz="0" w:space="0"/>
            <w:insideH w:val="none" w:color="auto" w:sz="0" w:space="0"/>
            <w:insideV w:val="none" w:color="auto" w:sz="0" w:space="0"/>
          </w:tblBorders>
          <w:tblCellMar>
            <w:top w:w="0" w:type="dxa"/>
            <w:left w:w="108" w:type="dxa"/>
            <w:bottom w:w="0" w:type="dxa"/>
            <w:right w:w="108" w:type="dxa"/>
          </w:tblCellMar>
        </w:tblPrEx>
        <w:tc>
          <w:tcPr>
            <w:tcW w:w="1866" w:type="dxa"/>
            <w:tcBorders>
              <w:bottom w:val="single" w:color="auto" w:sz="6" w:space="0"/>
            </w:tcBorders>
            <w:shd w:val="clear" w:color="auto" w:fill="auto"/>
            <w:vAlign w:val="center"/>
          </w:tcPr>
          <w:p w14:paraId="0278C758">
            <w:pPr>
              <w:keepNext w:val="0"/>
              <w:keepLines w:val="0"/>
              <w:widowControl/>
              <w:suppressLineNumbers w:val="0"/>
              <w:jc w:val="center"/>
              <w:textAlignment w:val="center"/>
              <w:rPr>
                <w:rFonts w:hint="default"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Species</w:t>
            </w:r>
          </w:p>
        </w:tc>
        <w:tc>
          <w:tcPr>
            <w:tcW w:w="1363" w:type="dxa"/>
            <w:tcBorders>
              <w:bottom w:val="single" w:color="auto" w:sz="6" w:space="0"/>
            </w:tcBorders>
            <w:shd w:val="clear" w:color="auto" w:fill="auto"/>
            <w:vAlign w:val="center"/>
          </w:tcPr>
          <w:p w14:paraId="57200DCA">
            <w:pPr>
              <w:keepNext w:val="0"/>
              <w:keepLines w:val="0"/>
              <w:widowControl/>
              <w:suppressLineNumbers w:val="0"/>
              <w:jc w:val="center"/>
              <w:textAlignment w:val="center"/>
              <w:rPr>
                <w:rFonts w:hint="default"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Number of Genes</w:t>
            </w:r>
          </w:p>
        </w:tc>
        <w:tc>
          <w:tcPr>
            <w:tcW w:w="1248" w:type="dxa"/>
            <w:tcBorders>
              <w:bottom w:val="single" w:color="auto" w:sz="6" w:space="0"/>
            </w:tcBorders>
            <w:shd w:val="clear" w:color="auto" w:fill="auto"/>
            <w:vAlign w:val="center"/>
          </w:tcPr>
          <w:p w14:paraId="7790B2F5">
            <w:pPr>
              <w:keepNext w:val="0"/>
              <w:keepLines w:val="0"/>
              <w:widowControl/>
              <w:suppressLineNumbers w:val="0"/>
              <w:jc w:val="center"/>
              <w:textAlignment w:val="center"/>
              <w:rPr>
                <w:rFonts w:hint="default"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Genomic Group</w:t>
            </w:r>
          </w:p>
        </w:tc>
        <w:tc>
          <w:tcPr>
            <w:tcW w:w="1512" w:type="dxa"/>
            <w:tcBorders>
              <w:bottom w:val="single" w:color="auto" w:sz="6" w:space="0"/>
            </w:tcBorders>
            <w:shd w:val="clear" w:color="auto" w:fill="auto"/>
            <w:vAlign w:val="center"/>
          </w:tcPr>
          <w:p w14:paraId="6EE48383">
            <w:pPr>
              <w:keepNext w:val="0"/>
              <w:keepLines w:val="0"/>
              <w:widowControl/>
              <w:suppressLineNumbers w:val="0"/>
              <w:jc w:val="center"/>
              <w:textAlignment w:val="center"/>
              <w:rPr>
                <w:rFonts w:hint="default"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Genome Size</w:t>
            </w:r>
          </w:p>
        </w:tc>
        <w:tc>
          <w:tcPr>
            <w:tcW w:w="2533" w:type="dxa"/>
            <w:tcBorders>
              <w:bottom w:val="single" w:color="auto" w:sz="6" w:space="0"/>
            </w:tcBorders>
            <w:shd w:val="clear" w:color="auto" w:fill="auto"/>
            <w:vAlign w:val="center"/>
          </w:tcPr>
          <w:p w14:paraId="713FB495">
            <w:pPr>
              <w:keepNext w:val="0"/>
              <w:keepLines w:val="0"/>
              <w:widowControl/>
              <w:suppressLineNumbers w:val="0"/>
              <w:jc w:val="center"/>
              <w:textAlignment w:val="center"/>
              <w:rPr>
                <w:rFonts w:hint="default"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Reference</w:t>
            </w:r>
          </w:p>
        </w:tc>
      </w:tr>
      <w:tr w14:paraId="2B8C2B83">
        <w:tblPrEx>
          <w:tblBorders>
            <w:top w:val="single" w:color="auto" w:sz="12" w:space="0"/>
            <w:left w:val="none" w:color="auto" w:sz="0" w:space="0"/>
            <w:bottom w:val="single" w:color="auto" w:sz="6" w:space="0"/>
            <w:right w:val="none" w:color="auto" w:sz="0" w:space="0"/>
            <w:insideH w:val="none" w:color="auto" w:sz="0" w:space="0"/>
            <w:insideV w:val="none" w:color="auto" w:sz="0" w:space="0"/>
          </w:tblBorders>
          <w:tblCellMar>
            <w:top w:w="0" w:type="dxa"/>
            <w:left w:w="108" w:type="dxa"/>
            <w:bottom w:w="0" w:type="dxa"/>
            <w:right w:w="108" w:type="dxa"/>
          </w:tblCellMar>
        </w:tblPrEx>
        <w:tc>
          <w:tcPr>
            <w:tcW w:w="1866" w:type="dxa"/>
            <w:tcBorders>
              <w:top w:val="single" w:color="auto" w:sz="6" w:space="0"/>
            </w:tcBorders>
            <w:vAlign w:val="center"/>
          </w:tcPr>
          <w:p w14:paraId="138F8BD0">
            <w:pPr>
              <w:keepNext w:val="0"/>
              <w:keepLines w:val="0"/>
              <w:widowControl/>
              <w:suppressLineNumbers w:val="0"/>
              <w:jc w:val="center"/>
              <w:textAlignment w:val="center"/>
              <w:rPr>
                <w:rFonts w:hint="default" w:eastAsiaTheme="minorEastAsia"/>
                <w:vertAlign w:val="baseline"/>
                <w:lang w:val="en-US" w:eastAsia="zh-CN"/>
              </w:rPr>
            </w:pPr>
            <w:r>
              <w:rPr>
                <w:rFonts w:hint="eastAsia" w:ascii="宋体" w:hAnsi="宋体" w:eastAsia="宋体" w:cs="宋体"/>
                <w:i w:val="0"/>
                <w:iCs w:val="0"/>
                <w:color w:val="000000"/>
                <w:kern w:val="0"/>
                <w:sz w:val="22"/>
                <w:szCs w:val="22"/>
                <w:u w:val="none"/>
                <w:lang w:val="en-US" w:eastAsia="zh-CN" w:bidi="ar"/>
              </w:rPr>
              <w:t>G.herbaceum</w:t>
            </w:r>
          </w:p>
        </w:tc>
        <w:tc>
          <w:tcPr>
            <w:tcW w:w="1363" w:type="dxa"/>
            <w:tcBorders>
              <w:top w:val="single" w:color="auto" w:sz="6" w:space="0"/>
            </w:tcBorders>
            <w:vAlign w:val="center"/>
          </w:tcPr>
          <w:p w14:paraId="4D933406">
            <w:pPr>
              <w:keepNext w:val="0"/>
              <w:keepLines w:val="0"/>
              <w:widowControl/>
              <w:suppressLineNumbers w:val="0"/>
              <w:jc w:val="center"/>
              <w:textAlignment w:val="center"/>
              <w:rPr>
                <w:rFonts w:hint="default" w:eastAsiaTheme="minorEastAsia"/>
                <w:vertAlign w:val="baseline"/>
                <w:lang w:val="en-US" w:eastAsia="zh-CN"/>
              </w:rPr>
            </w:pPr>
            <w:r>
              <w:rPr>
                <w:rFonts w:hint="eastAsia" w:ascii="宋体" w:hAnsi="宋体" w:eastAsia="宋体" w:cs="宋体"/>
                <w:i w:val="0"/>
                <w:iCs w:val="0"/>
                <w:color w:val="000000"/>
                <w:kern w:val="0"/>
                <w:sz w:val="22"/>
                <w:szCs w:val="22"/>
                <w:u w:val="none"/>
                <w:lang w:val="en-US" w:eastAsia="zh-CN" w:bidi="ar"/>
              </w:rPr>
              <w:t>41642</w:t>
            </w:r>
          </w:p>
        </w:tc>
        <w:tc>
          <w:tcPr>
            <w:tcW w:w="1248" w:type="dxa"/>
            <w:tcBorders>
              <w:top w:val="single" w:color="auto" w:sz="6" w:space="0"/>
            </w:tcBorders>
            <w:vAlign w:val="center"/>
          </w:tcPr>
          <w:p w14:paraId="3D4E1792">
            <w:pPr>
              <w:keepNext w:val="0"/>
              <w:keepLines w:val="0"/>
              <w:widowControl/>
              <w:suppressLineNumbers w:val="0"/>
              <w:jc w:val="center"/>
              <w:textAlignment w:val="center"/>
              <w:rPr>
                <w:rFonts w:hint="default" w:eastAsiaTheme="minorEastAsia"/>
                <w:vertAlign w:val="baseline"/>
                <w:lang w:val="en-US" w:eastAsia="zh-CN"/>
              </w:rPr>
            </w:pPr>
            <w:r>
              <w:rPr>
                <w:rFonts w:hint="eastAsia" w:ascii="宋体" w:hAnsi="宋体" w:eastAsia="宋体" w:cs="宋体"/>
                <w:i w:val="0"/>
                <w:iCs w:val="0"/>
                <w:color w:val="000000"/>
                <w:kern w:val="0"/>
                <w:sz w:val="22"/>
                <w:szCs w:val="22"/>
                <w:u w:val="none"/>
                <w:lang w:val="en-US" w:eastAsia="zh-CN" w:bidi="ar"/>
              </w:rPr>
              <w:t>A1</w:t>
            </w:r>
          </w:p>
        </w:tc>
        <w:tc>
          <w:tcPr>
            <w:tcW w:w="1512" w:type="dxa"/>
            <w:tcBorders>
              <w:top w:val="single" w:color="auto" w:sz="6" w:space="0"/>
            </w:tcBorders>
            <w:vAlign w:val="center"/>
          </w:tcPr>
          <w:p w14:paraId="06914D34">
            <w:pPr>
              <w:keepNext w:val="0"/>
              <w:keepLines w:val="0"/>
              <w:widowControl/>
              <w:suppressLineNumbers w:val="0"/>
              <w:jc w:val="center"/>
              <w:textAlignment w:val="center"/>
              <w:rPr>
                <w:rFonts w:hint="default" w:eastAsiaTheme="minorEastAsia"/>
                <w:vertAlign w:val="baseline"/>
                <w:lang w:val="en-US" w:eastAsia="zh-CN"/>
              </w:rPr>
            </w:pPr>
            <w:r>
              <w:rPr>
                <w:rFonts w:hint="eastAsia" w:ascii="宋体" w:hAnsi="宋体" w:eastAsia="宋体" w:cs="宋体"/>
                <w:i w:val="0"/>
                <w:iCs w:val="0"/>
                <w:color w:val="000000"/>
                <w:kern w:val="0"/>
                <w:sz w:val="22"/>
                <w:szCs w:val="22"/>
                <w:u w:val="none"/>
                <w:lang w:val="en-US" w:eastAsia="zh-CN" w:bidi="ar"/>
              </w:rPr>
              <w:t>1.43G</w:t>
            </w:r>
          </w:p>
        </w:tc>
        <w:tc>
          <w:tcPr>
            <w:tcW w:w="2533" w:type="dxa"/>
            <w:tcBorders>
              <w:top w:val="single" w:color="auto" w:sz="6" w:space="0"/>
            </w:tcBorders>
            <w:vAlign w:val="center"/>
          </w:tcPr>
          <w:p w14:paraId="6374EDF5">
            <w:pPr>
              <w:keepNext w:val="0"/>
              <w:keepLines w:val="0"/>
              <w:widowControl/>
              <w:suppressLineNumbers w:val="0"/>
              <w:jc w:val="center"/>
              <w:textAlignment w:val="center"/>
              <w:rPr>
                <w:rFonts w:hint="default" w:eastAsiaTheme="minorEastAsia"/>
                <w:vertAlign w:val="baseline"/>
                <w:lang w:val="en-US" w:eastAsia="zh-CN"/>
              </w:rPr>
            </w:pPr>
            <w:r>
              <w:rPr>
                <w:rFonts w:hint="eastAsia" w:ascii="宋体" w:hAnsi="宋体" w:eastAsia="宋体" w:cs="宋体"/>
                <w:i w:val="0"/>
                <w:iCs w:val="0"/>
                <w:color w:val="000000"/>
                <w:kern w:val="0"/>
                <w:sz w:val="22"/>
                <w:szCs w:val="22"/>
                <w:u w:val="none"/>
                <w:lang w:val="en-US" w:eastAsia="zh-CN" w:bidi="ar"/>
              </w:rPr>
              <w:t>Wang et al. (2022)</w:t>
            </w:r>
          </w:p>
        </w:tc>
      </w:tr>
      <w:tr w14:paraId="0E9ACEB4">
        <w:tblPrEx>
          <w:tblBorders>
            <w:top w:val="single" w:color="auto" w:sz="12" w:space="0"/>
            <w:left w:val="none" w:color="auto" w:sz="0" w:space="0"/>
            <w:bottom w:val="single" w:color="auto" w:sz="6" w:space="0"/>
            <w:right w:val="none" w:color="auto" w:sz="0" w:space="0"/>
            <w:insideH w:val="none" w:color="auto" w:sz="0" w:space="0"/>
            <w:insideV w:val="none" w:color="auto" w:sz="0" w:space="0"/>
          </w:tblBorders>
          <w:tblCellMar>
            <w:top w:w="0" w:type="dxa"/>
            <w:left w:w="108" w:type="dxa"/>
            <w:bottom w:w="0" w:type="dxa"/>
            <w:right w:w="108" w:type="dxa"/>
          </w:tblCellMar>
        </w:tblPrEx>
        <w:tc>
          <w:tcPr>
            <w:tcW w:w="1866" w:type="dxa"/>
            <w:vAlign w:val="center"/>
          </w:tcPr>
          <w:p w14:paraId="428F6788">
            <w:pPr>
              <w:keepNext w:val="0"/>
              <w:keepLines w:val="0"/>
              <w:widowControl/>
              <w:suppressLineNumbers w:val="0"/>
              <w:jc w:val="center"/>
              <w:textAlignment w:val="center"/>
              <w:rPr>
                <w:rFonts w:hint="default" w:eastAsiaTheme="minorEastAsia"/>
                <w:vertAlign w:val="baseline"/>
                <w:lang w:val="en-US" w:eastAsia="zh-CN"/>
              </w:rPr>
            </w:pPr>
            <w:r>
              <w:rPr>
                <w:rFonts w:hint="eastAsia" w:ascii="宋体" w:hAnsi="宋体" w:eastAsia="宋体" w:cs="宋体"/>
                <w:i w:val="0"/>
                <w:iCs w:val="0"/>
                <w:color w:val="000000"/>
                <w:kern w:val="0"/>
                <w:sz w:val="22"/>
                <w:szCs w:val="22"/>
                <w:u w:val="none"/>
                <w:lang w:val="en-US" w:eastAsia="zh-CN" w:bidi="ar"/>
              </w:rPr>
              <w:t>G.arboreum</w:t>
            </w:r>
          </w:p>
        </w:tc>
        <w:tc>
          <w:tcPr>
            <w:tcW w:w="1363" w:type="dxa"/>
            <w:vAlign w:val="center"/>
          </w:tcPr>
          <w:p w14:paraId="6A05692F">
            <w:pPr>
              <w:keepNext w:val="0"/>
              <w:keepLines w:val="0"/>
              <w:widowControl/>
              <w:suppressLineNumbers w:val="0"/>
              <w:jc w:val="center"/>
              <w:textAlignment w:val="center"/>
              <w:rPr>
                <w:rFonts w:hint="default" w:eastAsiaTheme="minorEastAsia"/>
                <w:vertAlign w:val="baseline"/>
                <w:lang w:val="en-US" w:eastAsia="zh-CN"/>
              </w:rPr>
            </w:pPr>
            <w:r>
              <w:rPr>
                <w:rFonts w:hint="eastAsia" w:ascii="宋体" w:hAnsi="宋体" w:eastAsia="宋体" w:cs="宋体"/>
                <w:i w:val="0"/>
                <w:iCs w:val="0"/>
                <w:color w:val="000000"/>
                <w:kern w:val="0"/>
                <w:sz w:val="22"/>
                <w:szCs w:val="22"/>
                <w:u w:val="none"/>
                <w:lang w:val="en-US" w:eastAsia="zh-CN" w:bidi="ar"/>
              </w:rPr>
              <w:t>41778</w:t>
            </w:r>
          </w:p>
        </w:tc>
        <w:tc>
          <w:tcPr>
            <w:tcW w:w="1248" w:type="dxa"/>
            <w:vAlign w:val="center"/>
          </w:tcPr>
          <w:p w14:paraId="77F7E759">
            <w:pPr>
              <w:keepNext w:val="0"/>
              <w:keepLines w:val="0"/>
              <w:widowControl/>
              <w:suppressLineNumbers w:val="0"/>
              <w:jc w:val="center"/>
              <w:textAlignment w:val="center"/>
              <w:rPr>
                <w:rFonts w:hint="default" w:eastAsiaTheme="minorEastAsia"/>
                <w:vertAlign w:val="baseline"/>
                <w:lang w:val="en-US" w:eastAsia="zh-CN"/>
              </w:rPr>
            </w:pPr>
            <w:r>
              <w:rPr>
                <w:rFonts w:hint="eastAsia" w:ascii="宋体" w:hAnsi="宋体" w:eastAsia="宋体" w:cs="宋体"/>
                <w:i w:val="0"/>
                <w:iCs w:val="0"/>
                <w:color w:val="000000"/>
                <w:kern w:val="0"/>
                <w:sz w:val="22"/>
                <w:szCs w:val="22"/>
                <w:u w:val="none"/>
                <w:lang w:val="en-US" w:eastAsia="zh-CN" w:bidi="ar"/>
              </w:rPr>
              <w:t>A2</w:t>
            </w:r>
          </w:p>
        </w:tc>
        <w:tc>
          <w:tcPr>
            <w:tcW w:w="1512" w:type="dxa"/>
            <w:vAlign w:val="center"/>
          </w:tcPr>
          <w:p w14:paraId="21227E2A">
            <w:pPr>
              <w:keepNext w:val="0"/>
              <w:keepLines w:val="0"/>
              <w:widowControl/>
              <w:suppressLineNumbers w:val="0"/>
              <w:jc w:val="center"/>
              <w:textAlignment w:val="center"/>
              <w:rPr>
                <w:rFonts w:hint="default" w:eastAsiaTheme="minorEastAsia"/>
                <w:vertAlign w:val="baseline"/>
                <w:lang w:val="en-US" w:eastAsia="zh-CN"/>
              </w:rPr>
            </w:pPr>
            <w:r>
              <w:rPr>
                <w:rFonts w:hint="eastAsia" w:ascii="宋体" w:hAnsi="宋体" w:eastAsia="宋体" w:cs="宋体"/>
                <w:i w:val="0"/>
                <w:iCs w:val="0"/>
                <w:color w:val="000000"/>
                <w:kern w:val="0"/>
                <w:sz w:val="22"/>
                <w:szCs w:val="22"/>
                <w:u w:val="none"/>
                <w:lang w:val="en-US" w:eastAsia="zh-CN" w:bidi="ar"/>
              </w:rPr>
              <w:t>1.50G</w:t>
            </w:r>
          </w:p>
        </w:tc>
        <w:tc>
          <w:tcPr>
            <w:tcW w:w="2533" w:type="dxa"/>
            <w:vAlign w:val="center"/>
          </w:tcPr>
          <w:p w14:paraId="5FE75ABE">
            <w:pPr>
              <w:keepNext w:val="0"/>
              <w:keepLines w:val="0"/>
              <w:widowControl/>
              <w:suppressLineNumbers w:val="0"/>
              <w:jc w:val="center"/>
              <w:textAlignment w:val="center"/>
              <w:rPr>
                <w:rFonts w:hint="default" w:eastAsiaTheme="minorEastAsia"/>
                <w:vertAlign w:val="baseline"/>
                <w:lang w:val="en-US" w:eastAsia="zh-CN"/>
              </w:rPr>
            </w:pPr>
            <w:r>
              <w:rPr>
                <w:rFonts w:hint="eastAsia" w:ascii="宋体" w:hAnsi="宋体" w:eastAsia="宋体" w:cs="宋体"/>
                <w:i w:val="0"/>
                <w:iCs w:val="0"/>
                <w:color w:val="000000"/>
                <w:kern w:val="0"/>
                <w:sz w:val="22"/>
                <w:szCs w:val="22"/>
                <w:u w:val="none"/>
                <w:lang w:val="en-US" w:eastAsia="zh-CN" w:bidi="ar"/>
              </w:rPr>
              <w:t>Wang et al. (2021)</w:t>
            </w:r>
          </w:p>
        </w:tc>
      </w:tr>
      <w:tr w14:paraId="2AA9A2BF">
        <w:tblPrEx>
          <w:tblBorders>
            <w:top w:val="single" w:color="auto" w:sz="12" w:space="0"/>
            <w:left w:val="none" w:color="auto" w:sz="0" w:space="0"/>
            <w:bottom w:val="single" w:color="auto" w:sz="6" w:space="0"/>
            <w:right w:val="none" w:color="auto" w:sz="0" w:space="0"/>
            <w:insideH w:val="none" w:color="auto" w:sz="0" w:space="0"/>
            <w:insideV w:val="none" w:color="auto" w:sz="0" w:space="0"/>
          </w:tblBorders>
          <w:tblCellMar>
            <w:top w:w="0" w:type="dxa"/>
            <w:left w:w="108" w:type="dxa"/>
            <w:bottom w:w="0" w:type="dxa"/>
            <w:right w:w="108" w:type="dxa"/>
          </w:tblCellMar>
        </w:tblPrEx>
        <w:tc>
          <w:tcPr>
            <w:tcW w:w="1866" w:type="dxa"/>
            <w:vAlign w:val="center"/>
          </w:tcPr>
          <w:p w14:paraId="6BCD87B9">
            <w:pPr>
              <w:keepNext w:val="0"/>
              <w:keepLines w:val="0"/>
              <w:widowControl/>
              <w:suppressLineNumbers w:val="0"/>
              <w:jc w:val="center"/>
              <w:textAlignment w:val="center"/>
              <w:rPr>
                <w:rFonts w:hint="default" w:eastAsiaTheme="minorEastAsia"/>
                <w:vertAlign w:val="baseline"/>
                <w:lang w:val="en-US" w:eastAsia="zh-CN"/>
              </w:rPr>
            </w:pPr>
            <w:r>
              <w:rPr>
                <w:rFonts w:hint="eastAsia" w:ascii="宋体" w:hAnsi="宋体" w:eastAsia="宋体" w:cs="宋体"/>
                <w:i w:val="0"/>
                <w:iCs w:val="0"/>
                <w:color w:val="000000"/>
                <w:kern w:val="0"/>
                <w:sz w:val="22"/>
                <w:szCs w:val="22"/>
                <w:u w:val="none"/>
                <w:lang w:val="en-US" w:eastAsia="zh-CN" w:bidi="ar"/>
              </w:rPr>
              <w:t>G.sturtianum</w:t>
            </w:r>
          </w:p>
        </w:tc>
        <w:tc>
          <w:tcPr>
            <w:tcW w:w="1363" w:type="dxa"/>
            <w:vAlign w:val="center"/>
          </w:tcPr>
          <w:p w14:paraId="6F788545">
            <w:pPr>
              <w:keepNext w:val="0"/>
              <w:keepLines w:val="0"/>
              <w:widowControl/>
              <w:suppressLineNumbers w:val="0"/>
              <w:jc w:val="center"/>
              <w:textAlignment w:val="center"/>
              <w:rPr>
                <w:rFonts w:hint="default" w:eastAsiaTheme="minorEastAsia"/>
                <w:vertAlign w:val="baseline"/>
                <w:lang w:val="en-US" w:eastAsia="zh-CN"/>
              </w:rPr>
            </w:pPr>
            <w:r>
              <w:rPr>
                <w:rFonts w:hint="eastAsia" w:ascii="宋体" w:hAnsi="宋体" w:eastAsia="宋体" w:cs="宋体"/>
                <w:i w:val="0"/>
                <w:iCs w:val="0"/>
                <w:color w:val="000000"/>
                <w:kern w:val="0"/>
                <w:sz w:val="22"/>
                <w:szCs w:val="22"/>
                <w:u w:val="none"/>
                <w:lang w:val="en-US" w:eastAsia="zh-CN" w:bidi="ar"/>
              </w:rPr>
              <w:t>41308</w:t>
            </w:r>
          </w:p>
        </w:tc>
        <w:tc>
          <w:tcPr>
            <w:tcW w:w="1248" w:type="dxa"/>
            <w:vAlign w:val="center"/>
          </w:tcPr>
          <w:p w14:paraId="38CFB1C3">
            <w:pPr>
              <w:keepNext w:val="0"/>
              <w:keepLines w:val="0"/>
              <w:widowControl/>
              <w:suppressLineNumbers w:val="0"/>
              <w:jc w:val="center"/>
              <w:textAlignment w:val="center"/>
              <w:rPr>
                <w:rFonts w:hint="default" w:eastAsiaTheme="minorEastAsia"/>
                <w:vertAlign w:val="baseline"/>
                <w:lang w:val="en-US" w:eastAsia="zh-CN"/>
              </w:rPr>
            </w:pPr>
            <w:r>
              <w:rPr>
                <w:rFonts w:hint="eastAsia" w:ascii="宋体" w:hAnsi="宋体" w:eastAsia="宋体" w:cs="宋体"/>
                <w:i w:val="0"/>
                <w:iCs w:val="0"/>
                <w:color w:val="000000"/>
                <w:kern w:val="0"/>
                <w:sz w:val="22"/>
                <w:szCs w:val="22"/>
                <w:u w:val="none"/>
                <w:lang w:val="en-US" w:eastAsia="zh-CN" w:bidi="ar"/>
              </w:rPr>
              <w:t>C1</w:t>
            </w:r>
          </w:p>
        </w:tc>
        <w:tc>
          <w:tcPr>
            <w:tcW w:w="1512" w:type="dxa"/>
            <w:vAlign w:val="center"/>
          </w:tcPr>
          <w:p w14:paraId="51A258B6">
            <w:pPr>
              <w:keepNext w:val="0"/>
              <w:keepLines w:val="0"/>
              <w:widowControl/>
              <w:suppressLineNumbers w:val="0"/>
              <w:jc w:val="center"/>
              <w:textAlignment w:val="center"/>
              <w:rPr>
                <w:rFonts w:hint="default" w:eastAsiaTheme="minorEastAsia"/>
                <w:vertAlign w:val="baseline"/>
                <w:lang w:val="en-US" w:eastAsia="zh-CN"/>
              </w:rPr>
            </w:pPr>
            <w:r>
              <w:rPr>
                <w:rFonts w:hint="eastAsia" w:ascii="宋体" w:hAnsi="宋体" w:eastAsia="宋体" w:cs="宋体"/>
                <w:i w:val="0"/>
                <w:iCs w:val="0"/>
                <w:color w:val="000000"/>
                <w:kern w:val="0"/>
                <w:sz w:val="22"/>
                <w:szCs w:val="22"/>
                <w:u w:val="none"/>
                <w:lang w:val="en-US" w:eastAsia="zh-CN" w:bidi="ar"/>
              </w:rPr>
              <w:t>1.77G</w:t>
            </w:r>
          </w:p>
        </w:tc>
        <w:tc>
          <w:tcPr>
            <w:tcW w:w="2533" w:type="dxa"/>
            <w:vAlign w:val="center"/>
          </w:tcPr>
          <w:p w14:paraId="7DA58354">
            <w:pPr>
              <w:keepNext w:val="0"/>
              <w:keepLines w:val="0"/>
              <w:widowControl/>
              <w:suppressLineNumbers w:val="0"/>
              <w:jc w:val="center"/>
              <w:textAlignment w:val="center"/>
              <w:rPr>
                <w:rFonts w:hint="default" w:eastAsiaTheme="minorEastAsia"/>
                <w:vertAlign w:val="baseline"/>
                <w:lang w:val="en-US" w:eastAsia="zh-CN"/>
              </w:rPr>
            </w:pPr>
            <w:r>
              <w:rPr>
                <w:rFonts w:hint="eastAsia" w:ascii="宋体" w:hAnsi="宋体" w:eastAsia="宋体" w:cs="宋体"/>
                <w:i w:val="0"/>
                <w:iCs w:val="0"/>
                <w:color w:val="000000"/>
                <w:kern w:val="0"/>
                <w:sz w:val="22"/>
                <w:szCs w:val="22"/>
                <w:u w:val="none"/>
                <w:lang w:val="en-US" w:eastAsia="zh-CN" w:bidi="ar"/>
              </w:rPr>
              <w:t>Wang et al. (2022)</w:t>
            </w:r>
          </w:p>
        </w:tc>
      </w:tr>
      <w:tr w14:paraId="74F09B5E">
        <w:tblPrEx>
          <w:tblBorders>
            <w:top w:val="single" w:color="auto" w:sz="12" w:space="0"/>
            <w:left w:val="none" w:color="auto" w:sz="0" w:space="0"/>
            <w:bottom w:val="single" w:color="auto" w:sz="6" w:space="0"/>
            <w:right w:val="none" w:color="auto" w:sz="0" w:space="0"/>
            <w:insideH w:val="none" w:color="auto" w:sz="0" w:space="0"/>
            <w:insideV w:val="none" w:color="auto" w:sz="0" w:space="0"/>
          </w:tblBorders>
          <w:tblCellMar>
            <w:top w:w="0" w:type="dxa"/>
            <w:left w:w="108" w:type="dxa"/>
            <w:bottom w:w="0" w:type="dxa"/>
            <w:right w:w="108" w:type="dxa"/>
          </w:tblCellMar>
        </w:tblPrEx>
        <w:tc>
          <w:tcPr>
            <w:tcW w:w="1866" w:type="dxa"/>
            <w:vAlign w:val="center"/>
          </w:tcPr>
          <w:p w14:paraId="3E583207">
            <w:pPr>
              <w:keepNext w:val="0"/>
              <w:keepLines w:val="0"/>
              <w:widowControl/>
              <w:suppressLineNumbers w:val="0"/>
              <w:jc w:val="center"/>
              <w:textAlignment w:val="center"/>
              <w:rPr>
                <w:rFonts w:hint="default" w:eastAsiaTheme="minorEastAsia"/>
                <w:vertAlign w:val="baseline"/>
                <w:lang w:val="en-US" w:eastAsia="zh-CN"/>
              </w:rPr>
            </w:pPr>
            <w:r>
              <w:rPr>
                <w:rFonts w:hint="eastAsia" w:ascii="宋体" w:hAnsi="宋体" w:eastAsia="宋体" w:cs="宋体"/>
                <w:i w:val="0"/>
                <w:iCs w:val="0"/>
                <w:color w:val="000000"/>
                <w:kern w:val="0"/>
                <w:sz w:val="22"/>
                <w:szCs w:val="22"/>
                <w:u w:val="none"/>
                <w:lang w:val="en-US" w:eastAsia="zh-CN" w:bidi="ar"/>
              </w:rPr>
              <w:t>G.harknessii</w:t>
            </w:r>
          </w:p>
        </w:tc>
        <w:tc>
          <w:tcPr>
            <w:tcW w:w="1363" w:type="dxa"/>
            <w:vAlign w:val="center"/>
          </w:tcPr>
          <w:p w14:paraId="30CB9338">
            <w:pPr>
              <w:keepNext w:val="0"/>
              <w:keepLines w:val="0"/>
              <w:widowControl/>
              <w:suppressLineNumbers w:val="0"/>
              <w:jc w:val="center"/>
              <w:textAlignment w:val="center"/>
              <w:rPr>
                <w:rFonts w:hint="default" w:eastAsiaTheme="minorEastAsia"/>
                <w:vertAlign w:val="baseline"/>
                <w:lang w:val="en-US" w:eastAsia="zh-CN"/>
              </w:rPr>
            </w:pPr>
            <w:r>
              <w:rPr>
                <w:rFonts w:hint="eastAsia" w:ascii="宋体" w:hAnsi="宋体" w:eastAsia="宋体" w:cs="宋体"/>
                <w:i w:val="0"/>
                <w:iCs w:val="0"/>
                <w:color w:val="000000"/>
                <w:kern w:val="0"/>
                <w:sz w:val="22"/>
                <w:szCs w:val="22"/>
                <w:u w:val="none"/>
                <w:lang w:val="en-US" w:eastAsia="zh-CN" w:bidi="ar"/>
              </w:rPr>
              <w:t>36314</w:t>
            </w:r>
          </w:p>
        </w:tc>
        <w:tc>
          <w:tcPr>
            <w:tcW w:w="1248" w:type="dxa"/>
            <w:vAlign w:val="center"/>
          </w:tcPr>
          <w:p w14:paraId="23D54340">
            <w:pPr>
              <w:keepNext w:val="0"/>
              <w:keepLines w:val="0"/>
              <w:widowControl/>
              <w:suppressLineNumbers w:val="0"/>
              <w:jc w:val="center"/>
              <w:textAlignment w:val="center"/>
              <w:rPr>
                <w:rFonts w:hint="default" w:eastAsiaTheme="minorEastAsia"/>
                <w:vertAlign w:val="baseline"/>
                <w:lang w:val="en-US" w:eastAsia="zh-CN"/>
              </w:rPr>
            </w:pPr>
            <w:r>
              <w:rPr>
                <w:rFonts w:hint="eastAsia" w:ascii="宋体" w:hAnsi="宋体" w:eastAsia="宋体" w:cs="宋体"/>
                <w:i w:val="0"/>
                <w:iCs w:val="0"/>
                <w:color w:val="000000"/>
                <w:kern w:val="0"/>
                <w:sz w:val="22"/>
                <w:szCs w:val="22"/>
                <w:u w:val="none"/>
                <w:lang w:val="en-US" w:eastAsia="zh-CN" w:bidi="ar"/>
              </w:rPr>
              <w:t>D2-2</w:t>
            </w:r>
          </w:p>
        </w:tc>
        <w:tc>
          <w:tcPr>
            <w:tcW w:w="1512" w:type="dxa"/>
            <w:vAlign w:val="center"/>
          </w:tcPr>
          <w:p w14:paraId="0EEA5D3D">
            <w:pPr>
              <w:keepNext w:val="0"/>
              <w:keepLines w:val="0"/>
              <w:widowControl/>
              <w:suppressLineNumbers w:val="0"/>
              <w:jc w:val="center"/>
              <w:textAlignment w:val="center"/>
              <w:rPr>
                <w:rFonts w:hint="default" w:eastAsiaTheme="minorEastAsia"/>
                <w:vertAlign w:val="baseline"/>
                <w:lang w:val="en-US" w:eastAsia="zh-CN"/>
              </w:rPr>
            </w:pPr>
            <w:r>
              <w:rPr>
                <w:rFonts w:hint="eastAsia" w:ascii="宋体" w:hAnsi="宋体" w:eastAsia="宋体" w:cs="宋体"/>
                <w:i w:val="0"/>
                <w:iCs w:val="0"/>
                <w:color w:val="000000"/>
                <w:kern w:val="0"/>
                <w:sz w:val="22"/>
                <w:szCs w:val="22"/>
                <w:u w:val="none"/>
                <w:lang w:val="en-US" w:eastAsia="zh-CN" w:bidi="ar"/>
              </w:rPr>
              <w:t>692MB</w:t>
            </w:r>
          </w:p>
        </w:tc>
        <w:tc>
          <w:tcPr>
            <w:tcW w:w="2533" w:type="dxa"/>
            <w:vAlign w:val="center"/>
          </w:tcPr>
          <w:p w14:paraId="577E2C91">
            <w:pPr>
              <w:keepNext w:val="0"/>
              <w:keepLines w:val="0"/>
              <w:widowControl/>
              <w:suppressLineNumbers w:val="0"/>
              <w:jc w:val="center"/>
              <w:textAlignment w:val="center"/>
              <w:rPr>
                <w:rFonts w:hint="default" w:eastAsiaTheme="minorEastAsia"/>
                <w:vertAlign w:val="baseline"/>
                <w:lang w:val="en-US" w:eastAsia="zh-CN"/>
              </w:rPr>
            </w:pPr>
            <w:r>
              <w:rPr>
                <w:rFonts w:hint="eastAsia" w:ascii="宋体" w:hAnsi="宋体" w:eastAsia="宋体" w:cs="宋体"/>
                <w:i w:val="0"/>
                <w:iCs w:val="0"/>
                <w:color w:val="000000"/>
                <w:kern w:val="0"/>
                <w:sz w:val="22"/>
                <w:szCs w:val="22"/>
                <w:u w:val="none"/>
                <w:lang w:val="en-US" w:eastAsia="zh-CN" w:bidi="ar"/>
              </w:rPr>
              <w:t>Xu et al. (2024)</w:t>
            </w:r>
          </w:p>
        </w:tc>
      </w:tr>
      <w:tr w14:paraId="308AB4A3">
        <w:tblPrEx>
          <w:tblBorders>
            <w:top w:val="single" w:color="auto" w:sz="12" w:space="0"/>
            <w:left w:val="none" w:color="auto" w:sz="0" w:space="0"/>
            <w:bottom w:val="single" w:color="auto" w:sz="6" w:space="0"/>
            <w:right w:val="none" w:color="auto" w:sz="0" w:space="0"/>
            <w:insideH w:val="none" w:color="auto" w:sz="0" w:space="0"/>
            <w:insideV w:val="none" w:color="auto" w:sz="0" w:space="0"/>
          </w:tblBorders>
          <w:tblCellMar>
            <w:top w:w="0" w:type="dxa"/>
            <w:left w:w="108" w:type="dxa"/>
            <w:bottom w:w="0" w:type="dxa"/>
            <w:right w:w="108" w:type="dxa"/>
          </w:tblCellMar>
        </w:tblPrEx>
        <w:tc>
          <w:tcPr>
            <w:tcW w:w="1866" w:type="dxa"/>
            <w:vAlign w:val="center"/>
          </w:tcPr>
          <w:p w14:paraId="05D887D3">
            <w:pPr>
              <w:keepNext w:val="0"/>
              <w:keepLines w:val="0"/>
              <w:widowControl/>
              <w:suppressLineNumbers w:val="0"/>
              <w:jc w:val="center"/>
              <w:textAlignment w:val="center"/>
              <w:rPr>
                <w:rFonts w:hint="default" w:eastAsiaTheme="minorEastAsia"/>
                <w:vertAlign w:val="baseline"/>
                <w:lang w:val="en-US" w:eastAsia="zh-CN"/>
              </w:rPr>
            </w:pPr>
            <w:r>
              <w:rPr>
                <w:rFonts w:hint="eastAsia" w:ascii="宋体" w:hAnsi="宋体" w:eastAsia="宋体" w:cs="宋体"/>
                <w:i w:val="0"/>
                <w:iCs w:val="0"/>
                <w:color w:val="000000"/>
                <w:kern w:val="0"/>
                <w:sz w:val="22"/>
                <w:szCs w:val="22"/>
                <w:u w:val="none"/>
                <w:lang w:val="en-US" w:eastAsia="zh-CN" w:bidi="ar"/>
              </w:rPr>
              <w:t>G.klotzschianum</w:t>
            </w:r>
          </w:p>
        </w:tc>
        <w:tc>
          <w:tcPr>
            <w:tcW w:w="1363" w:type="dxa"/>
            <w:vAlign w:val="center"/>
          </w:tcPr>
          <w:p w14:paraId="34EE2E0F">
            <w:pPr>
              <w:keepNext w:val="0"/>
              <w:keepLines w:val="0"/>
              <w:widowControl/>
              <w:suppressLineNumbers w:val="0"/>
              <w:jc w:val="center"/>
              <w:textAlignment w:val="center"/>
              <w:rPr>
                <w:rFonts w:hint="default" w:eastAsiaTheme="minorEastAsia"/>
                <w:vertAlign w:val="baseline"/>
                <w:lang w:val="en-US" w:eastAsia="zh-CN"/>
              </w:rPr>
            </w:pPr>
            <w:r>
              <w:rPr>
                <w:rFonts w:hint="eastAsia" w:ascii="宋体" w:hAnsi="宋体" w:eastAsia="宋体" w:cs="宋体"/>
                <w:i w:val="0"/>
                <w:iCs w:val="0"/>
                <w:color w:val="000000"/>
                <w:kern w:val="0"/>
                <w:sz w:val="22"/>
                <w:szCs w:val="22"/>
                <w:u w:val="none"/>
                <w:lang w:val="en-US" w:eastAsia="zh-CN" w:bidi="ar"/>
              </w:rPr>
              <w:t>43254</w:t>
            </w:r>
          </w:p>
        </w:tc>
        <w:tc>
          <w:tcPr>
            <w:tcW w:w="1248" w:type="dxa"/>
            <w:vAlign w:val="center"/>
          </w:tcPr>
          <w:p w14:paraId="112C290C">
            <w:pPr>
              <w:keepNext w:val="0"/>
              <w:keepLines w:val="0"/>
              <w:widowControl/>
              <w:suppressLineNumbers w:val="0"/>
              <w:jc w:val="center"/>
              <w:textAlignment w:val="center"/>
              <w:rPr>
                <w:rFonts w:hint="default" w:eastAsiaTheme="minorEastAsia"/>
                <w:vertAlign w:val="baseline"/>
                <w:lang w:val="en-US" w:eastAsia="zh-CN"/>
              </w:rPr>
            </w:pPr>
            <w:r>
              <w:rPr>
                <w:rFonts w:hint="eastAsia" w:ascii="宋体" w:hAnsi="宋体" w:eastAsia="宋体" w:cs="宋体"/>
                <w:i w:val="0"/>
                <w:iCs w:val="0"/>
                <w:color w:val="000000"/>
                <w:kern w:val="0"/>
                <w:sz w:val="22"/>
                <w:szCs w:val="22"/>
                <w:u w:val="none"/>
                <w:lang w:val="en-US" w:eastAsia="zh-CN" w:bidi="ar"/>
              </w:rPr>
              <w:t>D3-k</w:t>
            </w:r>
          </w:p>
        </w:tc>
        <w:tc>
          <w:tcPr>
            <w:tcW w:w="1512" w:type="dxa"/>
            <w:vAlign w:val="center"/>
          </w:tcPr>
          <w:p w14:paraId="2F054A40">
            <w:pPr>
              <w:keepNext w:val="0"/>
              <w:keepLines w:val="0"/>
              <w:widowControl/>
              <w:suppressLineNumbers w:val="0"/>
              <w:jc w:val="center"/>
              <w:textAlignment w:val="center"/>
              <w:rPr>
                <w:rFonts w:hint="default" w:eastAsiaTheme="minorEastAsia"/>
                <w:vertAlign w:val="baseline"/>
                <w:lang w:val="en-US" w:eastAsia="zh-CN"/>
              </w:rPr>
            </w:pPr>
            <w:r>
              <w:rPr>
                <w:rFonts w:hint="eastAsia" w:ascii="宋体" w:hAnsi="宋体" w:eastAsia="宋体" w:cs="宋体"/>
                <w:i w:val="0"/>
                <w:iCs w:val="0"/>
                <w:color w:val="000000"/>
                <w:kern w:val="0"/>
                <w:sz w:val="22"/>
                <w:szCs w:val="22"/>
                <w:u w:val="none"/>
                <w:lang w:val="en-US" w:eastAsia="zh-CN" w:bidi="ar"/>
              </w:rPr>
              <w:t>771MB</w:t>
            </w:r>
          </w:p>
        </w:tc>
        <w:tc>
          <w:tcPr>
            <w:tcW w:w="2533" w:type="dxa"/>
            <w:vAlign w:val="center"/>
          </w:tcPr>
          <w:p w14:paraId="2D6B2DC0">
            <w:pPr>
              <w:keepNext w:val="0"/>
              <w:keepLines w:val="0"/>
              <w:widowControl/>
              <w:suppressLineNumbers w:val="0"/>
              <w:jc w:val="center"/>
              <w:textAlignment w:val="center"/>
              <w:rPr>
                <w:rFonts w:hint="default" w:eastAsiaTheme="minorEastAsia"/>
                <w:vertAlign w:val="baseline"/>
                <w:lang w:val="en-US" w:eastAsia="zh-CN"/>
              </w:rPr>
            </w:pPr>
            <w:r>
              <w:rPr>
                <w:rFonts w:hint="eastAsia" w:ascii="宋体" w:hAnsi="宋体" w:eastAsia="宋体" w:cs="宋体"/>
                <w:i w:val="0"/>
                <w:iCs w:val="0"/>
                <w:color w:val="000000"/>
                <w:kern w:val="0"/>
                <w:sz w:val="22"/>
                <w:szCs w:val="22"/>
                <w:u w:val="none"/>
                <w:lang w:val="en-US" w:eastAsia="zh-CN" w:bidi="ar"/>
              </w:rPr>
              <w:t>Xu et al. (2024)</w:t>
            </w:r>
          </w:p>
        </w:tc>
      </w:tr>
      <w:tr w14:paraId="15553ACA">
        <w:tblPrEx>
          <w:tblBorders>
            <w:top w:val="single" w:color="auto" w:sz="12" w:space="0"/>
            <w:left w:val="none" w:color="auto" w:sz="0" w:space="0"/>
            <w:bottom w:val="single" w:color="auto" w:sz="6" w:space="0"/>
            <w:right w:val="none" w:color="auto" w:sz="0" w:space="0"/>
            <w:insideH w:val="none" w:color="auto" w:sz="0" w:space="0"/>
            <w:insideV w:val="none" w:color="auto" w:sz="0" w:space="0"/>
          </w:tblBorders>
          <w:tblCellMar>
            <w:top w:w="0" w:type="dxa"/>
            <w:left w:w="108" w:type="dxa"/>
            <w:bottom w:w="0" w:type="dxa"/>
            <w:right w:w="108" w:type="dxa"/>
          </w:tblCellMar>
        </w:tblPrEx>
        <w:tc>
          <w:tcPr>
            <w:tcW w:w="1866" w:type="dxa"/>
            <w:vAlign w:val="center"/>
          </w:tcPr>
          <w:p w14:paraId="3D297620">
            <w:pPr>
              <w:keepNext w:val="0"/>
              <w:keepLines w:val="0"/>
              <w:widowControl/>
              <w:suppressLineNumbers w:val="0"/>
              <w:jc w:val="center"/>
              <w:textAlignment w:val="center"/>
              <w:rPr>
                <w:rFonts w:hint="default" w:eastAsiaTheme="minorEastAsia"/>
                <w:vertAlign w:val="baseline"/>
                <w:lang w:val="en-US" w:eastAsia="zh-CN"/>
              </w:rPr>
            </w:pPr>
            <w:r>
              <w:rPr>
                <w:rFonts w:hint="eastAsia" w:ascii="宋体" w:hAnsi="宋体" w:eastAsia="宋体" w:cs="宋体"/>
                <w:i w:val="0"/>
                <w:iCs w:val="0"/>
                <w:color w:val="000000"/>
                <w:kern w:val="0"/>
                <w:sz w:val="22"/>
                <w:szCs w:val="22"/>
                <w:u w:val="none"/>
                <w:lang w:val="en-US" w:eastAsia="zh-CN" w:bidi="ar"/>
              </w:rPr>
              <w:t>G.raimondii</w:t>
            </w:r>
          </w:p>
        </w:tc>
        <w:tc>
          <w:tcPr>
            <w:tcW w:w="1363" w:type="dxa"/>
            <w:vAlign w:val="center"/>
          </w:tcPr>
          <w:p w14:paraId="4828F3DD">
            <w:pPr>
              <w:keepNext w:val="0"/>
              <w:keepLines w:val="0"/>
              <w:widowControl/>
              <w:suppressLineNumbers w:val="0"/>
              <w:jc w:val="center"/>
              <w:textAlignment w:val="center"/>
              <w:rPr>
                <w:rFonts w:hint="default" w:eastAsiaTheme="minorEastAsia"/>
                <w:vertAlign w:val="baseline"/>
                <w:lang w:val="en-US" w:eastAsia="zh-CN"/>
              </w:rPr>
            </w:pPr>
            <w:r>
              <w:rPr>
                <w:rFonts w:hint="eastAsia" w:ascii="宋体" w:hAnsi="宋体" w:eastAsia="宋体" w:cs="宋体"/>
                <w:i w:val="0"/>
                <w:iCs w:val="0"/>
                <w:color w:val="000000"/>
                <w:kern w:val="0"/>
                <w:sz w:val="22"/>
                <w:szCs w:val="22"/>
                <w:u w:val="none"/>
                <w:lang w:val="en-US" w:eastAsia="zh-CN" w:bidi="ar"/>
              </w:rPr>
              <w:t>53167</w:t>
            </w:r>
          </w:p>
        </w:tc>
        <w:tc>
          <w:tcPr>
            <w:tcW w:w="1248" w:type="dxa"/>
            <w:vAlign w:val="center"/>
          </w:tcPr>
          <w:p w14:paraId="7662AE86">
            <w:pPr>
              <w:keepNext w:val="0"/>
              <w:keepLines w:val="0"/>
              <w:widowControl/>
              <w:suppressLineNumbers w:val="0"/>
              <w:jc w:val="center"/>
              <w:textAlignment w:val="center"/>
              <w:rPr>
                <w:rFonts w:hint="default" w:eastAsiaTheme="minorEastAsia"/>
                <w:vertAlign w:val="baseline"/>
                <w:lang w:val="en-US" w:eastAsia="zh-CN"/>
              </w:rPr>
            </w:pPr>
            <w:r>
              <w:rPr>
                <w:rFonts w:hint="eastAsia" w:ascii="宋体" w:hAnsi="宋体" w:eastAsia="宋体" w:cs="宋体"/>
                <w:i w:val="0"/>
                <w:iCs w:val="0"/>
                <w:color w:val="000000"/>
                <w:kern w:val="0"/>
                <w:sz w:val="22"/>
                <w:szCs w:val="22"/>
                <w:u w:val="none"/>
                <w:lang w:val="en-US" w:eastAsia="zh-CN" w:bidi="ar"/>
              </w:rPr>
              <w:t>D5</w:t>
            </w:r>
          </w:p>
        </w:tc>
        <w:tc>
          <w:tcPr>
            <w:tcW w:w="1512" w:type="dxa"/>
            <w:vAlign w:val="center"/>
          </w:tcPr>
          <w:p w14:paraId="55EC6F8B">
            <w:pPr>
              <w:keepNext w:val="0"/>
              <w:keepLines w:val="0"/>
              <w:widowControl/>
              <w:suppressLineNumbers w:val="0"/>
              <w:jc w:val="center"/>
              <w:textAlignment w:val="center"/>
              <w:rPr>
                <w:rFonts w:hint="default" w:eastAsiaTheme="minorEastAsia"/>
                <w:vertAlign w:val="baseline"/>
                <w:lang w:val="en-US" w:eastAsia="zh-CN"/>
              </w:rPr>
            </w:pPr>
            <w:r>
              <w:rPr>
                <w:rFonts w:hint="eastAsia" w:ascii="宋体" w:hAnsi="宋体" w:eastAsia="宋体" w:cs="宋体"/>
                <w:i w:val="0"/>
                <w:iCs w:val="0"/>
                <w:color w:val="000000"/>
                <w:kern w:val="0"/>
                <w:sz w:val="22"/>
                <w:szCs w:val="22"/>
                <w:u w:val="none"/>
                <w:lang w:val="en-US" w:eastAsia="zh-CN" w:bidi="ar"/>
              </w:rPr>
              <w:t>747MB</w:t>
            </w:r>
          </w:p>
        </w:tc>
        <w:tc>
          <w:tcPr>
            <w:tcW w:w="2533" w:type="dxa"/>
            <w:vAlign w:val="center"/>
          </w:tcPr>
          <w:p w14:paraId="5B6D915E">
            <w:pPr>
              <w:keepNext w:val="0"/>
              <w:keepLines w:val="0"/>
              <w:widowControl/>
              <w:suppressLineNumbers w:val="0"/>
              <w:jc w:val="center"/>
              <w:textAlignment w:val="center"/>
              <w:rPr>
                <w:rFonts w:hint="default" w:eastAsiaTheme="minorEastAsia"/>
                <w:vertAlign w:val="baseline"/>
                <w:lang w:val="en-US" w:eastAsia="zh-CN"/>
              </w:rPr>
            </w:pPr>
            <w:r>
              <w:rPr>
                <w:rFonts w:hint="eastAsia" w:ascii="宋体" w:hAnsi="宋体" w:eastAsia="宋体" w:cs="宋体"/>
                <w:i w:val="0"/>
                <w:iCs w:val="0"/>
                <w:color w:val="000000"/>
                <w:kern w:val="0"/>
                <w:sz w:val="22"/>
                <w:szCs w:val="22"/>
                <w:u w:val="none"/>
                <w:lang w:val="en-US" w:eastAsia="zh-CN" w:bidi="ar"/>
              </w:rPr>
              <w:t>Huang et al. (2024)</w:t>
            </w:r>
          </w:p>
        </w:tc>
      </w:tr>
      <w:tr w14:paraId="5B3D20AE">
        <w:tblPrEx>
          <w:tblBorders>
            <w:top w:val="single" w:color="auto" w:sz="12" w:space="0"/>
            <w:left w:val="none" w:color="auto" w:sz="0" w:space="0"/>
            <w:bottom w:val="single" w:color="auto" w:sz="6" w:space="0"/>
            <w:right w:val="none" w:color="auto" w:sz="0" w:space="0"/>
            <w:insideH w:val="none" w:color="auto" w:sz="0" w:space="0"/>
            <w:insideV w:val="none" w:color="auto" w:sz="0" w:space="0"/>
          </w:tblBorders>
          <w:tblCellMar>
            <w:top w:w="0" w:type="dxa"/>
            <w:left w:w="108" w:type="dxa"/>
            <w:bottom w:w="0" w:type="dxa"/>
            <w:right w:w="108" w:type="dxa"/>
          </w:tblCellMar>
        </w:tblPrEx>
        <w:tc>
          <w:tcPr>
            <w:tcW w:w="1866" w:type="dxa"/>
            <w:vAlign w:val="center"/>
          </w:tcPr>
          <w:p w14:paraId="26666DB8">
            <w:pPr>
              <w:keepNext w:val="0"/>
              <w:keepLines w:val="0"/>
              <w:widowControl/>
              <w:suppressLineNumbers w:val="0"/>
              <w:jc w:val="center"/>
              <w:textAlignment w:val="center"/>
              <w:rPr>
                <w:rFonts w:hint="default" w:eastAsiaTheme="minorEastAsia"/>
                <w:vertAlign w:val="baseline"/>
                <w:lang w:val="en-US" w:eastAsia="zh-CN"/>
              </w:rPr>
            </w:pPr>
            <w:r>
              <w:rPr>
                <w:rFonts w:hint="eastAsia" w:ascii="宋体" w:hAnsi="宋体" w:eastAsia="宋体" w:cs="宋体"/>
                <w:i w:val="0"/>
                <w:iCs w:val="0"/>
                <w:color w:val="000000"/>
                <w:kern w:val="0"/>
                <w:sz w:val="22"/>
                <w:szCs w:val="22"/>
                <w:u w:val="none"/>
                <w:lang w:val="en-US" w:eastAsia="zh-CN" w:bidi="ar"/>
              </w:rPr>
              <w:t>G.gossypioides</w:t>
            </w:r>
          </w:p>
        </w:tc>
        <w:tc>
          <w:tcPr>
            <w:tcW w:w="1363" w:type="dxa"/>
            <w:vAlign w:val="center"/>
          </w:tcPr>
          <w:p w14:paraId="6816D616">
            <w:pPr>
              <w:keepNext w:val="0"/>
              <w:keepLines w:val="0"/>
              <w:widowControl/>
              <w:suppressLineNumbers w:val="0"/>
              <w:jc w:val="center"/>
              <w:textAlignment w:val="center"/>
              <w:rPr>
                <w:rFonts w:hint="default" w:eastAsiaTheme="minorEastAsia"/>
                <w:vertAlign w:val="baseline"/>
                <w:lang w:val="en-US" w:eastAsia="zh-CN"/>
              </w:rPr>
            </w:pPr>
            <w:r>
              <w:rPr>
                <w:rFonts w:hint="eastAsia" w:ascii="宋体" w:hAnsi="宋体" w:eastAsia="宋体" w:cs="宋体"/>
                <w:i w:val="0"/>
                <w:iCs w:val="0"/>
                <w:color w:val="000000"/>
                <w:kern w:val="0"/>
                <w:sz w:val="22"/>
                <w:szCs w:val="22"/>
                <w:u w:val="none"/>
                <w:lang w:val="en-US" w:eastAsia="zh-CN" w:bidi="ar"/>
              </w:rPr>
              <w:t>39601</w:t>
            </w:r>
          </w:p>
        </w:tc>
        <w:tc>
          <w:tcPr>
            <w:tcW w:w="1248" w:type="dxa"/>
            <w:vAlign w:val="center"/>
          </w:tcPr>
          <w:p w14:paraId="51F2DB2C">
            <w:pPr>
              <w:keepNext w:val="0"/>
              <w:keepLines w:val="0"/>
              <w:widowControl/>
              <w:suppressLineNumbers w:val="0"/>
              <w:jc w:val="center"/>
              <w:textAlignment w:val="center"/>
              <w:rPr>
                <w:rFonts w:hint="default" w:eastAsiaTheme="minorEastAsia"/>
                <w:vertAlign w:val="baseline"/>
                <w:lang w:val="en-US" w:eastAsia="zh-CN"/>
              </w:rPr>
            </w:pPr>
            <w:r>
              <w:rPr>
                <w:rFonts w:hint="eastAsia" w:ascii="宋体" w:hAnsi="宋体" w:eastAsia="宋体" w:cs="宋体"/>
                <w:i w:val="0"/>
                <w:iCs w:val="0"/>
                <w:color w:val="000000"/>
                <w:kern w:val="0"/>
                <w:sz w:val="22"/>
                <w:szCs w:val="22"/>
                <w:u w:val="none"/>
                <w:lang w:val="en-US" w:eastAsia="zh-CN" w:bidi="ar"/>
              </w:rPr>
              <w:t>D6</w:t>
            </w:r>
          </w:p>
        </w:tc>
        <w:tc>
          <w:tcPr>
            <w:tcW w:w="1512" w:type="dxa"/>
            <w:vAlign w:val="center"/>
          </w:tcPr>
          <w:p w14:paraId="7E17B9E3">
            <w:pPr>
              <w:keepNext w:val="0"/>
              <w:keepLines w:val="0"/>
              <w:widowControl/>
              <w:suppressLineNumbers w:val="0"/>
              <w:jc w:val="center"/>
              <w:textAlignment w:val="center"/>
              <w:rPr>
                <w:rFonts w:hint="default" w:eastAsiaTheme="minorEastAsia"/>
                <w:vertAlign w:val="baseline"/>
                <w:lang w:val="en-US" w:eastAsia="zh-CN"/>
              </w:rPr>
            </w:pPr>
            <w:r>
              <w:rPr>
                <w:rFonts w:hint="eastAsia" w:ascii="宋体" w:hAnsi="宋体" w:eastAsia="宋体" w:cs="宋体"/>
                <w:i w:val="0"/>
                <w:iCs w:val="0"/>
                <w:color w:val="000000"/>
                <w:kern w:val="0"/>
                <w:sz w:val="22"/>
                <w:szCs w:val="22"/>
                <w:u w:val="none"/>
                <w:lang w:val="en-US" w:eastAsia="zh-CN" w:bidi="ar"/>
              </w:rPr>
              <w:t>704MB</w:t>
            </w:r>
          </w:p>
        </w:tc>
        <w:tc>
          <w:tcPr>
            <w:tcW w:w="2533" w:type="dxa"/>
            <w:vAlign w:val="center"/>
          </w:tcPr>
          <w:p w14:paraId="4EFC2172">
            <w:pPr>
              <w:keepNext w:val="0"/>
              <w:keepLines w:val="0"/>
              <w:widowControl/>
              <w:suppressLineNumbers w:val="0"/>
              <w:jc w:val="center"/>
              <w:textAlignment w:val="center"/>
              <w:rPr>
                <w:rFonts w:hint="default" w:eastAsiaTheme="minorEastAsia"/>
                <w:vertAlign w:val="baseline"/>
                <w:lang w:val="en-US" w:eastAsia="zh-CN"/>
              </w:rPr>
            </w:pPr>
            <w:r>
              <w:rPr>
                <w:rFonts w:hint="eastAsia" w:ascii="宋体" w:hAnsi="宋体" w:eastAsia="宋体" w:cs="宋体"/>
                <w:i w:val="0"/>
                <w:iCs w:val="0"/>
                <w:color w:val="000000"/>
                <w:kern w:val="0"/>
                <w:sz w:val="22"/>
                <w:szCs w:val="22"/>
                <w:u w:val="none"/>
                <w:lang w:val="en-US" w:eastAsia="zh-CN" w:bidi="ar"/>
              </w:rPr>
              <w:t>Xu et al. (2024)</w:t>
            </w:r>
          </w:p>
        </w:tc>
      </w:tr>
      <w:tr w14:paraId="77CCE5F0">
        <w:tblPrEx>
          <w:tblBorders>
            <w:top w:val="single" w:color="auto" w:sz="12" w:space="0"/>
            <w:left w:val="none" w:color="auto" w:sz="0" w:space="0"/>
            <w:bottom w:val="single" w:color="auto" w:sz="6" w:space="0"/>
            <w:right w:val="none" w:color="auto" w:sz="0" w:space="0"/>
            <w:insideH w:val="none" w:color="auto" w:sz="0" w:space="0"/>
            <w:insideV w:val="none" w:color="auto" w:sz="0" w:space="0"/>
          </w:tblBorders>
          <w:tblCellMar>
            <w:top w:w="0" w:type="dxa"/>
            <w:left w:w="108" w:type="dxa"/>
            <w:bottom w:w="0" w:type="dxa"/>
            <w:right w:w="108" w:type="dxa"/>
          </w:tblCellMar>
        </w:tblPrEx>
        <w:tc>
          <w:tcPr>
            <w:tcW w:w="1866" w:type="dxa"/>
            <w:vAlign w:val="center"/>
          </w:tcPr>
          <w:p w14:paraId="5188D980">
            <w:pPr>
              <w:keepNext w:val="0"/>
              <w:keepLines w:val="0"/>
              <w:widowControl/>
              <w:suppressLineNumbers w:val="0"/>
              <w:jc w:val="center"/>
              <w:textAlignment w:val="center"/>
              <w:rPr>
                <w:rFonts w:hint="default" w:eastAsiaTheme="minorEastAsia"/>
                <w:vertAlign w:val="baseline"/>
                <w:lang w:val="en-US" w:eastAsia="zh-CN"/>
              </w:rPr>
            </w:pPr>
            <w:r>
              <w:rPr>
                <w:rFonts w:hint="eastAsia" w:ascii="宋体" w:hAnsi="宋体" w:eastAsia="宋体" w:cs="宋体"/>
                <w:i w:val="0"/>
                <w:iCs w:val="0"/>
                <w:color w:val="000000"/>
                <w:kern w:val="0"/>
                <w:sz w:val="22"/>
                <w:szCs w:val="22"/>
                <w:u w:val="none"/>
                <w:lang w:val="en-US" w:eastAsia="zh-CN" w:bidi="ar"/>
              </w:rPr>
              <w:t>G.trilobum</w:t>
            </w:r>
          </w:p>
        </w:tc>
        <w:tc>
          <w:tcPr>
            <w:tcW w:w="1363" w:type="dxa"/>
            <w:vAlign w:val="center"/>
          </w:tcPr>
          <w:p w14:paraId="5070BD55">
            <w:pPr>
              <w:keepNext w:val="0"/>
              <w:keepLines w:val="0"/>
              <w:widowControl/>
              <w:suppressLineNumbers w:val="0"/>
              <w:jc w:val="center"/>
              <w:textAlignment w:val="center"/>
              <w:rPr>
                <w:rFonts w:hint="default" w:eastAsiaTheme="minorEastAsia"/>
                <w:vertAlign w:val="baseline"/>
                <w:lang w:val="en-US" w:eastAsia="zh-CN"/>
              </w:rPr>
            </w:pPr>
            <w:r>
              <w:rPr>
                <w:rFonts w:hint="eastAsia" w:ascii="宋体" w:hAnsi="宋体" w:eastAsia="宋体" w:cs="宋体"/>
                <w:i w:val="0"/>
                <w:iCs w:val="0"/>
                <w:color w:val="000000"/>
                <w:kern w:val="0"/>
                <w:sz w:val="22"/>
                <w:szCs w:val="22"/>
                <w:u w:val="none"/>
                <w:lang w:val="en-US" w:eastAsia="zh-CN" w:bidi="ar"/>
              </w:rPr>
              <w:t>37605</w:t>
            </w:r>
          </w:p>
        </w:tc>
        <w:tc>
          <w:tcPr>
            <w:tcW w:w="1248" w:type="dxa"/>
            <w:vAlign w:val="center"/>
          </w:tcPr>
          <w:p w14:paraId="160355BB">
            <w:pPr>
              <w:keepNext w:val="0"/>
              <w:keepLines w:val="0"/>
              <w:widowControl/>
              <w:suppressLineNumbers w:val="0"/>
              <w:jc w:val="center"/>
              <w:textAlignment w:val="center"/>
              <w:rPr>
                <w:rFonts w:hint="default" w:eastAsiaTheme="minorEastAsia"/>
                <w:vertAlign w:val="baseline"/>
                <w:lang w:val="en-US" w:eastAsia="zh-CN"/>
              </w:rPr>
            </w:pPr>
            <w:r>
              <w:rPr>
                <w:rFonts w:hint="eastAsia" w:ascii="宋体" w:hAnsi="宋体" w:eastAsia="宋体" w:cs="宋体"/>
                <w:i w:val="0"/>
                <w:iCs w:val="0"/>
                <w:color w:val="000000"/>
                <w:kern w:val="0"/>
                <w:sz w:val="22"/>
                <w:szCs w:val="22"/>
                <w:u w:val="none"/>
                <w:lang w:val="en-US" w:eastAsia="zh-CN" w:bidi="ar"/>
              </w:rPr>
              <w:t>D8</w:t>
            </w:r>
          </w:p>
        </w:tc>
        <w:tc>
          <w:tcPr>
            <w:tcW w:w="1512" w:type="dxa"/>
            <w:vAlign w:val="center"/>
          </w:tcPr>
          <w:p w14:paraId="4B56071E">
            <w:pPr>
              <w:keepNext w:val="0"/>
              <w:keepLines w:val="0"/>
              <w:widowControl/>
              <w:suppressLineNumbers w:val="0"/>
              <w:jc w:val="center"/>
              <w:textAlignment w:val="center"/>
              <w:rPr>
                <w:rFonts w:hint="default" w:eastAsiaTheme="minorEastAsia"/>
                <w:vertAlign w:val="baseline"/>
                <w:lang w:val="en-US" w:eastAsia="zh-CN"/>
              </w:rPr>
            </w:pPr>
            <w:r>
              <w:rPr>
                <w:rFonts w:hint="eastAsia" w:ascii="宋体" w:hAnsi="宋体" w:eastAsia="宋体" w:cs="宋体"/>
                <w:i w:val="0"/>
                <w:iCs w:val="0"/>
                <w:color w:val="000000"/>
                <w:kern w:val="0"/>
                <w:sz w:val="22"/>
                <w:szCs w:val="22"/>
                <w:u w:val="none"/>
                <w:lang w:val="en-US" w:eastAsia="zh-CN" w:bidi="ar"/>
              </w:rPr>
              <w:t>693MB</w:t>
            </w:r>
          </w:p>
        </w:tc>
        <w:tc>
          <w:tcPr>
            <w:tcW w:w="2533" w:type="dxa"/>
            <w:vAlign w:val="center"/>
          </w:tcPr>
          <w:p w14:paraId="58FD2138">
            <w:pPr>
              <w:keepNext w:val="0"/>
              <w:keepLines w:val="0"/>
              <w:widowControl/>
              <w:suppressLineNumbers w:val="0"/>
              <w:jc w:val="center"/>
              <w:textAlignment w:val="center"/>
              <w:rPr>
                <w:rFonts w:hint="default" w:eastAsiaTheme="minorEastAsia"/>
                <w:vertAlign w:val="baseline"/>
                <w:lang w:val="en-US" w:eastAsia="zh-CN"/>
              </w:rPr>
            </w:pPr>
            <w:r>
              <w:rPr>
                <w:rFonts w:hint="eastAsia" w:ascii="宋体" w:hAnsi="宋体" w:eastAsia="宋体" w:cs="宋体"/>
                <w:i w:val="0"/>
                <w:iCs w:val="0"/>
                <w:color w:val="000000"/>
                <w:kern w:val="0"/>
                <w:sz w:val="22"/>
                <w:szCs w:val="22"/>
                <w:u w:val="none"/>
                <w:lang w:val="en-US" w:eastAsia="zh-CN" w:bidi="ar"/>
              </w:rPr>
              <w:t>Xu et al. (2024)</w:t>
            </w:r>
          </w:p>
        </w:tc>
      </w:tr>
      <w:tr w14:paraId="461CA6AB">
        <w:tblPrEx>
          <w:tblBorders>
            <w:top w:val="single" w:color="auto" w:sz="12" w:space="0"/>
            <w:left w:val="none" w:color="auto" w:sz="0" w:space="0"/>
            <w:bottom w:val="single" w:color="auto" w:sz="6" w:space="0"/>
            <w:right w:val="none" w:color="auto" w:sz="0" w:space="0"/>
            <w:insideH w:val="none" w:color="auto" w:sz="0" w:space="0"/>
            <w:insideV w:val="none" w:color="auto" w:sz="0" w:space="0"/>
          </w:tblBorders>
          <w:tblCellMar>
            <w:top w:w="0" w:type="dxa"/>
            <w:left w:w="108" w:type="dxa"/>
            <w:bottom w:w="0" w:type="dxa"/>
            <w:right w:w="108" w:type="dxa"/>
          </w:tblCellMar>
        </w:tblPrEx>
        <w:tc>
          <w:tcPr>
            <w:tcW w:w="1866" w:type="dxa"/>
            <w:vAlign w:val="center"/>
          </w:tcPr>
          <w:p w14:paraId="53CBCE17">
            <w:pPr>
              <w:keepNext w:val="0"/>
              <w:keepLines w:val="0"/>
              <w:widowControl/>
              <w:suppressLineNumbers w:val="0"/>
              <w:jc w:val="center"/>
              <w:textAlignment w:val="center"/>
              <w:rPr>
                <w:rFonts w:hint="default" w:eastAsiaTheme="minorEastAsia"/>
                <w:vertAlign w:val="baseline"/>
                <w:lang w:val="en-US" w:eastAsia="zh-CN"/>
              </w:rPr>
            </w:pPr>
            <w:r>
              <w:rPr>
                <w:rFonts w:hint="eastAsia" w:ascii="宋体" w:hAnsi="宋体" w:eastAsia="宋体" w:cs="宋体"/>
                <w:i w:val="0"/>
                <w:iCs w:val="0"/>
                <w:color w:val="000000"/>
                <w:kern w:val="0"/>
                <w:sz w:val="22"/>
                <w:szCs w:val="22"/>
                <w:u w:val="none"/>
                <w:lang w:val="en-US" w:eastAsia="zh-CN" w:bidi="ar"/>
              </w:rPr>
              <w:t>G.stocksii</w:t>
            </w:r>
          </w:p>
        </w:tc>
        <w:tc>
          <w:tcPr>
            <w:tcW w:w="1363" w:type="dxa"/>
            <w:vAlign w:val="center"/>
          </w:tcPr>
          <w:p w14:paraId="0D3FB4D0">
            <w:pPr>
              <w:keepNext w:val="0"/>
              <w:keepLines w:val="0"/>
              <w:widowControl/>
              <w:suppressLineNumbers w:val="0"/>
              <w:jc w:val="center"/>
              <w:textAlignment w:val="center"/>
              <w:rPr>
                <w:rFonts w:hint="default" w:eastAsiaTheme="minorEastAsia"/>
                <w:vertAlign w:val="baseline"/>
                <w:lang w:val="en-US" w:eastAsia="zh-CN"/>
              </w:rPr>
            </w:pPr>
            <w:r>
              <w:rPr>
                <w:rFonts w:hint="eastAsia" w:ascii="宋体" w:hAnsi="宋体" w:eastAsia="宋体" w:cs="宋体"/>
                <w:i w:val="0"/>
                <w:iCs w:val="0"/>
                <w:color w:val="000000"/>
                <w:kern w:val="0"/>
                <w:sz w:val="22"/>
                <w:szCs w:val="22"/>
                <w:u w:val="none"/>
                <w:lang w:val="en-US" w:eastAsia="zh-CN" w:bidi="ar"/>
              </w:rPr>
              <w:t>40321</w:t>
            </w:r>
          </w:p>
        </w:tc>
        <w:tc>
          <w:tcPr>
            <w:tcW w:w="1248" w:type="dxa"/>
            <w:vAlign w:val="center"/>
          </w:tcPr>
          <w:p w14:paraId="31BEC9C4">
            <w:pPr>
              <w:keepNext w:val="0"/>
              <w:keepLines w:val="0"/>
              <w:widowControl/>
              <w:suppressLineNumbers w:val="0"/>
              <w:jc w:val="center"/>
              <w:textAlignment w:val="center"/>
              <w:rPr>
                <w:rFonts w:hint="default" w:eastAsiaTheme="minorEastAsia"/>
                <w:vertAlign w:val="baseline"/>
                <w:lang w:val="en-US" w:eastAsia="zh-CN"/>
              </w:rPr>
            </w:pPr>
            <w:r>
              <w:rPr>
                <w:rFonts w:hint="eastAsia" w:ascii="宋体" w:hAnsi="宋体" w:eastAsia="宋体" w:cs="宋体"/>
                <w:i w:val="0"/>
                <w:iCs w:val="0"/>
                <w:color w:val="000000"/>
                <w:kern w:val="0"/>
                <w:sz w:val="22"/>
                <w:szCs w:val="22"/>
                <w:u w:val="none"/>
                <w:lang w:val="en-US" w:eastAsia="zh-CN" w:bidi="ar"/>
              </w:rPr>
              <w:t>E1</w:t>
            </w:r>
          </w:p>
        </w:tc>
        <w:tc>
          <w:tcPr>
            <w:tcW w:w="1512" w:type="dxa"/>
            <w:vAlign w:val="center"/>
          </w:tcPr>
          <w:p w14:paraId="66BC5AAC">
            <w:pPr>
              <w:keepNext w:val="0"/>
              <w:keepLines w:val="0"/>
              <w:widowControl/>
              <w:suppressLineNumbers w:val="0"/>
              <w:jc w:val="center"/>
              <w:textAlignment w:val="center"/>
              <w:rPr>
                <w:rFonts w:hint="default" w:eastAsiaTheme="minorEastAsia"/>
                <w:vertAlign w:val="baseline"/>
                <w:lang w:val="en-US" w:eastAsia="zh-CN"/>
              </w:rPr>
            </w:pPr>
            <w:r>
              <w:rPr>
                <w:rFonts w:hint="eastAsia" w:ascii="宋体" w:hAnsi="宋体" w:eastAsia="宋体" w:cs="宋体"/>
                <w:i w:val="0"/>
                <w:iCs w:val="0"/>
                <w:color w:val="000000"/>
                <w:kern w:val="0"/>
                <w:sz w:val="22"/>
                <w:szCs w:val="22"/>
                <w:u w:val="none"/>
                <w:lang w:val="en-US" w:eastAsia="zh-CN" w:bidi="ar"/>
              </w:rPr>
              <w:t>1.34G</w:t>
            </w:r>
          </w:p>
        </w:tc>
        <w:tc>
          <w:tcPr>
            <w:tcW w:w="2533" w:type="dxa"/>
            <w:vAlign w:val="center"/>
          </w:tcPr>
          <w:p w14:paraId="0181B7A2">
            <w:pPr>
              <w:keepNext w:val="0"/>
              <w:keepLines w:val="0"/>
              <w:widowControl/>
              <w:suppressLineNumbers w:val="0"/>
              <w:jc w:val="center"/>
              <w:textAlignment w:val="center"/>
              <w:rPr>
                <w:rFonts w:hint="default" w:eastAsiaTheme="minorEastAsia"/>
                <w:vertAlign w:val="baseline"/>
                <w:lang w:val="en-US" w:eastAsia="zh-CN"/>
              </w:rPr>
            </w:pPr>
            <w:r>
              <w:rPr>
                <w:rFonts w:hint="eastAsia" w:ascii="宋体" w:hAnsi="宋体" w:eastAsia="宋体" w:cs="宋体"/>
                <w:i w:val="0"/>
                <w:iCs w:val="0"/>
                <w:color w:val="000000"/>
                <w:kern w:val="0"/>
                <w:sz w:val="22"/>
                <w:szCs w:val="22"/>
                <w:u w:val="none"/>
                <w:lang w:val="en-US" w:eastAsia="zh-CN" w:bidi="ar"/>
              </w:rPr>
              <w:t>Wang et al. (2022)</w:t>
            </w:r>
          </w:p>
        </w:tc>
      </w:tr>
      <w:tr w14:paraId="34E0FC1B">
        <w:tblPrEx>
          <w:tblBorders>
            <w:top w:val="single" w:color="auto" w:sz="12" w:space="0"/>
            <w:left w:val="none" w:color="auto" w:sz="0" w:space="0"/>
            <w:bottom w:val="single" w:color="auto" w:sz="6" w:space="0"/>
            <w:right w:val="none" w:color="auto" w:sz="0" w:space="0"/>
            <w:insideH w:val="none" w:color="auto" w:sz="0" w:space="0"/>
            <w:insideV w:val="none" w:color="auto" w:sz="0" w:space="0"/>
          </w:tblBorders>
          <w:tblCellMar>
            <w:top w:w="0" w:type="dxa"/>
            <w:left w:w="108" w:type="dxa"/>
            <w:bottom w:w="0" w:type="dxa"/>
            <w:right w:w="108" w:type="dxa"/>
          </w:tblCellMar>
        </w:tblPrEx>
        <w:tc>
          <w:tcPr>
            <w:tcW w:w="1866" w:type="dxa"/>
            <w:vAlign w:val="center"/>
          </w:tcPr>
          <w:p w14:paraId="469CBC04">
            <w:pPr>
              <w:keepNext w:val="0"/>
              <w:keepLines w:val="0"/>
              <w:widowControl/>
              <w:suppressLineNumbers w:val="0"/>
              <w:jc w:val="center"/>
              <w:textAlignment w:val="center"/>
              <w:rPr>
                <w:rFonts w:hint="default" w:eastAsiaTheme="minorEastAsia"/>
                <w:vertAlign w:val="baseline"/>
                <w:lang w:val="en-US" w:eastAsia="zh-CN"/>
              </w:rPr>
            </w:pPr>
            <w:r>
              <w:rPr>
                <w:rFonts w:hint="eastAsia" w:ascii="宋体" w:hAnsi="宋体" w:eastAsia="宋体" w:cs="宋体"/>
                <w:i w:val="0"/>
                <w:iCs w:val="0"/>
                <w:color w:val="000000"/>
                <w:kern w:val="0"/>
                <w:sz w:val="22"/>
                <w:szCs w:val="22"/>
                <w:u w:val="none"/>
                <w:lang w:val="en-US" w:eastAsia="zh-CN" w:bidi="ar"/>
              </w:rPr>
              <w:t>G.longicalyx</w:t>
            </w:r>
          </w:p>
        </w:tc>
        <w:tc>
          <w:tcPr>
            <w:tcW w:w="1363" w:type="dxa"/>
            <w:vAlign w:val="center"/>
          </w:tcPr>
          <w:p w14:paraId="5789D0B8">
            <w:pPr>
              <w:keepNext w:val="0"/>
              <w:keepLines w:val="0"/>
              <w:widowControl/>
              <w:suppressLineNumbers w:val="0"/>
              <w:jc w:val="center"/>
              <w:textAlignment w:val="center"/>
              <w:rPr>
                <w:rFonts w:hint="default" w:eastAsiaTheme="minorEastAsia"/>
                <w:vertAlign w:val="baseline"/>
                <w:lang w:val="en-US" w:eastAsia="zh-CN"/>
              </w:rPr>
            </w:pPr>
            <w:r>
              <w:rPr>
                <w:rFonts w:hint="eastAsia" w:ascii="宋体" w:hAnsi="宋体" w:eastAsia="宋体" w:cs="宋体"/>
                <w:i w:val="0"/>
                <w:iCs w:val="0"/>
                <w:color w:val="000000"/>
                <w:kern w:val="0"/>
                <w:sz w:val="22"/>
                <w:szCs w:val="22"/>
                <w:u w:val="none"/>
                <w:lang w:val="en-US" w:eastAsia="zh-CN" w:bidi="ar"/>
              </w:rPr>
              <w:t>41633</w:t>
            </w:r>
          </w:p>
        </w:tc>
        <w:tc>
          <w:tcPr>
            <w:tcW w:w="1248" w:type="dxa"/>
            <w:vAlign w:val="center"/>
          </w:tcPr>
          <w:p w14:paraId="263A72D4">
            <w:pPr>
              <w:keepNext w:val="0"/>
              <w:keepLines w:val="0"/>
              <w:widowControl/>
              <w:suppressLineNumbers w:val="0"/>
              <w:jc w:val="center"/>
              <w:textAlignment w:val="center"/>
              <w:rPr>
                <w:rFonts w:hint="default" w:eastAsiaTheme="minorEastAsia"/>
                <w:vertAlign w:val="baseline"/>
                <w:lang w:val="en-US" w:eastAsia="zh-CN"/>
              </w:rPr>
            </w:pPr>
            <w:r>
              <w:rPr>
                <w:rFonts w:hint="eastAsia" w:ascii="宋体" w:hAnsi="宋体" w:eastAsia="宋体" w:cs="宋体"/>
                <w:i w:val="0"/>
                <w:iCs w:val="0"/>
                <w:color w:val="000000"/>
                <w:kern w:val="0"/>
                <w:sz w:val="22"/>
                <w:szCs w:val="22"/>
                <w:u w:val="none"/>
                <w:lang w:val="en-US" w:eastAsia="zh-CN" w:bidi="ar"/>
              </w:rPr>
              <w:t>F1</w:t>
            </w:r>
          </w:p>
        </w:tc>
        <w:tc>
          <w:tcPr>
            <w:tcW w:w="1512" w:type="dxa"/>
            <w:vAlign w:val="center"/>
          </w:tcPr>
          <w:p w14:paraId="66C3C263">
            <w:pPr>
              <w:keepNext w:val="0"/>
              <w:keepLines w:val="0"/>
              <w:widowControl/>
              <w:suppressLineNumbers w:val="0"/>
              <w:jc w:val="center"/>
              <w:textAlignment w:val="center"/>
              <w:rPr>
                <w:rFonts w:hint="default" w:eastAsiaTheme="minorEastAsia"/>
                <w:vertAlign w:val="baseline"/>
                <w:lang w:val="en-US" w:eastAsia="zh-CN"/>
              </w:rPr>
            </w:pPr>
            <w:r>
              <w:rPr>
                <w:rFonts w:hint="eastAsia" w:ascii="宋体" w:hAnsi="宋体" w:eastAsia="宋体" w:cs="宋体"/>
                <w:i w:val="0"/>
                <w:iCs w:val="0"/>
                <w:color w:val="000000"/>
                <w:kern w:val="0"/>
                <w:sz w:val="22"/>
                <w:szCs w:val="22"/>
                <w:u w:val="none"/>
                <w:lang w:val="en-US" w:eastAsia="zh-CN" w:bidi="ar"/>
              </w:rPr>
              <w:t>1.11G</w:t>
            </w:r>
          </w:p>
        </w:tc>
        <w:tc>
          <w:tcPr>
            <w:tcW w:w="2533" w:type="dxa"/>
            <w:vAlign w:val="center"/>
          </w:tcPr>
          <w:p w14:paraId="0C560112">
            <w:pPr>
              <w:keepNext w:val="0"/>
              <w:keepLines w:val="0"/>
              <w:widowControl/>
              <w:suppressLineNumbers w:val="0"/>
              <w:jc w:val="center"/>
              <w:textAlignment w:val="center"/>
              <w:rPr>
                <w:rFonts w:hint="default" w:eastAsiaTheme="minorEastAsia"/>
                <w:vertAlign w:val="baseline"/>
                <w:lang w:val="en-US" w:eastAsia="zh-CN"/>
              </w:rPr>
            </w:pPr>
            <w:r>
              <w:rPr>
                <w:rFonts w:hint="eastAsia" w:ascii="宋体" w:hAnsi="宋体" w:eastAsia="宋体" w:cs="宋体"/>
                <w:i w:val="0"/>
                <w:iCs w:val="0"/>
                <w:color w:val="000000"/>
                <w:kern w:val="0"/>
                <w:sz w:val="22"/>
                <w:szCs w:val="22"/>
                <w:u w:val="none"/>
                <w:lang w:val="en-US" w:eastAsia="zh-CN" w:bidi="ar"/>
              </w:rPr>
              <w:t>Wang et al. (2022)</w:t>
            </w:r>
          </w:p>
        </w:tc>
      </w:tr>
      <w:tr w14:paraId="743C5C3D">
        <w:tblPrEx>
          <w:tblBorders>
            <w:top w:val="single" w:color="auto" w:sz="12" w:space="0"/>
            <w:left w:val="none" w:color="auto" w:sz="0" w:space="0"/>
            <w:bottom w:val="single" w:color="auto" w:sz="6" w:space="0"/>
            <w:right w:val="none" w:color="auto" w:sz="0" w:space="0"/>
            <w:insideH w:val="none" w:color="auto" w:sz="0" w:space="0"/>
            <w:insideV w:val="none" w:color="auto" w:sz="0" w:space="0"/>
          </w:tblBorders>
          <w:tblCellMar>
            <w:top w:w="0" w:type="dxa"/>
            <w:left w:w="108" w:type="dxa"/>
            <w:bottom w:w="0" w:type="dxa"/>
            <w:right w:w="108" w:type="dxa"/>
          </w:tblCellMar>
        </w:tblPrEx>
        <w:tc>
          <w:tcPr>
            <w:tcW w:w="1866" w:type="dxa"/>
            <w:vAlign w:val="center"/>
          </w:tcPr>
          <w:p w14:paraId="49AEBF96">
            <w:pPr>
              <w:keepNext w:val="0"/>
              <w:keepLines w:val="0"/>
              <w:widowControl/>
              <w:suppressLineNumbers w:val="0"/>
              <w:jc w:val="center"/>
              <w:textAlignment w:val="center"/>
              <w:rPr>
                <w:rFonts w:hint="default" w:eastAsiaTheme="minorEastAsia"/>
                <w:vertAlign w:val="baseline"/>
                <w:lang w:val="en-US" w:eastAsia="zh-CN"/>
              </w:rPr>
            </w:pPr>
            <w:r>
              <w:rPr>
                <w:rFonts w:hint="eastAsia" w:ascii="宋体" w:hAnsi="宋体" w:eastAsia="宋体" w:cs="宋体"/>
                <w:i w:val="0"/>
                <w:iCs w:val="0"/>
                <w:color w:val="000000"/>
                <w:kern w:val="0"/>
                <w:sz w:val="22"/>
                <w:szCs w:val="22"/>
                <w:u w:val="none"/>
                <w:lang w:val="en-US" w:eastAsia="zh-CN" w:bidi="ar"/>
              </w:rPr>
              <w:t>G.bickii</w:t>
            </w:r>
          </w:p>
        </w:tc>
        <w:tc>
          <w:tcPr>
            <w:tcW w:w="1363" w:type="dxa"/>
            <w:vAlign w:val="center"/>
          </w:tcPr>
          <w:p w14:paraId="6FE4A41F">
            <w:pPr>
              <w:keepNext w:val="0"/>
              <w:keepLines w:val="0"/>
              <w:widowControl/>
              <w:suppressLineNumbers w:val="0"/>
              <w:jc w:val="center"/>
              <w:textAlignment w:val="center"/>
              <w:rPr>
                <w:rFonts w:hint="default" w:eastAsiaTheme="minorEastAsia"/>
                <w:vertAlign w:val="baseline"/>
                <w:lang w:val="en-US" w:eastAsia="zh-CN"/>
              </w:rPr>
            </w:pPr>
            <w:r>
              <w:rPr>
                <w:rFonts w:hint="eastAsia" w:ascii="宋体" w:hAnsi="宋体" w:eastAsia="宋体" w:cs="宋体"/>
                <w:i w:val="0"/>
                <w:iCs w:val="0"/>
                <w:color w:val="000000"/>
                <w:kern w:val="0"/>
                <w:sz w:val="22"/>
                <w:szCs w:val="22"/>
                <w:u w:val="none"/>
                <w:lang w:val="en-US" w:eastAsia="zh-CN" w:bidi="ar"/>
              </w:rPr>
              <w:t>40857</w:t>
            </w:r>
          </w:p>
        </w:tc>
        <w:tc>
          <w:tcPr>
            <w:tcW w:w="1248" w:type="dxa"/>
            <w:vAlign w:val="center"/>
          </w:tcPr>
          <w:p w14:paraId="3725ABF6">
            <w:pPr>
              <w:keepNext w:val="0"/>
              <w:keepLines w:val="0"/>
              <w:widowControl/>
              <w:suppressLineNumbers w:val="0"/>
              <w:jc w:val="center"/>
              <w:textAlignment w:val="center"/>
              <w:rPr>
                <w:rFonts w:hint="default" w:eastAsiaTheme="minorEastAsia"/>
                <w:vertAlign w:val="baseline"/>
                <w:lang w:val="en-US" w:eastAsia="zh-CN"/>
              </w:rPr>
            </w:pPr>
            <w:r>
              <w:rPr>
                <w:rFonts w:hint="eastAsia" w:ascii="宋体" w:hAnsi="宋体" w:eastAsia="宋体" w:cs="宋体"/>
                <w:i w:val="0"/>
                <w:iCs w:val="0"/>
                <w:color w:val="000000"/>
                <w:kern w:val="0"/>
                <w:sz w:val="22"/>
                <w:szCs w:val="22"/>
                <w:u w:val="none"/>
                <w:lang w:val="en-US" w:eastAsia="zh-CN" w:bidi="ar"/>
              </w:rPr>
              <w:t>G1</w:t>
            </w:r>
          </w:p>
        </w:tc>
        <w:tc>
          <w:tcPr>
            <w:tcW w:w="1512" w:type="dxa"/>
            <w:vAlign w:val="center"/>
          </w:tcPr>
          <w:p w14:paraId="6DBD683D">
            <w:pPr>
              <w:keepNext w:val="0"/>
              <w:keepLines w:val="0"/>
              <w:widowControl/>
              <w:suppressLineNumbers w:val="0"/>
              <w:jc w:val="center"/>
              <w:textAlignment w:val="center"/>
              <w:rPr>
                <w:rFonts w:hint="default" w:eastAsiaTheme="minorEastAsia"/>
                <w:vertAlign w:val="baseline"/>
                <w:lang w:val="en-US" w:eastAsia="zh-CN"/>
              </w:rPr>
            </w:pPr>
            <w:r>
              <w:rPr>
                <w:rFonts w:hint="eastAsia" w:ascii="宋体" w:hAnsi="宋体" w:eastAsia="宋体" w:cs="宋体"/>
                <w:i w:val="0"/>
                <w:iCs w:val="0"/>
                <w:color w:val="000000"/>
                <w:kern w:val="0"/>
                <w:sz w:val="22"/>
                <w:szCs w:val="22"/>
                <w:u w:val="none"/>
                <w:lang w:val="en-US" w:eastAsia="zh-CN" w:bidi="ar"/>
              </w:rPr>
              <w:t>1.49G</w:t>
            </w:r>
          </w:p>
        </w:tc>
        <w:tc>
          <w:tcPr>
            <w:tcW w:w="2533" w:type="dxa"/>
            <w:vAlign w:val="center"/>
          </w:tcPr>
          <w:p w14:paraId="2BBF1E9A">
            <w:pPr>
              <w:keepNext w:val="0"/>
              <w:keepLines w:val="0"/>
              <w:widowControl/>
              <w:suppressLineNumbers w:val="0"/>
              <w:jc w:val="center"/>
              <w:textAlignment w:val="center"/>
              <w:rPr>
                <w:rFonts w:hint="default" w:eastAsiaTheme="minorEastAsia"/>
                <w:vertAlign w:val="baseline"/>
                <w:lang w:val="en-US" w:eastAsia="zh-CN"/>
              </w:rPr>
            </w:pPr>
            <w:r>
              <w:rPr>
                <w:rFonts w:hint="eastAsia" w:ascii="宋体" w:hAnsi="宋体" w:eastAsia="宋体" w:cs="宋体"/>
                <w:i w:val="0"/>
                <w:iCs w:val="0"/>
                <w:color w:val="000000"/>
                <w:kern w:val="0"/>
                <w:sz w:val="22"/>
                <w:szCs w:val="22"/>
                <w:u w:val="none"/>
                <w:lang w:val="en-US" w:eastAsia="zh-CN" w:bidi="ar"/>
              </w:rPr>
              <w:t>Wang et al. (2022)</w:t>
            </w:r>
          </w:p>
        </w:tc>
      </w:tr>
      <w:tr w14:paraId="172815D5">
        <w:tblPrEx>
          <w:tblBorders>
            <w:top w:val="single" w:color="auto" w:sz="12" w:space="0"/>
            <w:left w:val="none" w:color="auto" w:sz="0" w:space="0"/>
            <w:bottom w:val="single" w:color="auto" w:sz="6" w:space="0"/>
            <w:right w:val="none" w:color="auto" w:sz="0" w:space="0"/>
            <w:insideH w:val="none" w:color="auto" w:sz="0" w:space="0"/>
            <w:insideV w:val="none" w:color="auto" w:sz="0" w:space="0"/>
          </w:tblBorders>
          <w:tblCellMar>
            <w:top w:w="0" w:type="dxa"/>
            <w:left w:w="108" w:type="dxa"/>
            <w:bottom w:w="0" w:type="dxa"/>
            <w:right w:w="108" w:type="dxa"/>
          </w:tblCellMar>
        </w:tblPrEx>
        <w:tc>
          <w:tcPr>
            <w:tcW w:w="1866" w:type="dxa"/>
            <w:vAlign w:val="center"/>
          </w:tcPr>
          <w:p w14:paraId="6E68CEB2">
            <w:pPr>
              <w:keepNext w:val="0"/>
              <w:keepLines w:val="0"/>
              <w:widowControl/>
              <w:suppressLineNumbers w:val="0"/>
              <w:jc w:val="center"/>
              <w:textAlignment w:val="center"/>
              <w:rPr>
                <w:rFonts w:hint="default" w:eastAsiaTheme="minorEastAsia"/>
                <w:vertAlign w:val="baseline"/>
                <w:lang w:val="en-US" w:eastAsia="zh-CN"/>
              </w:rPr>
            </w:pPr>
            <w:r>
              <w:rPr>
                <w:rFonts w:hint="eastAsia" w:ascii="宋体" w:hAnsi="宋体" w:eastAsia="宋体" w:cs="宋体"/>
                <w:i w:val="0"/>
                <w:iCs w:val="0"/>
                <w:color w:val="000000"/>
                <w:kern w:val="0"/>
                <w:sz w:val="22"/>
                <w:szCs w:val="22"/>
                <w:u w:val="none"/>
                <w:lang w:val="en-US" w:eastAsia="zh-CN" w:bidi="ar"/>
              </w:rPr>
              <w:t>G.rotundifolium</w:t>
            </w:r>
          </w:p>
        </w:tc>
        <w:tc>
          <w:tcPr>
            <w:tcW w:w="1363" w:type="dxa"/>
            <w:vAlign w:val="center"/>
          </w:tcPr>
          <w:p w14:paraId="678C6CC5">
            <w:pPr>
              <w:keepNext w:val="0"/>
              <w:keepLines w:val="0"/>
              <w:widowControl/>
              <w:suppressLineNumbers w:val="0"/>
              <w:jc w:val="center"/>
              <w:textAlignment w:val="center"/>
              <w:rPr>
                <w:rFonts w:hint="default" w:eastAsiaTheme="minorEastAsia"/>
                <w:vertAlign w:val="baseline"/>
                <w:lang w:val="en-US" w:eastAsia="zh-CN"/>
              </w:rPr>
            </w:pPr>
            <w:r>
              <w:rPr>
                <w:rFonts w:hint="eastAsia" w:ascii="宋体" w:hAnsi="宋体" w:eastAsia="宋体" w:cs="宋体"/>
                <w:i w:val="0"/>
                <w:iCs w:val="0"/>
                <w:color w:val="000000"/>
                <w:kern w:val="0"/>
                <w:sz w:val="22"/>
                <w:szCs w:val="22"/>
                <w:u w:val="none"/>
                <w:lang w:val="en-US" w:eastAsia="zh-CN" w:bidi="ar"/>
              </w:rPr>
              <w:t>41590</w:t>
            </w:r>
          </w:p>
        </w:tc>
        <w:tc>
          <w:tcPr>
            <w:tcW w:w="1248" w:type="dxa"/>
            <w:vAlign w:val="center"/>
          </w:tcPr>
          <w:p w14:paraId="76CC716E">
            <w:pPr>
              <w:keepNext w:val="0"/>
              <w:keepLines w:val="0"/>
              <w:widowControl/>
              <w:suppressLineNumbers w:val="0"/>
              <w:jc w:val="center"/>
              <w:textAlignment w:val="center"/>
              <w:rPr>
                <w:rFonts w:hint="default" w:eastAsiaTheme="minorEastAsia"/>
                <w:vertAlign w:val="baseline"/>
                <w:lang w:val="en-US" w:eastAsia="zh-CN"/>
              </w:rPr>
            </w:pPr>
            <w:r>
              <w:rPr>
                <w:rFonts w:hint="eastAsia" w:ascii="宋体" w:hAnsi="宋体" w:eastAsia="宋体" w:cs="宋体"/>
                <w:i w:val="0"/>
                <w:iCs w:val="0"/>
                <w:color w:val="000000"/>
                <w:kern w:val="0"/>
                <w:sz w:val="22"/>
                <w:szCs w:val="22"/>
                <w:u w:val="none"/>
                <w:lang w:val="en-US" w:eastAsia="zh-CN" w:bidi="ar"/>
              </w:rPr>
              <w:t>K2</w:t>
            </w:r>
          </w:p>
        </w:tc>
        <w:tc>
          <w:tcPr>
            <w:tcW w:w="1512" w:type="dxa"/>
            <w:vAlign w:val="center"/>
          </w:tcPr>
          <w:p w14:paraId="11C7FF61">
            <w:pPr>
              <w:keepNext w:val="0"/>
              <w:keepLines w:val="0"/>
              <w:widowControl/>
              <w:suppressLineNumbers w:val="0"/>
              <w:jc w:val="center"/>
              <w:textAlignment w:val="center"/>
              <w:rPr>
                <w:rFonts w:hint="default" w:eastAsiaTheme="minorEastAsia"/>
                <w:vertAlign w:val="baseline"/>
                <w:lang w:val="en-US" w:eastAsia="zh-CN"/>
              </w:rPr>
            </w:pPr>
            <w:r>
              <w:rPr>
                <w:rFonts w:hint="eastAsia" w:ascii="宋体" w:hAnsi="宋体" w:eastAsia="宋体" w:cs="宋体"/>
                <w:i w:val="0"/>
                <w:iCs w:val="0"/>
                <w:color w:val="000000"/>
                <w:kern w:val="0"/>
                <w:sz w:val="22"/>
                <w:szCs w:val="22"/>
                <w:u w:val="none"/>
                <w:lang w:val="en-US" w:eastAsia="zh-CN" w:bidi="ar"/>
              </w:rPr>
              <w:t>2.27G</w:t>
            </w:r>
          </w:p>
        </w:tc>
        <w:tc>
          <w:tcPr>
            <w:tcW w:w="2533" w:type="dxa"/>
            <w:vAlign w:val="center"/>
          </w:tcPr>
          <w:p w14:paraId="4CDEC1C6">
            <w:pPr>
              <w:keepNext w:val="0"/>
              <w:keepLines w:val="0"/>
              <w:widowControl/>
              <w:suppressLineNumbers w:val="0"/>
              <w:jc w:val="center"/>
              <w:textAlignment w:val="center"/>
              <w:rPr>
                <w:rFonts w:hint="default" w:eastAsiaTheme="minorEastAsia"/>
                <w:vertAlign w:val="baseline"/>
                <w:lang w:val="en-US" w:eastAsia="zh-CN"/>
              </w:rPr>
            </w:pPr>
            <w:r>
              <w:rPr>
                <w:rFonts w:hint="eastAsia" w:ascii="宋体" w:hAnsi="宋体" w:eastAsia="宋体" w:cs="宋体"/>
                <w:i w:val="0"/>
                <w:iCs w:val="0"/>
                <w:color w:val="000000"/>
                <w:kern w:val="0"/>
                <w:sz w:val="22"/>
                <w:szCs w:val="22"/>
                <w:u w:val="none"/>
                <w:lang w:val="en-US" w:eastAsia="zh-CN" w:bidi="ar"/>
              </w:rPr>
              <w:t>Wang et al. (2021)</w:t>
            </w:r>
          </w:p>
        </w:tc>
      </w:tr>
      <w:tr w14:paraId="2CA47891">
        <w:tblPrEx>
          <w:tblBorders>
            <w:top w:val="single" w:color="auto" w:sz="12" w:space="0"/>
            <w:left w:val="none" w:color="auto" w:sz="0" w:space="0"/>
            <w:bottom w:val="single" w:color="auto" w:sz="6" w:space="0"/>
            <w:right w:val="none" w:color="auto" w:sz="0" w:space="0"/>
            <w:insideH w:val="none" w:color="auto" w:sz="0" w:space="0"/>
            <w:insideV w:val="none" w:color="auto" w:sz="0" w:space="0"/>
          </w:tblBorders>
          <w:tblCellMar>
            <w:top w:w="0" w:type="dxa"/>
            <w:left w:w="108" w:type="dxa"/>
            <w:bottom w:w="0" w:type="dxa"/>
            <w:right w:w="108" w:type="dxa"/>
          </w:tblCellMar>
        </w:tblPrEx>
        <w:tc>
          <w:tcPr>
            <w:tcW w:w="1866" w:type="dxa"/>
            <w:vAlign w:val="center"/>
          </w:tcPr>
          <w:p w14:paraId="56D60540">
            <w:pPr>
              <w:keepNext w:val="0"/>
              <w:keepLines w:val="0"/>
              <w:widowControl/>
              <w:suppressLineNumbers w:val="0"/>
              <w:jc w:val="center"/>
              <w:textAlignment w:val="center"/>
              <w:rPr>
                <w:rFonts w:hint="default" w:eastAsiaTheme="minorEastAsia"/>
                <w:vertAlign w:val="baseline"/>
                <w:lang w:val="en-US" w:eastAsia="zh-CN"/>
              </w:rPr>
            </w:pPr>
            <w:r>
              <w:rPr>
                <w:rFonts w:hint="eastAsia" w:ascii="宋体" w:hAnsi="宋体" w:eastAsia="宋体" w:cs="宋体"/>
                <w:i w:val="0"/>
                <w:iCs w:val="0"/>
                <w:color w:val="000000"/>
                <w:kern w:val="0"/>
                <w:sz w:val="22"/>
                <w:szCs w:val="22"/>
                <w:u w:val="none"/>
                <w:lang w:val="en-US" w:eastAsia="zh-CN" w:bidi="ar"/>
              </w:rPr>
              <w:t>G.kirkii</w:t>
            </w:r>
          </w:p>
        </w:tc>
        <w:tc>
          <w:tcPr>
            <w:tcW w:w="1363" w:type="dxa"/>
            <w:vAlign w:val="center"/>
          </w:tcPr>
          <w:p w14:paraId="4748F431">
            <w:pPr>
              <w:keepNext w:val="0"/>
              <w:keepLines w:val="0"/>
              <w:widowControl/>
              <w:suppressLineNumbers w:val="0"/>
              <w:jc w:val="center"/>
              <w:textAlignment w:val="center"/>
              <w:rPr>
                <w:rFonts w:hint="default" w:eastAsiaTheme="minorEastAsia"/>
                <w:vertAlign w:val="baseline"/>
                <w:lang w:val="en-US" w:eastAsia="zh-CN"/>
              </w:rPr>
            </w:pPr>
            <w:r>
              <w:rPr>
                <w:rFonts w:hint="eastAsia" w:ascii="宋体" w:hAnsi="宋体" w:eastAsia="宋体" w:cs="宋体"/>
                <w:i w:val="0"/>
                <w:iCs w:val="0"/>
                <w:color w:val="000000"/>
                <w:kern w:val="0"/>
                <w:sz w:val="22"/>
                <w:szCs w:val="22"/>
                <w:u w:val="none"/>
                <w:lang w:val="en-US" w:eastAsia="zh-CN" w:bidi="ar"/>
              </w:rPr>
              <w:t>36680</w:t>
            </w:r>
          </w:p>
        </w:tc>
        <w:tc>
          <w:tcPr>
            <w:tcW w:w="1248" w:type="dxa"/>
            <w:vAlign w:val="center"/>
          </w:tcPr>
          <w:p w14:paraId="10613BCC">
            <w:pPr>
              <w:keepNext w:val="0"/>
              <w:keepLines w:val="0"/>
              <w:widowControl/>
              <w:suppressLineNumbers w:val="0"/>
              <w:jc w:val="center"/>
              <w:textAlignment w:val="center"/>
              <w:rPr>
                <w:rFonts w:hint="default" w:eastAsiaTheme="minorEastAsia"/>
                <w:vertAlign w:val="baseline"/>
                <w:lang w:val="en-US" w:eastAsia="zh-CN"/>
              </w:rPr>
            </w:pPr>
            <w:r>
              <w:rPr>
                <w:rFonts w:hint="eastAsia" w:ascii="宋体" w:hAnsi="宋体" w:eastAsia="宋体" w:cs="宋体"/>
                <w:i w:val="0"/>
                <w:iCs w:val="0"/>
                <w:color w:val="000000"/>
                <w:kern w:val="0"/>
                <w:sz w:val="22"/>
                <w:szCs w:val="22"/>
                <w:u w:val="none"/>
                <w:lang w:val="en-US" w:eastAsia="zh-CN" w:bidi="ar"/>
              </w:rPr>
              <w:t>Outgroup</w:t>
            </w:r>
          </w:p>
        </w:tc>
        <w:tc>
          <w:tcPr>
            <w:tcW w:w="1512" w:type="dxa"/>
            <w:vAlign w:val="center"/>
          </w:tcPr>
          <w:p w14:paraId="3160291C">
            <w:pPr>
              <w:keepNext w:val="0"/>
              <w:keepLines w:val="0"/>
              <w:widowControl/>
              <w:suppressLineNumbers w:val="0"/>
              <w:jc w:val="center"/>
              <w:textAlignment w:val="center"/>
              <w:rPr>
                <w:rFonts w:hint="default" w:eastAsiaTheme="minorEastAsia"/>
                <w:vertAlign w:val="baseline"/>
                <w:lang w:val="en-US" w:eastAsia="zh-CN"/>
              </w:rPr>
            </w:pPr>
            <w:r>
              <w:rPr>
                <w:rFonts w:hint="eastAsia" w:ascii="宋体" w:hAnsi="宋体" w:eastAsia="宋体" w:cs="宋体"/>
                <w:i w:val="0"/>
                <w:iCs w:val="0"/>
                <w:color w:val="000000"/>
                <w:kern w:val="0"/>
                <w:sz w:val="22"/>
                <w:szCs w:val="22"/>
                <w:u w:val="none"/>
                <w:lang w:val="en-US" w:eastAsia="zh-CN" w:bidi="ar"/>
              </w:rPr>
              <w:t>520MB</w:t>
            </w:r>
          </w:p>
        </w:tc>
        <w:tc>
          <w:tcPr>
            <w:tcW w:w="2533" w:type="dxa"/>
            <w:vAlign w:val="center"/>
          </w:tcPr>
          <w:p w14:paraId="0D30F0EE">
            <w:pPr>
              <w:keepNext w:val="0"/>
              <w:keepLines w:val="0"/>
              <w:widowControl/>
              <w:suppressLineNumbers w:val="0"/>
              <w:jc w:val="center"/>
              <w:textAlignment w:val="center"/>
              <w:rPr>
                <w:rFonts w:hint="default" w:eastAsiaTheme="minorEastAsia"/>
                <w:vertAlign w:val="baseline"/>
                <w:lang w:val="en-US" w:eastAsia="zh-CN"/>
              </w:rPr>
            </w:pPr>
            <w:r>
              <w:rPr>
                <w:rFonts w:hint="eastAsia" w:ascii="宋体" w:hAnsi="宋体" w:eastAsia="宋体" w:cs="宋体"/>
                <w:i w:val="0"/>
                <w:iCs w:val="0"/>
                <w:color w:val="000000"/>
                <w:kern w:val="0"/>
                <w:sz w:val="22"/>
                <w:szCs w:val="22"/>
                <w:u w:val="none"/>
                <w:lang w:val="en-US" w:eastAsia="zh-CN" w:bidi="ar"/>
              </w:rPr>
              <w:t>Grover et al. (2019)</w:t>
            </w:r>
          </w:p>
        </w:tc>
      </w:tr>
      <w:tr w14:paraId="68764B03">
        <w:tblPrEx>
          <w:tblBorders>
            <w:top w:val="single" w:color="auto" w:sz="12" w:space="0"/>
            <w:left w:val="none" w:color="auto" w:sz="0" w:space="0"/>
            <w:bottom w:val="single" w:color="auto" w:sz="6" w:space="0"/>
            <w:right w:val="none" w:color="auto" w:sz="0" w:space="0"/>
            <w:insideH w:val="none" w:color="auto" w:sz="0" w:space="0"/>
            <w:insideV w:val="none" w:color="auto" w:sz="0" w:space="0"/>
          </w:tblBorders>
          <w:tblCellMar>
            <w:top w:w="0" w:type="dxa"/>
            <w:left w:w="108" w:type="dxa"/>
            <w:bottom w:w="0" w:type="dxa"/>
            <w:right w:w="108" w:type="dxa"/>
          </w:tblCellMar>
        </w:tblPrEx>
        <w:tc>
          <w:tcPr>
            <w:tcW w:w="1866" w:type="dxa"/>
            <w:vAlign w:val="center"/>
          </w:tcPr>
          <w:p w14:paraId="4B8D397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TM-1</w:t>
            </w:r>
          </w:p>
        </w:tc>
        <w:tc>
          <w:tcPr>
            <w:tcW w:w="1363" w:type="dxa"/>
            <w:vAlign w:val="center"/>
          </w:tcPr>
          <w:p w14:paraId="6E09079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79642</w:t>
            </w:r>
          </w:p>
        </w:tc>
        <w:tc>
          <w:tcPr>
            <w:tcW w:w="1248" w:type="dxa"/>
            <w:vAlign w:val="center"/>
          </w:tcPr>
          <w:p w14:paraId="3CD22E0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AD1</w:t>
            </w:r>
          </w:p>
        </w:tc>
        <w:tc>
          <w:tcPr>
            <w:tcW w:w="1512" w:type="dxa"/>
            <w:vAlign w:val="center"/>
          </w:tcPr>
          <w:p w14:paraId="1F3ED22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2.14G</w:t>
            </w:r>
          </w:p>
        </w:tc>
        <w:tc>
          <w:tcPr>
            <w:tcW w:w="2533" w:type="dxa"/>
            <w:vAlign w:val="center"/>
          </w:tcPr>
          <w:p w14:paraId="7A91513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Hu et al. (2025a)</w:t>
            </w:r>
          </w:p>
        </w:tc>
      </w:tr>
      <w:tr w14:paraId="26B30037">
        <w:tblPrEx>
          <w:tblBorders>
            <w:top w:val="single" w:color="auto" w:sz="12" w:space="0"/>
            <w:left w:val="none" w:color="auto" w:sz="0" w:space="0"/>
            <w:bottom w:val="single" w:color="auto" w:sz="6" w:space="0"/>
            <w:right w:val="none" w:color="auto" w:sz="0" w:space="0"/>
            <w:insideH w:val="none" w:color="auto" w:sz="0" w:space="0"/>
            <w:insideV w:val="none" w:color="auto" w:sz="0" w:space="0"/>
          </w:tblBorders>
          <w:tblCellMar>
            <w:top w:w="0" w:type="dxa"/>
            <w:left w:w="108" w:type="dxa"/>
            <w:bottom w:w="0" w:type="dxa"/>
            <w:right w:w="108" w:type="dxa"/>
          </w:tblCellMar>
        </w:tblPrEx>
        <w:tc>
          <w:tcPr>
            <w:tcW w:w="1866" w:type="dxa"/>
            <w:vAlign w:val="center"/>
          </w:tcPr>
          <w:p w14:paraId="17AB1D9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B713</w:t>
            </w:r>
          </w:p>
        </w:tc>
        <w:tc>
          <w:tcPr>
            <w:tcW w:w="1363" w:type="dxa"/>
            <w:vAlign w:val="center"/>
          </w:tcPr>
          <w:p w14:paraId="3A790FC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78475</w:t>
            </w:r>
          </w:p>
        </w:tc>
        <w:tc>
          <w:tcPr>
            <w:tcW w:w="1248" w:type="dxa"/>
            <w:vAlign w:val="center"/>
          </w:tcPr>
          <w:p w14:paraId="02F1D3C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AD1</w:t>
            </w:r>
          </w:p>
        </w:tc>
        <w:tc>
          <w:tcPr>
            <w:tcW w:w="1512" w:type="dxa"/>
            <w:vAlign w:val="center"/>
          </w:tcPr>
          <w:p w14:paraId="23E1E05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2.17G</w:t>
            </w:r>
          </w:p>
        </w:tc>
        <w:tc>
          <w:tcPr>
            <w:tcW w:w="2533" w:type="dxa"/>
            <w:vAlign w:val="center"/>
          </w:tcPr>
          <w:p w14:paraId="37D3B5D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Perkin et al. (2021)</w:t>
            </w:r>
          </w:p>
        </w:tc>
      </w:tr>
      <w:tr w14:paraId="5FCF4960">
        <w:tblPrEx>
          <w:tblBorders>
            <w:top w:val="single" w:color="auto" w:sz="12" w:space="0"/>
            <w:left w:val="none" w:color="auto" w:sz="0" w:space="0"/>
            <w:bottom w:val="single" w:color="auto" w:sz="6" w:space="0"/>
            <w:right w:val="none" w:color="auto" w:sz="0" w:space="0"/>
            <w:insideH w:val="none" w:color="auto" w:sz="0" w:space="0"/>
            <w:insideV w:val="none" w:color="auto" w:sz="0" w:space="0"/>
          </w:tblBorders>
          <w:tblCellMar>
            <w:top w:w="0" w:type="dxa"/>
            <w:left w:w="108" w:type="dxa"/>
            <w:bottom w:w="0" w:type="dxa"/>
            <w:right w:w="108" w:type="dxa"/>
          </w:tblCellMar>
        </w:tblPrEx>
        <w:tc>
          <w:tcPr>
            <w:tcW w:w="1866" w:type="dxa"/>
            <w:vAlign w:val="center"/>
          </w:tcPr>
          <w:p w14:paraId="49FEE514">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J668</w:t>
            </w:r>
          </w:p>
        </w:tc>
        <w:tc>
          <w:tcPr>
            <w:tcW w:w="1363" w:type="dxa"/>
            <w:vAlign w:val="center"/>
          </w:tcPr>
          <w:p w14:paraId="3736AEF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74637</w:t>
            </w:r>
          </w:p>
        </w:tc>
        <w:tc>
          <w:tcPr>
            <w:tcW w:w="1248" w:type="dxa"/>
            <w:vAlign w:val="center"/>
          </w:tcPr>
          <w:p w14:paraId="3A62064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AD1</w:t>
            </w:r>
          </w:p>
        </w:tc>
        <w:tc>
          <w:tcPr>
            <w:tcW w:w="1512" w:type="dxa"/>
            <w:vAlign w:val="center"/>
          </w:tcPr>
          <w:p w14:paraId="5D5A2A0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2.24G</w:t>
            </w:r>
          </w:p>
        </w:tc>
        <w:tc>
          <w:tcPr>
            <w:tcW w:w="2533" w:type="dxa"/>
            <w:vAlign w:val="center"/>
          </w:tcPr>
          <w:p w14:paraId="5DDFB90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Xu et al. (2025)</w:t>
            </w:r>
          </w:p>
        </w:tc>
      </w:tr>
      <w:tr w14:paraId="15812C11">
        <w:tblPrEx>
          <w:tblBorders>
            <w:top w:val="single" w:color="auto" w:sz="12" w:space="0"/>
            <w:left w:val="none" w:color="auto" w:sz="0" w:space="0"/>
            <w:bottom w:val="single" w:color="auto" w:sz="6" w:space="0"/>
            <w:right w:val="none" w:color="auto" w:sz="0" w:space="0"/>
            <w:insideH w:val="none" w:color="auto" w:sz="0" w:space="0"/>
            <w:insideV w:val="none" w:color="auto" w:sz="0" w:space="0"/>
          </w:tblBorders>
          <w:tblCellMar>
            <w:top w:w="0" w:type="dxa"/>
            <w:left w:w="108" w:type="dxa"/>
            <w:bottom w:w="0" w:type="dxa"/>
            <w:right w:w="108" w:type="dxa"/>
          </w:tblCellMar>
        </w:tblPrEx>
        <w:tc>
          <w:tcPr>
            <w:tcW w:w="1866" w:type="dxa"/>
            <w:vAlign w:val="center"/>
          </w:tcPr>
          <w:p w14:paraId="10F1AAB4">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YM11</w:t>
            </w:r>
          </w:p>
        </w:tc>
        <w:tc>
          <w:tcPr>
            <w:tcW w:w="1363" w:type="dxa"/>
            <w:vAlign w:val="center"/>
          </w:tcPr>
          <w:p w14:paraId="324DA494">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84720</w:t>
            </w:r>
          </w:p>
        </w:tc>
        <w:tc>
          <w:tcPr>
            <w:tcW w:w="1248" w:type="dxa"/>
            <w:vAlign w:val="center"/>
          </w:tcPr>
          <w:p w14:paraId="477C195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AD1</w:t>
            </w:r>
          </w:p>
        </w:tc>
        <w:tc>
          <w:tcPr>
            <w:tcW w:w="1512" w:type="dxa"/>
            <w:vAlign w:val="center"/>
          </w:tcPr>
          <w:p w14:paraId="64A385E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2.18G</w:t>
            </w:r>
          </w:p>
        </w:tc>
        <w:tc>
          <w:tcPr>
            <w:tcW w:w="2533" w:type="dxa"/>
            <w:vAlign w:val="center"/>
          </w:tcPr>
          <w:p w14:paraId="4DB657A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Wang et al. (2023)</w:t>
            </w:r>
          </w:p>
        </w:tc>
      </w:tr>
      <w:tr w14:paraId="5B61DE14">
        <w:tblPrEx>
          <w:tblBorders>
            <w:top w:val="single" w:color="auto" w:sz="12" w:space="0"/>
            <w:left w:val="none" w:color="auto" w:sz="0" w:space="0"/>
            <w:bottom w:val="single" w:color="auto" w:sz="6" w:space="0"/>
            <w:right w:val="none" w:color="auto" w:sz="0" w:space="0"/>
            <w:insideH w:val="none" w:color="auto" w:sz="0" w:space="0"/>
            <w:insideV w:val="none" w:color="auto" w:sz="0" w:space="0"/>
          </w:tblBorders>
          <w:tblCellMar>
            <w:top w:w="0" w:type="dxa"/>
            <w:left w:w="108" w:type="dxa"/>
            <w:bottom w:w="0" w:type="dxa"/>
            <w:right w:w="108" w:type="dxa"/>
          </w:tblCellMar>
        </w:tblPrEx>
        <w:tc>
          <w:tcPr>
            <w:tcW w:w="1866" w:type="dxa"/>
            <w:vAlign w:val="center"/>
          </w:tcPr>
          <w:p w14:paraId="0F655C8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ZM113</w:t>
            </w:r>
          </w:p>
        </w:tc>
        <w:tc>
          <w:tcPr>
            <w:tcW w:w="1363" w:type="dxa"/>
            <w:vAlign w:val="center"/>
          </w:tcPr>
          <w:p w14:paraId="4E00A5E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78467</w:t>
            </w:r>
          </w:p>
        </w:tc>
        <w:tc>
          <w:tcPr>
            <w:tcW w:w="1248" w:type="dxa"/>
            <w:vAlign w:val="center"/>
          </w:tcPr>
          <w:p w14:paraId="533EAD9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AD1</w:t>
            </w:r>
          </w:p>
        </w:tc>
        <w:tc>
          <w:tcPr>
            <w:tcW w:w="1512" w:type="dxa"/>
            <w:vAlign w:val="center"/>
          </w:tcPr>
          <w:p w14:paraId="72F81CF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2.18G</w:t>
            </w:r>
          </w:p>
        </w:tc>
        <w:tc>
          <w:tcPr>
            <w:tcW w:w="2533" w:type="dxa"/>
            <w:vAlign w:val="center"/>
          </w:tcPr>
          <w:p w14:paraId="422C4DD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Hu et al. (2025b)</w:t>
            </w:r>
          </w:p>
        </w:tc>
      </w:tr>
      <w:tr w14:paraId="1198C965">
        <w:tblPrEx>
          <w:tblBorders>
            <w:top w:val="single" w:color="auto" w:sz="12" w:space="0"/>
            <w:left w:val="none" w:color="auto" w:sz="0" w:space="0"/>
            <w:bottom w:val="single" w:color="auto" w:sz="6" w:space="0"/>
            <w:right w:val="none" w:color="auto" w:sz="0" w:space="0"/>
            <w:insideH w:val="none" w:color="auto" w:sz="0" w:space="0"/>
            <w:insideV w:val="none" w:color="auto" w:sz="0" w:space="0"/>
          </w:tblBorders>
          <w:tblCellMar>
            <w:top w:w="0" w:type="dxa"/>
            <w:left w:w="108" w:type="dxa"/>
            <w:bottom w:w="0" w:type="dxa"/>
            <w:right w:w="108" w:type="dxa"/>
          </w:tblCellMar>
        </w:tblPrEx>
        <w:tc>
          <w:tcPr>
            <w:tcW w:w="1866" w:type="dxa"/>
            <w:vAlign w:val="center"/>
          </w:tcPr>
          <w:p w14:paraId="66D785F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3-79</w:t>
            </w:r>
          </w:p>
        </w:tc>
        <w:tc>
          <w:tcPr>
            <w:tcW w:w="1363" w:type="dxa"/>
            <w:vAlign w:val="center"/>
          </w:tcPr>
          <w:p w14:paraId="0A0DF5E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76754</w:t>
            </w:r>
          </w:p>
        </w:tc>
        <w:tc>
          <w:tcPr>
            <w:tcW w:w="1248" w:type="dxa"/>
            <w:vAlign w:val="center"/>
          </w:tcPr>
          <w:p w14:paraId="3230D3A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AD2</w:t>
            </w:r>
          </w:p>
        </w:tc>
        <w:tc>
          <w:tcPr>
            <w:tcW w:w="1512" w:type="dxa"/>
            <w:vAlign w:val="center"/>
          </w:tcPr>
          <w:p w14:paraId="446CD83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2.13G</w:t>
            </w:r>
          </w:p>
        </w:tc>
        <w:tc>
          <w:tcPr>
            <w:tcW w:w="2533" w:type="dxa"/>
            <w:vAlign w:val="center"/>
          </w:tcPr>
          <w:p w14:paraId="5B3D3B7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Chang et al. (2024)</w:t>
            </w:r>
          </w:p>
        </w:tc>
      </w:tr>
      <w:tr w14:paraId="329E02F9">
        <w:tblPrEx>
          <w:tblBorders>
            <w:top w:val="single" w:color="auto" w:sz="12" w:space="0"/>
            <w:left w:val="none" w:color="auto" w:sz="0" w:space="0"/>
            <w:bottom w:val="single" w:color="auto" w:sz="6" w:space="0"/>
            <w:right w:val="none" w:color="auto" w:sz="0" w:space="0"/>
            <w:insideH w:val="none" w:color="auto" w:sz="0" w:space="0"/>
            <w:insideV w:val="none" w:color="auto" w:sz="0" w:space="0"/>
          </w:tblBorders>
          <w:tblCellMar>
            <w:top w:w="0" w:type="dxa"/>
            <w:left w:w="108" w:type="dxa"/>
            <w:bottom w:w="0" w:type="dxa"/>
            <w:right w:w="108" w:type="dxa"/>
          </w:tblCellMar>
        </w:tblPrEx>
        <w:tc>
          <w:tcPr>
            <w:tcW w:w="1866" w:type="dxa"/>
            <w:vAlign w:val="center"/>
          </w:tcPr>
          <w:p w14:paraId="65A3D01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Junhai1</w:t>
            </w:r>
          </w:p>
        </w:tc>
        <w:tc>
          <w:tcPr>
            <w:tcW w:w="1363" w:type="dxa"/>
            <w:vAlign w:val="center"/>
          </w:tcPr>
          <w:p w14:paraId="7F08A174">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75774</w:t>
            </w:r>
          </w:p>
        </w:tc>
        <w:tc>
          <w:tcPr>
            <w:tcW w:w="1248" w:type="dxa"/>
            <w:vAlign w:val="center"/>
          </w:tcPr>
          <w:p w14:paraId="1EDFD23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AD2</w:t>
            </w:r>
          </w:p>
        </w:tc>
        <w:tc>
          <w:tcPr>
            <w:tcW w:w="1512" w:type="dxa"/>
            <w:vAlign w:val="center"/>
          </w:tcPr>
          <w:p w14:paraId="0DB574A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2.11G</w:t>
            </w:r>
          </w:p>
        </w:tc>
        <w:tc>
          <w:tcPr>
            <w:tcW w:w="2533" w:type="dxa"/>
            <w:vAlign w:val="center"/>
          </w:tcPr>
          <w:p w14:paraId="337AC44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Meng et al. (2025)</w:t>
            </w:r>
          </w:p>
        </w:tc>
      </w:tr>
      <w:tr w14:paraId="501C210E">
        <w:tblPrEx>
          <w:tblBorders>
            <w:top w:val="single" w:color="auto" w:sz="12" w:space="0"/>
            <w:left w:val="none" w:color="auto" w:sz="0" w:space="0"/>
            <w:bottom w:val="single" w:color="auto" w:sz="6" w:space="0"/>
            <w:right w:val="none" w:color="auto" w:sz="0" w:space="0"/>
            <w:insideH w:val="none" w:color="auto" w:sz="0" w:space="0"/>
            <w:insideV w:val="none" w:color="auto" w:sz="0" w:space="0"/>
          </w:tblBorders>
          <w:tblCellMar>
            <w:top w:w="0" w:type="dxa"/>
            <w:left w:w="108" w:type="dxa"/>
            <w:bottom w:w="0" w:type="dxa"/>
            <w:right w:w="108" w:type="dxa"/>
          </w:tblCellMar>
        </w:tblPrEx>
        <w:tc>
          <w:tcPr>
            <w:tcW w:w="1866" w:type="dxa"/>
            <w:vAlign w:val="center"/>
          </w:tcPr>
          <w:p w14:paraId="3A77D37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Giza7</w:t>
            </w:r>
          </w:p>
        </w:tc>
        <w:tc>
          <w:tcPr>
            <w:tcW w:w="1363" w:type="dxa"/>
            <w:vAlign w:val="center"/>
          </w:tcPr>
          <w:p w14:paraId="732BC0A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76012</w:t>
            </w:r>
          </w:p>
        </w:tc>
        <w:tc>
          <w:tcPr>
            <w:tcW w:w="1248" w:type="dxa"/>
            <w:vAlign w:val="center"/>
          </w:tcPr>
          <w:p w14:paraId="7A201CE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AD2</w:t>
            </w:r>
          </w:p>
        </w:tc>
        <w:tc>
          <w:tcPr>
            <w:tcW w:w="1512" w:type="dxa"/>
            <w:vAlign w:val="center"/>
          </w:tcPr>
          <w:p w14:paraId="5FA83D7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2.08G</w:t>
            </w:r>
          </w:p>
        </w:tc>
        <w:tc>
          <w:tcPr>
            <w:tcW w:w="2533" w:type="dxa"/>
            <w:vAlign w:val="center"/>
          </w:tcPr>
          <w:p w14:paraId="14691EB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Meng et al. (2025)</w:t>
            </w:r>
          </w:p>
        </w:tc>
      </w:tr>
      <w:tr w14:paraId="7EB0E39F">
        <w:tblPrEx>
          <w:tblBorders>
            <w:top w:val="single" w:color="auto" w:sz="12" w:space="0"/>
            <w:left w:val="none" w:color="auto" w:sz="0" w:space="0"/>
            <w:bottom w:val="single" w:color="auto" w:sz="6" w:space="0"/>
            <w:right w:val="none" w:color="auto" w:sz="0" w:space="0"/>
            <w:insideH w:val="none" w:color="auto" w:sz="0" w:space="0"/>
            <w:insideV w:val="none" w:color="auto" w:sz="0" w:space="0"/>
          </w:tblBorders>
          <w:tblCellMar>
            <w:top w:w="0" w:type="dxa"/>
            <w:left w:w="108" w:type="dxa"/>
            <w:bottom w:w="0" w:type="dxa"/>
            <w:right w:w="108" w:type="dxa"/>
          </w:tblCellMar>
        </w:tblPrEx>
        <w:tc>
          <w:tcPr>
            <w:tcW w:w="1866" w:type="dxa"/>
            <w:vAlign w:val="center"/>
          </w:tcPr>
          <w:p w14:paraId="266A1DA4">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GB249</w:t>
            </w:r>
          </w:p>
        </w:tc>
        <w:tc>
          <w:tcPr>
            <w:tcW w:w="1363" w:type="dxa"/>
            <w:vAlign w:val="center"/>
          </w:tcPr>
          <w:p w14:paraId="4A0D169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71549</w:t>
            </w:r>
          </w:p>
        </w:tc>
        <w:tc>
          <w:tcPr>
            <w:tcW w:w="1248" w:type="dxa"/>
            <w:vAlign w:val="center"/>
          </w:tcPr>
          <w:p w14:paraId="6A9B2B2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AD2</w:t>
            </w:r>
          </w:p>
        </w:tc>
        <w:tc>
          <w:tcPr>
            <w:tcW w:w="1512" w:type="dxa"/>
            <w:vAlign w:val="center"/>
          </w:tcPr>
          <w:p w14:paraId="085B533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2.09G</w:t>
            </w:r>
          </w:p>
        </w:tc>
        <w:tc>
          <w:tcPr>
            <w:tcW w:w="2533" w:type="dxa"/>
            <w:vAlign w:val="center"/>
          </w:tcPr>
          <w:p w14:paraId="0B80241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Meng et al. (2025)</w:t>
            </w:r>
          </w:p>
        </w:tc>
      </w:tr>
      <w:tr w14:paraId="665A2F4C">
        <w:tblPrEx>
          <w:tblBorders>
            <w:top w:val="single" w:color="auto" w:sz="12" w:space="0"/>
            <w:left w:val="none" w:color="auto" w:sz="0" w:space="0"/>
            <w:bottom w:val="single" w:color="auto" w:sz="6" w:space="0"/>
            <w:right w:val="none" w:color="auto" w:sz="0" w:space="0"/>
            <w:insideH w:val="none" w:color="auto" w:sz="0" w:space="0"/>
            <w:insideV w:val="none" w:color="auto" w:sz="0" w:space="0"/>
          </w:tblBorders>
          <w:tblCellMar>
            <w:top w:w="0" w:type="dxa"/>
            <w:left w:w="108" w:type="dxa"/>
            <w:bottom w:w="0" w:type="dxa"/>
            <w:right w:w="108" w:type="dxa"/>
          </w:tblCellMar>
        </w:tblPrEx>
        <w:tc>
          <w:tcPr>
            <w:tcW w:w="1866" w:type="dxa"/>
            <w:vAlign w:val="center"/>
          </w:tcPr>
          <w:p w14:paraId="42C74D2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CEG</w:t>
            </w:r>
          </w:p>
        </w:tc>
        <w:tc>
          <w:tcPr>
            <w:tcW w:w="1363" w:type="dxa"/>
            <w:vAlign w:val="center"/>
          </w:tcPr>
          <w:p w14:paraId="5F1359B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75755</w:t>
            </w:r>
          </w:p>
        </w:tc>
        <w:tc>
          <w:tcPr>
            <w:tcW w:w="1248" w:type="dxa"/>
            <w:vAlign w:val="center"/>
          </w:tcPr>
          <w:p w14:paraId="317B0C7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AD2</w:t>
            </w:r>
          </w:p>
        </w:tc>
        <w:tc>
          <w:tcPr>
            <w:tcW w:w="1512" w:type="dxa"/>
            <w:vAlign w:val="center"/>
          </w:tcPr>
          <w:p w14:paraId="6696F25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2.10G</w:t>
            </w:r>
          </w:p>
        </w:tc>
        <w:tc>
          <w:tcPr>
            <w:tcW w:w="2533" w:type="dxa"/>
            <w:vAlign w:val="center"/>
          </w:tcPr>
          <w:p w14:paraId="1528350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Meng et al. (2025)</w:t>
            </w:r>
          </w:p>
        </w:tc>
      </w:tr>
      <w:tr w14:paraId="1B650864">
        <w:tblPrEx>
          <w:tblBorders>
            <w:top w:val="single" w:color="auto" w:sz="12" w:space="0"/>
            <w:left w:val="none" w:color="auto" w:sz="0" w:space="0"/>
            <w:bottom w:val="single" w:color="auto" w:sz="6" w:space="0"/>
            <w:right w:val="none" w:color="auto" w:sz="0" w:space="0"/>
            <w:insideH w:val="none" w:color="auto" w:sz="0" w:space="0"/>
            <w:insideV w:val="none" w:color="auto" w:sz="0" w:space="0"/>
          </w:tblBorders>
          <w:tblCellMar>
            <w:top w:w="0" w:type="dxa"/>
            <w:left w:w="108" w:type="dxa"/>
            <w:bottom w:w="0" w:type="dxa"/>
            <w:right w:w="108" w:type="dxa"/>
          </w:tblCellMar>
        </w:tblPrEx>
        <w:tc>
          <w:tcPr>
            <w:tcW w:w="1866" w:type="dxa"/>
            <w:vAlign w:val="center"/>
          </w:tcPr>
          <w:p w14:paraId="66B2253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G.tomentosum</w:t>
            </w:r>
          </w:p>
        </w:tc>
        <w:tc>
          <w:tcPr>
            <w:tcW w:w="1363" w:type="dxa"/>
            <w:vAlign w:val="center"/>
          </w:tcPr>
          <w:p w14:paraId="2E0E329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78281</w:t>
            </w:r>
          </w:p>
        </w:tc>
        <w:tc>
          <w:tcPr>
            <w:tcW w:w="1248" w:type="dxa"/>
            <w:vAlign w:val="center"/>
          </w:tcPr>
          <w:p w14:paraId="02C3A5D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AD3</w:t>
            </w:r>
          </w:p>
        </w:tc>
        <w:tc>
          <w:tcPr>
            <w:tcW w:w="1512" w:type="dxa"/>
            <w:vAlign w:val="center"/>
          </w:tcPr>
          <w:p w14:paraId="7EE5D8F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2.06G</w:t>
            </w:r>
          </w:p>
        </w:tc>
        <w:tc>
          <w:tcPr>
            <w:tcW w:w="2533" w:type="dxa"/>
            <w:vAlign w:val="center"/>
          </w:tcPr>
          <w:p w14:paraId="30BFB50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Chen et al. (2020)</w:t>
            </w:r>
          </w:p>
        </w:tc>
      </w:tr>
      <w:tr w14:paraId="71ED4EC7">
        <w:tblPrEx>
          <w:tblBorders>
            <w:top w:val="single" w:color="auto" w:sz="12" w:space="0"/>
            <w:left w:val="none" w:color="auto" w:sz="0" w:space="0"/>
            <w:bottom w:val="single" w:color="auto" w:sz="6" w:space="0"/>
            <w:right w:val="none" w:color="auto" w:sz="0" w:space="0"/>
            <w:insideH w:val="none" w:color="auto" w:sz="0" w:space="0"/>
            <w:insideV w:val="none" w:color="auto" w:sz="0" w:space="0"/>
          </w:tblBorders>
          <w:tblCellMar>
            <w:top w:w="0" w:type="dxa"/>
            <w:left w:w="108" w:type="dxa"/>
            <w:bottom w:w="0" w:type="dxa"/>
            <w:right w:w="108" w:type="dxa"/>
          </w:tblCellMar>
        </w:tblPrEx>
        <w:tc>
          <w:tcPr>
            <w:tcW w:w="1866" w:type="dxa"/>
            <w:vAlign w:val="center"/>
          </w:tcPr>
          <w:p w14:paraId="67F4E06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G.darwinii</w:t>
            </w:r>
          </w:p>
        </w:tc>
        <w:tc>
          <w:tcPr>
            <w:tcW w:w="1363" w:type="dxa"/>
            <w:vAlign w:val="center"/>
          </w:tcPr>
          <w:p w14:paraId="14243CD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78303</w:t>
            </w:r>
          </w:p>
        </w:tc>
        <w:tc>
          <w:tcPr>
            <w:tcW w:w="1248" w:type="dxa"/>
            <w:vAlign w:val="center"/>
          </w:tcPr>
          <w:p w14:paraId="07D73FA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AD5</w:t>
            </w:r>
          </w:p>
        </w:tc>
        <w:tc>
          <w:tcPr>
            <w:tcW w:w="1512" w:type="dxa"/>
            <w:vAlign w:val="center"/>
          </w:tcPr>
          <w:p w14:paraId="1889D52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2.06G</w:t>
            </w:r>
          </w:p>
        </w:tc>
        <w:tc>
          <w:tcPr>
            <w:tcW w:w="2533" w:type="dxa"/>
            <w:vAlign w:val="center"/>
          </w:tcPr>
          <w:p w14:paraId="541C2D44">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Chen et al. (2020)</w:t>
            </w:r>
          </w:p>
        </w:tc>
      </w:tr>
      <w:tr w14:paraId="6BFCFE50">
        <w:tblPrEx>
          <w:tblBorders>
            <w:top w:val="single" w:color="auto" w:sz="12" w:space="0"/>
            <w:left w:val="none" w:color="auto" w:sz="0" w:space="0"/>
            <w:bottom w:val="single" w:color="auto" w:sz="6" w:space="0"/>
            <w:right w:val="none" w:color="auto" w:sz="0" w:space="0"/>
            <w:insideH w:val="none" w:color="auto" w:sz="0" w:space="0"/>
            <w:insideV w:val="none" w:color="auto" w:sz="0" w:space="0"/>
          </w:tblBorders>
          <w:tblCellMar>
            <w:top w:w="0" w:type="dxa"/>
            <w:left w:w="108" w:type="dxa"/>
            <w:bottom w:w="0" w:type="dxa"/>
            <w:right w:w="108" w:type="dxa"/>
          </w:tblCellMar>
        </w:tblPrEx>
        <w:tc>
          <w:tcPr>
            <w:tcW w:w="1866" w:type="dxa"/>
            <w:vAlign w:val="center"/>
          </w:tcPr>
          <w:p w14:paraId="5A30637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G.stephensii</w:t>
            </w:r>
          </w:p>
        </w:tc>
        <w:tc>
          <w:tcPr>
            <w:tcW w:w="1363" w:type="dxa"/>
            <w:vAlign w:val="center"/>
          </w:tcPr>
          <w:p w14:paraId="3DA1EAE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74970</w:t>
            </w:r>
          </w:p>
        </w:tc>
        <w:tc>
          <w:tcPr>
            <w:tcW w:w="1248" w:type="dxa"/>
            <w:vAlign w:val="center"/>
          </w:tcPr>
          <w:p w14:paraId="6D94BAA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AD7</w:t>
            </w:r>
          </w:p>
        </w:tc>
        <w:tc>
          <w:tcPr>
            <w:tcW w:w="1512" w:type="dxa"/>
            <w:vAlign w:val="center"/>
          </w:tcPr>
          <w:p w14:paraId="24790AF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2.15G</w:t>
            </w:r>
          </w:p>
        </w:tc>
        <w:tc>
          <w:tcPr>
            <w:tcW w:w="2533" w:type="dxa"/>
            <w:vAlign w:val="center"/>
          </w:tcPr>
          <w:p w14:paraId="739624B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Peng et al. (2022)</w:t>
            </w:r>
          </w:p>
        </w:tc>
      </w:tr>
    </w:tbl>
    <w:p w14:paraId="5914C5DB">
      <w:pPr>
        <w:rPr>
          <w:rFonts w:ascii="Times New Roman" w:hAnsi="Times New Roman" w:cs="Times New Roman"/>
          <w:sz w:val="24"/>
        </w:rPr>
      </w:pPr>
    </w:p>
    <w:p w14:paraId="6508229C">
      <w:pPr>
        <w:rPr>
          <w:rFonts w:ascii="Times New Roman" w:hAnsi="Times New Roman" w:cs="Times New Roman"/>
          <w:b/>
          <w:bCs/>
          <w:sz w:val="24"/>
        </w:rPr>
      </w:pPr>
      <w:r>
        <w:rPr>
          <w:rFonts w:hint="default" w:ascii="Times New Roman" w:hAnsi="Times New Roman" w:cs="Times New Roman"/>
        </w:rPr>
        <w:t>Note: The table lists the genomic statistics for the 26 accessions used in the phylogenomic and microsynteny analyses. Species: TM-1 (G. hirsutum) and 3-79 (G. barbadense) serve as the primary reference genomes for Upland and Sea Island cotton, respectively. Genomic Group: Classifications include diploid ancestors (A, C, D, E, F, G, K genomes), the outgroup (G. kirkii), and allotetraploids (AD1–AD7). Genome Size: Sizes are indicated in Gigabases (Gb) or Megabases (Mb). Reference: Citations correspond to the original genome assembly publications; full bibliographic details are provided in the References section of the main text. Data were retrieved from CottonGen (</w:t>
      </w:r>
      <w:r>
        <w:rPr>
          <w:rFonts w:hint="default" w:ascii="Times New Roman" w:hAnsi="Times New Roman" w:cs="Times New Roman"/>
        </w:rPr>
        <w:fldChar w:fldCharType="begin"/>
      </w:r>
      <w:r>
        <w:rPr>
          <w:rFonts w:hint="default" w:ascii="Times New Roman" w:hAnsi="Times New Roman" w:cs="Times New Roman"/>
        </w:rPr>
        <w:instrText xml:space="preserve"> HYPERLINK "https://www.cottongen.org" \t "_blank" </w:instrText>
      </w:r>
      <w:r>
        <w:rPr>
          <w:rFonts w:hint="default" w:ascii="Times New Roman" w:hAnsi="Times New Roman" w:cs="Times New Roman"/>
        </w:rPr>
        <w:fldChar w:fldCharType="separate"/>
      </w:r>
      <w:r>
        <w:rPr>
          <w:rFonts w:hint="default" w:ascii="Times New Roman" w:hAnsi="Times New Roman" w:cs="Times New Roman"/>
        </w:rPr>
        <w:t>https://www.cottongen.org</w:t>
      </w:r>
      <w:r>
        <w:rPr>
          <w:rFonts w:hint="default" w:ascii="Times New Roman" w:hAnsi="Times New Roman" w:cs="Times New Roman"/>
        </w:rPr>
        <w:fldChar w:fldCharType="end"/>
      </w:r>
      <w:r>
        <w:rPr>
          <w:rFonts w:hint="default" w:ascii="Times New Roman" w:hAnsi="Times New Roman" w:cs="Times New Roman"/>
        </w:rPr>
        <w:t>) and NCBI.</w:t>
      </w:r>
    </w:p>
    <w:p w14:paraId="52ED5854">
      <w:pPr>
        <w:rPr>
          <w:rFonts w:ascii="Times New Roman" w:hAnsi="Times New Roman" w:cs="Times New Roman"/>
          <w:b/>
          <w:bCs/>
          <w:sz w:val="24"/>
        </w:rPr>
      </w:pPr>
    </w:p>
    <w:p w14:paraId="30779B64">
      <w:pPr>
        <w:rPr>
          <w:rFonts w:ascii="Times New Roman" w:hAnsi="Times New Roman" w:cs="Times New Roman"/>
          <w:b/>
          <w:bCs/>
          <w:sz w:val="24"/>
        </w:rPr>
      </w:pPr>
    </w:p>
    <w:p w14:paraId="01DBBDA9">
      <w:pPr>
        <w:rPr>
          <w:rFonts w:ascii="Times New Roman" w:hAnsi="Times New Roman" w:cs="Times New Roman"/>
        </w:rPr>
      </w:pPr>
      <w:r>
        <w:rPr>
          <w:rFonts w:ascii="Times New Roman" w:hAnsi="Times New Roman" w:cs="Times New Roman"/>
        </w:rPr>
        <w:drawing>
          <wp:inline distT="0" distB="0" distL="114300" distR="114300">
            <wp:extent cx="5279390" cy="2431415"/>
            <wp:effectExtent l="0" t="0" r="0" b="6985"/>
            <wp:docPr id="32" name="图片 4" descr="跨物种多样性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4" descr="跨物种多样性图"/>
                    <pic:cNvPicPr>
                      <a:picLocks noChangeAspect="1"/>
                    </pic:cNvPicPr>
                  </pic:nvPicPr>
                  <pic:blipFill>
                    <a:blip r:embed="rId4"/>
                    <a:srcRect t="8944"/>
                    <a:stretch>
                      <a:fillRect/>
                    </a:stretch>
                  </pic:blipFill>
                  <pic:spPr>
                    <a:xfrm>
                      <a:off x="0" y="0"/>
                      <a:ext cx="5286267" cy="2435034"/>
                    </a:xfrm>
                    <a:prstGeom prst="rect">
                      <a:avLst/>
                    </a:prstGeom>
                  </pic:spPr>
                </pic:pic>
              </a:graphicData>
            </a:graphic>
          </wp:inline>
        </w:drawing>
      </w:r>
    </w:p>
    <w:p w14:paraId="6607BEA1">
      <w:pPr>
        <w:rPr>
          <w:rFonts w:ascii="Times New Roman" w:hAnsi="Times New Roman" w:cs="Times New Roman"/>
          <w:sz w:val="18"/>
          <w:szCs w:val="21"/>
        </w:rPr>
      </w:pPr>
      <w:r>
        <w:rPr>
          <w:rFonts w:ascii="Times New Roman" w:hAnsi="Times New Roman" w:cs="Times New Roman"/>
          <w:b/>
          <w:bCs/>
          <w:sz w:val="18"/>
          <w:szCs w:val="18"/>
        </w:rPr>
        <w:t>Supplementary Fig. 1. Evolutionary conservation of tissue specificity between Upland cotton (</w:t>
      </w:r>
      <w:r>
        <w:rPr>
          <w:rFonts w:ascii="Times New Roman" w:hAnsi="Times New Roman" w:cs="Times New Roman"/>
          <w:b/>
          <w:bCs/>
          <w:i/>
          <w:iCs/>
          <w:sz w:val="18"/>
          <w:szCs w:val="18"/>
        </w:rPr>
        <w:t>G. hirsutu</w:t>
      </w:r>
      <w:r>
        <w:rPr>
          <w:rFonts w:ascii="Times New Roman" w:hAnsi="Times New Roman" w:cs="Times New Roman"/>
          <w:b/>
          <w:bCs/>
          <w:sz w:val="18"/>
          <w:szCs w:val="18"/>
        </w:rPr>
        <w:t>m) and Sea Island cotton (</w:t>
      </w:r>
      <w:r>
        <w:rPr>
          <w:rFonts w:ascii="Times New Roman" w:hAnsi="Times New Roman" w:cs="Times New Roman"/>
          <w:b/>
          <w:bCs/>
          <w:i/>
          <w:iCs/>
          <w:sz w:val="18"/>
          <w:szCs w:val="18"/>
        </w:rPr>
        <w:t>G. barbadense</w:t>
      </w:r>
      <w:r>
        <w:rPr>
          <w:rFonts w:ascii="Times New Roman" w:hAnsi="Times New Roman" w:cs="Times New Roman"/>
          <w:b/>
          <w:bCs/>
          <w:sz w:val="18"/>
          <w:szCs w:val="18"/>
        </w:rPr>
        <w:t>).</w:t>
      </w:r>
      <w:r>
        <w:rPr>
          <w:rFonts w:ascii="Times New Roman" w:hAnsi="Times New Roman" w:cs="Times New Roman"/>
          <w:sz w:val="18"/>
          <w:szCs w:val="18"/>
        </w:rPr>
        <w:t xml:space="preserve"> </w:t>
      </w:r>
      <w:r>
        <w:rPr>
          <w:rFonts w:ascii="Times New Roman" w:hAnsi="Times New Roman" w:cs="Times New Roman"/>
          <w:sz w:val="18"/>
          <w:szCs w:val="21"/>
        </w:rPr>
        <w:t>A scatter plot comparing the Tissue Specificity Index (Tau) of orthologous gene pairs between H7124 (x-axis) and TM-1 (y-axis). The red line represents the linear regression fit. The high Pearson correlation coefficient (</w:t>
      </w:r>
      <w:r>
        <w:rPr>
          <w:rFonts w:ascii="Times New Roman" w:hAnsi="Times New Roman" w:cs="Times New Roman"/>
          <w:i/>
          <w:iCs/>
          <w:sz w:val="18"/>
          <w:szCs w:val="21"/>
        </w:rPr>
        <w:t>R</w:t>
      </w:r>
      <w:r>
        <w:rPr>
          <w:rFonts w:ascii="Times New Roman" w:hAnsi="Times New Roman" w:cs="Times New Roman"/>
          <w:sz w:val="18"/>
          <w:szCs w:val="21"/>
        </w:rPr>
        <w:t xml:space="preserve"> = 0.951) indicates a high degree of conservation in the expression breadth of most genes. Points deviating from the diagonal (outliers) represent genes with divergent tissue specificity between the two species.</w:t>
      </w:r>
    </w:p>
    <w:p w14:paraId="3367E97F">
      <w:pPr>
        <w:widowControl/>
        <w:rPr>
          <w:rFonts w:ascii="Times New Roman" w:hAnsi="Times New Roman" w:cs="Times New Roman"/>
          <w:sz w:val="18"/>
          <w:szCs w:val="21"/>
        </w:rPr>
      </w:pPr>
      <w:r>
        <w:rPr>
          <w:rFonts w:ascii="Times New Roman" w:hAnsi="Times New Roman" w:cs="Times New Roman"/>
          <w:sz w:val="18"/>
          <w:szCs w:val="21"/>
        </w:rPr>
        <w:br w:type="page"/>
      </w:r>
    </w:p>
    <w:p w14:paraId="34757DB0">
      <w:pPr>
        <w:rPr>
          <w:rFonts w:ascii="Times New Roman" w:hAnsi="Times New Roman" w:cs="Times New Roman"/>
          <w:b/>
          <w:bCs/>
          <w:sz w:val="24"/>
        </w:rPr>
      </w:pPr>
    </w:p>
    <w:p w14:paraId="1A638688">
      <w:pPr>
        <w:rPr>
          <w:rFonts w:ascii="Times New Roman" w:hAnsi="Times New Roman" w:cs="Times New Roman"/>
          <w:b/>
          <w:bCs/>
          <w:sz w:val="24"/>
        </w:rPr>
      </w:pPr>
      <w:r>
        <w:rPr>
          <w:rFonts w:ascii="Times New Roman" w:hAnsi="Times New Roman" w:cs="Times New Roman"/>
        </w:rPr>
        <w:drawing>
          <wp:inline distT="0" distB="0" distL="114300" distR="114300">
            <wp:extent cx="5272405" cy="2460625"/>
            <wp:effectExtent l="0" t="0" r="635" b="8255"/>
            <wp:docPr id="33" name="图片 33" descr="H7124up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H7124upset"/>
                    <pic:cNvPicPr>
                      <a:picLocks noChangeAspect="1"/>
                    </pic:cNvPicPr>
                  </pic:nvPicPr>
                  <pic:blipFill>
                    <a:blip r:embed="rId5"/>
                    <a:stretch>
                      <a:fillRect/>
                    </a:stretch>
                  </pic:blipFill>
                  <pic:spPr>
                    <a:xfrm>
                      <a:off x="0" y="0"/>
                      <a:ext cx="5272405" cy="2460625"/>
                    </a:xfrm>
                    <a:prstGeom prst="rect">
                      <a:avLst/>
                    </a:prstGeom>
                  </pic:spPr>
                </pic:pic>
              </a:graphicData>
            </a:graphic>
          </wp:inline>
        </w:drawing>
      </w:r>
    </w:p>
    <w:p w14:paraId="0D035558">
      <w:pPr>
        <w:rPr>
          <w:rFonts w:ascii="Times New Roman" w:hAnsi="Times New Roman" w:cs="Times New Roman"/>
          <w:sz w:val="18"/>
          <w:szCs w:val="18"/>
        </w:rPr>
      </w:pPr>
      <w:r>
        <w:rPr>
          <w:rFonts w:ascii="Times New Roman" w:hAnsi="Times New Roman" w:cs="Times New Roman"/>
          <w:b/>
          <w:bCs/>
          <w:sz w:val="18"/>
          <w:szCs w:val="18"/>
        </w:rPr>
        <w:t>Supplementary Fig. 2. Intersection and distribution landscape of tissue-specific genes in Sea Island cotton (H7124) (UpSet Plot).</w:t>
      </w:r>
      <w:r>
        <w:rPr>
          <w:rFonts w:ascii="Times New Roman" w:hAnsi="Times New Roman" w:cs="Times New Roman"/>
          <w:sz w:val="18"/>
          <w:szCs w:val="18"/>
        </w:rPr>
        <w:t xml:space="preserve"> This plot displays the number and intersections of specifically expressed genes (SPM &gt; 0.5) across tissues in H7124. Vertical bars represent the size of specific intersections (here focusing primarily on single-tissue specific genes). Note that in the late stages of fiber development (especially 20 DPA and 25 DPA Fiber) and ovule maturation (25 DPA Ovule), H7124 still maintains a vast repertoire of specific genes, forming a sharp contrast with Upland cotton.</w:t>
      </w:r>
    </w:p>
    <w:p w14:paraId="53EDC50B">
      <w:pPr>
        <w:rPr>
          <w:rFonts w:ascii="Times New Roman" w:hAnsi="Times New Roman" w:cs="Times New Roman"/>
          <w:sz w:val="18"/>
          <w:szCs w:val="21"/>
        </w:rPr>
      </w:pPr>
      <w:r>
        <w:rPr>
          <w:rFonts w:ascii="Times New Roman" w:hAnsi="Times New Roman" w:cs="Times New Roman"/>
          <w:sz w:val="18"/>
          <w:szCs w:val="21"/>
        </w:rPr>
        <w:drawing>
          <wp:inline distT="0" distB="0" distL="114300" distR="114300">
            <wp:extent cx="5272405" cy="2460625"/>
            <wp:effectExtent l="0" t="0" r="635" b="8255"/>
            <wp:docPr id="13" name="图片 13" descr="TM-1up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TM-1upset"/>
                    <pic:cNvPicPr>
                      <a:picLocks noChangeAspect="1"/>
                    </pic:cNvPicPr>
                  </pic:nvPicPr>
                  <pic:blipFill>
                    <a:blip r:embed="rId6"/>
                    <a:stretch>
                      <a:fillRect/>
                    </a:stretch>
                  </pic:blipFill>
                  <pic:spPr>
                    <a:xfrm>
                      <a:off x="0" y="0"/>
                      <a:ext cx="5272405" cy="2460625"/>
                    </a:xfrm>
                    <a:prstGeom prst="rect">
                      <a:avLst/>
                    </a:prstGeom>
                  </pic:spPr>
                </pic:pic>
              </a:graphicData>
            </a:graphic>
          </wp:inline>
        </w:drawing>
      </w:r>
    </w:p>
    <w:p w14:paraId="093D7C79">
      <w:pPr>
        <w:rPr>
          <w:rFonts w:ascii="Times New Roman" w:hAnsi="Times New Roman" w:cs="Times New Roman"/>
          <w:b/>
          <w:bCs/>
          <w:sz w:val="24"/>
        </w:rPr>
      </w:pPr>
      <w:r>
        <w:rPr>
          <w:rFonts w:ascii="Times New Roman" w:hAnsi="Times New Roman" w:cs="Times New Roman"/>
          <w:b/>
          <w:bCs/>
          <w:sz w:val="18"/>
          <w:szCs w:val="21"/>
        </w:rPr>
        <w:t>Supplementary Fig. 3. Intersection and distribution landscape of tissue-specific genes in Upland cotton (TM-1) (UpSet Plot).</w:t>
      </w:r>
      <w:r>
        <w:rPr>
          <w:rFonts w:ascii="Times New Roman" w:hAnsi="Times New Roman" w:cs="Times New Roman"/>
          <w:sz w:val="18"/>
          <w:szCs w:val="21"/>
        </w:rPr>
        <w:t xml:space="preserve"> This plot shows the distribution of specifically expressed genes across tissues in TM-1. Unlike Sea Island cotton, the most distinct feature of TM-1 is the explosive expansion of root-specific genes, constituting the tallest bar in the plot. Conversely, during the middle to late stages of fiber development (10–25 DPA), the number of specific genes shows a marked contraction.</w:t>
      </w:r>
    </w:p>
    <w:p w14:paraId="6DC480D0">
      <w:pPr>
        <w:widowControl/>
        <w:rPr>
          <w:rFonts w:ascii="Times New Roman" w:hAnsi="Times New Roman" w:cs="Times New Roman"/>
          <w:sz w:val="18"/>
          <w:szCs w:val="21"/>
        </w:rPr>
      </w:pPr>
    </w:p>
    <w:p w14:paraId="58AEB1E3">
      <w:pPr>
        <w:jc w:val="center"/>
        <w:rPr>
          <w:rFonts w:ascii="Times New Roman" w:hAnsi="Times New Roman" w:eastAsia="宋体" w:cs="Times New Roman"/>
          <w:szCs w:val="21"/>
        </w:rPr>
      </w:pPr>
      <w:r>
        <w:rPr>
          <w:rFonts w:ascii="Times New Roman" w:hAnsi="Times New Roman" w:cs="Times New Roman"/>
          <w:szCs w:val="21"/>
        </w:rPr>
        <w:drawing>
          <wp:inline distT="0" distB="0" distL="114300" distR="114300">
            <wp:extent cx="4485640" cy="3573145"/>
            <wp:effectExtent l="0" t="0" r="0" b="8255"/>
            <wp:docPr id="30" name="图片 30" descr="基因家族数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基因家族数量"/>
                    <pic:cNvPicPr>
                      <a:picLocks noChangeAspect="1"/>
                    </pic:cNvPicPr>
                  </pic:nvPicPr>
                  <pic:blipFill>
                    <a:blip r:embed="rId7"/>
                    <a:srcRect t="7027"/>
                    <a:stretch>
                      <a:fillRect/>
                    </a:stretch>
                  </pic:blipFill>
                  <pic:spPr>
                    <a:xfrm>
                      <a:off x="0" y="0"/>
                      <a:ext cx="4492447" cy="3578701"/>
                    </a:xfrm>
                    <a:prstGeom prst="rect">
                      <a:avLst/>
                    </a:prstGeom>
                  </pic:spPr>
                </pic:pic>
              </a:graphicData>
            </a:graphic>
          </wp:inline>
        </w:drawing>
      </w:r>
    </w:p>
    <w:p w14:paraId="40EB2CE1">
      <w:pPr>
        <w:rPr>
          <w:rFonts w:ascii="Times New Roman" w:hAnsi="Times New Roman" w:cs="Times New Roman"/>
          <w:sz w:val="18"/>
          <w:szCs w:val="18"/>
        </w:rPr>
      </w:pPr>
      <w:r>
        <w:rPr>
          <w:rFonts w:ascii="Times New Roman" w:hAnsi="Times New Roman" w:cs="Times New Roman"/>
          <w:b/>
          <w:bCs/>
          <w:sz w:val="18"/>
          <w:szCs w:val="18"/>
        </w:rPr>
        <w:t>Supplementary Fig. 4. Genome-wide composition statistics of key transcription factor families (MYB and AP2) in Upland cotton (TM-1) and Sea Island cotton (H7124).</w:t>
      </w:r>
      <w:r>
        <w:rPr>
          <w:rFonts w:ascii="Times New Roman" w:hAnsi="Times New Roman" w:cs="Times New Roman"/>
          <w:sz w:val="18"/>
          <w:szCs w:val="18"/>
        </w:rPr>
        <w:t xml:space="preserve"> Stacked bar charts display the total number and classification of MYB and AP2 gene family members in both species. Blue bars (Annotated Genes) represent genes originally annotated in the reference genomes, while orange bars (Putative New Genes) represent loci newly identified via the Bitacora pipeline. Despite the vast divergence in agronomic traits between the two species, family sizes at the whole-genome level exhibit high evolutionary conservation (e.g., MYB: 891 vs 902; AP2: 589 vs 590). This stability in macroscopic quantity strongly implies that phenotypic differentiation is driven not by drastic expansion or contraction of gene family sizes (Dosage Effect), but more likely by functional replacement or structural variation of specific key members.</w:t>
      </w:r>
    </w:p>
    <w:p w14:paraId="4774F193"/>
    <w:p w14:paraId="6478AB99"/>
    <w:p w14:paraId="5794AD06"/>
    <w:p w14:paraId="131B30D6"/>
    <w:p w14:paraId="05BDD039"/>
    <w:p w14:paraId="6C390285"/>
    <w:p w14:paraId="2956C7C6">
      <w:pPr>
        <w:rPr>
          <w:rFonts w:ascii="Times New Roman" w:hAnsi="Times New Roman" w:eastAsia="宋体" w:cs="Times New Roman"/>
          <w:szCs w:val="21"/>
        </w:rPr>
      </w:pPr>
    </w:p>
    <w:p w14:paraId="013AB247">
      <w:pPr>
        <w:rPr>
          <w:rFonts w:ascii="Times New Roman" w:hAnsi="Times New Roman" w:cs="Times New Roman"/>
          <w:szCs w:val="21"/>
        </w:rPr>
      </w:pPr>
      <w:r>
        <w:rPr>
          <w:rFonts w:ascii="Times New Roman" w:hAnsi="Times New Roman" w:cs="Times New Roman"/>
          <w:szCs w:val="21"/>
        </w:rPr>
        <w:drawing>
          <wp:inline distT="0" distB="0" distL="114300" distR="114300">
            <wp:extent cx="5273040" cy="4865370"/>
            <wp:effectExtent l="0" t="0" r="0" b="0"/>
            <wp:docPr id="31" name="图片 31" descr="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流程图"/>
                    <pic:cNvPicPr>
                      <a:picLocks noChangeAspect="1"/>
                    </pic:cNvPicPr>
                  </pic:nvPicPr>
                  <pic:blipFill>
                    <a:blip r:embed="rId8"/>
                    <a:srcRect t="3828"/>
                    <a:stretch>
                      <a:fillRect/>
                    </a:stretch>
                  </pic:blipFill>
                  <pic:spPr>
                    <a:xfrm>
                      <a:off x="0" y="0"/>
                      <a:ext cx="5273040" cy="4865370"/>
                    </a:xfrm>
                    <a:prstGeom prst="rect">
                      <a:avLst/>
                    </a:prstGeom>
                  </pic:spPr>
                </pic:pic>
              </a:graphicData>
            </a:graphic>
          </wp:inline>
        </w:drawing>
      </w:r>
    </w:p>
    <w:p w14:paraId="43D5FBE0">
      <w:pPr>
        <w:rPr>
          <w:rFonts w:ascii="Times New Roman" w:hAnsi="Times New Roman" w:cs="Times New Roman"/>
          <w:sz w:val="18"/>
          <w:szCs w:val="18"/>
        </w:rPr>
      </w:pPr>
      <w:r>
        <w:rPr>
          <w:rFonts w:ascii="Times New Roman" w:hAnsi="Times New Roman" w:cs="Times New Roman"/>
          <w:b/>
          <w:bCs/>
          <w:sz w:val="18"/>
          <w:szCs w:val="18"/>
        </w:rPr>
        <w:t xml:space="preserve">Supplementary Fig. 5. "PAV Intersection-Reciprocal Validation" screening workflow for identifying high-confidence species-specific transcription factors. </w:t>
      </w:r>
      <w:r>
        <w:rPr>
          <w:rFonts w:ascii="Times New Roman" w:hAnsi="Times New Roman" w:cs="Times New Roman"/>
          <w:sz w:val="18"/>
          <w:szCs w:val="18"/>
        </w:rPr>
        <w:t>The schematic illustrates the comprehensive strategy for pinning down six key candidate genes at the whole-genome level. (1) Initial Screening: The whole-genome Presence/Absence Variation (PAV) list was intersected with identified MYB and AP2 family members to obtain a candidate list. (2) Reciprocal Validation: Strict BLASTN reciprocal alignment was implemented. Only genes with no homologous fragments detected or exhibiting severe sequence truncation in the counterpart genome were retained to thoroughly eliminate false positives caused by missing annotations. (3) Final Output: Three H7124-specific retained genes (red boxes) and three TM-1-specific retained genes (blue boxes) were successfully identified, constituting the core targets for subsequent structural variation analysis.</w:t>
      </w:r>
    </w:p>
    <w:p w14:paraId="032C8F0E">
      <w:pPr>
        <w:rPr>
          <w:rFonts w:ascii="Times New Roman" w:hAnsi="Times New Roman" w:cs="Times New Roman"/>
          <w:sz w:val="18"/>
          <w:szCs w:val="18"/>
        </w:rPr>
      </w:pPr>
    </w:p>
    <w:p w14:paraId="6731C1DA"/>
    <w:p w14:paraId="02B6E1D3"/>
    <w:p w14:paraId="1469E6E3"/>
    <w:p w14:paraId="49D81298">
      <w:pPr>
        <w:rPr>
          <w:rFonts w:ascii="Times New Roman" w:hAnsi="Times New Roman" w:cs="Times New Roman"/>
          <w:b/>
          <w:bCs/>
          <w:sz w:val="24"/>
        </w:rPr>
      </w:pPr>
    </w:p>
    <w:p w14:paraId="014E3687">
      <w:pPr>
        <w:rPr>
          <w:rFonts w:ascii="Times New Roman" w:hAnsi="Times New Roman" w:cs="Times New Roman"/>
          <w:b/>
          <w:bCs/>
          <w:sz w:val="24"/>
        </w:rPr>
      </w:pPr>
      <w:r>
        <w:rPr>
          <w:rFonts w:ascii="Times New Roman" w:hAnsi="Times New Roman" w:cs="Times New Roman"/>
          <w:b/>
          <w:bCs/>
          <w:sz w:val="24"/>
        </w:rPr>
        <w:drawing>
          <wp:inline distT="0" distB="0" distL="114300" distR="114300">
            <wp:extent cx="1209675" cy="8862060"/>
            <wp:effectExtent l="0" t="0" r="9525" b="7620"/>
            <wp:docPr id="34" name="图片 34" descr="Fig. S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Fig. S1_00"/>
                    <pic:cNvPicPr>
                      <a:picLocks noChangeAspect="1"/>
                    </pic:cNvPicPr>
                  </pic:nvPicPr>
                  <pic:blipFill>
                    <a:blip r:embed="rId9"/>
                    <a:stretch>
                      <a:fillRect/>
                    </a:stretch>
                  </pic:blipFill>
                  <pic:spPr>
                    <a:xfrm>
                      <a:off x="0" y="0"/>
                      <a:ext cx="1209675" cy="8862060"/>
                    </a:xfrm>
                    <a:prstGeom prst="rect">
                      <a:avLst/>
                    </a:prstGeom>
                  </pic:spPr>
                </pic:pic>
              </a:graphicData>
            </a:graphic>
          </wp:inline>
        </w:drawing>
      </w:r>
      <w:r>
        <w:rPr>
          <w:rFonts w:ascii="Times New Roman" w:hAnsi="Times New Roman" w:cs="Times New Roman"/>
          <w:b/>
          <w:bCs/>
          <w:sz w:val="24"/>
        </w:rPr>
        <w:drawing>
          <wp:inline distT="0" distB="0" distL="114300" distR="114300">
            <wp:extent cx="1202055" cy="8841105"/>
            <wp:effectExtent l="0" t="0" r="1905" b="13335"/>
            <wp:docPr id="35" name="图片 35" descr="Fig. S2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Fig. S2_01"/>
                    <pic:cNvPicPr>
                      <a:picLocks noChangeAspect="1"/>
                    </pic:cNvPicPr>
                  </pic:nvPicPr>
                  <pic:blipFill>
                    <a:blip r:embed="rId10"/>
                    <a:stretch>
                      <a:fillRect/>
                    </a:stretch>
                  </pic:blipFill>
                  <pic:spPr>
                    <a:xfrm>
                      <a:off x="0" y="0"/>
                      <a:ext cx="1202055" cy="8841105"/>
                    </a:xfrm>
                    <a:prstGeom prst="rect">
                      <a:avLst/>
                    </a:prstGeom>
                  </pic:spPr>
                </pic:pic>
              </a:graphicData>
            </a:graphic>
          </wp:inline>
        </w:drawing>
      </w:r>
    </w:p>
    <w:p w14:paraId="308E7C56">
      <w:pPr>
        <w:rPr>
          <w:rFonts w:ascii="Times New Roman" w:hAnsi="Times New Roman" w:cs="Times New Roman"/>
          <w:szCs w:val="21"/>
        </w:rPr>
      </w:pPr>
      <w:r>
        <w:rPr>
          <w:rFonts w:ascii="Times New Roman" w:hAnsi="Times New Roman" w:cs="Times New Roman"/>
          <w:b/>
          <w:bCs/>
          <w:szCs w:val="21"/>
        </w:rPr>
        <w:t xml:space="preserve">Supplementary Fig. 6. Whole-genome structural variation map referenced to Sea Island cotton (Ref: H7124 vs Query: TM-1). </w:t>
      </w:r>
      <w:r>
        <w:rPr>
          <w:rFonts w:ascii="Times New Roman" w:hAnsi="Times New Roman" w:cs="Times New Roman"/>
          <w:szCs w:val="21"/>
        </w:rPr>
        <w:t>Whole-genome structural variation landscape of all chromosomes (A01-A13 and D01-D13) identified by SyRI and visualized by plotsr. (a) The upper chromosome backbone represents the reference genome H7124, and the lower represents the query genome TM-1. (b)Gray bands show extensive synteny between the two species. Colored blocks mark structural variations (e.g., inversions, translocations) in TM-1 relative to H7124. (c) This perspective highlights the authenticity of H7124-specific retained genes (Group 2: MYB111, ERF105, ERF017). On the H7124 coordinate axis, these gene loci are structurally intact, whereas the corresponding TM-1 regions display physical deletion (NOTAL) or high sequence divergence (HDR).</w:t>
      </w:r>
    </w:p>
    <w:p w14:paraId="6544B7EC">
      <w:pPr>
        <w:rPr>
          <w:rFonts w:ascii="Times New Roman" w:hAnsi="Times New Roman" w:cs="Times New Roman"/>
          <w:szCs w:val="21"/>
        </w:rPr>
      </w:pPr>
    </w:p>
    <w:p w14:paraId="1850C56C">
      <w:pPr>
        <w:rPr>
          <w:rFonts w:ascii="Times New Roman" w:hAnsi="Times New Roman" w:cs="Times New Roman"/>
          <w:sz w:val="24"/>
        </w:rPr>
      </w:pPr>
      <w:r>
        <w:rPr>
          <w:rFonts w:ascii="Times New Roman" w:hAnsi="Times New Roman" w:cs="Times New Roman"/>
          <w:b/>
          <w:bCs/>
          <w:szCs w:val="21"/>
        </w:rPr>
        <w:t>Supplementary Fig. 7.</w:t>
      </w:r>
      <w:r>
        <w:rPr>
          <w:rFonts w:ascii="Times New Roman" w:hAnsi="Times New Roman" w:cs="Times New Roman"/>
          <w:szCs w:val="21"/>
        </w:rPr>
        <w:t xml:space="preserve"> Whole-genome structural variation map referenced to Upland cotton (Ref: TM-1 vs Query: H7124). Results of the reciprocal SyRI whole-genome structural variation analysis. (a) The lower chromosome backbone represents the reference genome TM-1, and the upper represents the query genome H7124. (b) This perspective anchors the genomic positions of TM-1 specific retained genes (Group 1: MYB93, WIND1, CRF10). In the TM-1 reference coordinates, these genes are located within highly conserved syntenic blocks, while the corresponding H7124 regions are identified as large-fragment deletions or sequence collapse. This reciprocal validation strategy provides chromosomal-level evidence for the loss of these genes.</w:t>
      </w:r>
      <w:r>
        <w:rPr>
          <w:rFonts w:ascii="Times New Roman" w:hAnsi="Times New Roman" w:cs="Times New Roman"/>
          <w:sz w:val="24"/>
        </w:rPr>
        <w:t xml:space="preserve"> </w:t>
      </w:r>
    </w:p>
    <w:p w14:paraId="367B075B">
      <w:pPr>
        <w:rPr>
          <w:rFonts w:ascii="Times New Roman" w:hAnsi="Times New Roman" w:cs="Times New Roman"/>
          <w:sz w:val="24"/>
        </w:rPr>
      </w:pPr>
    </w:p>
    <w:p w14:paraId="37A87722">
      <w:pPr>
        <w:rPr>
          <w:rFonts w:ascii="Times New Roman" w:hAnsi="Times New Roman" w:cs="Times New Roman"/>
          <w:sz w:val="24"/>
        </w:rPr>
      </w:pPr>
    </w:p>
    <w:p w14:paraId="4DDF40F7">
      <w:pPr>
        <w:rPr>
          <w:rFonts w:ascii="Times New Roman" w:hAnsi="Times New Roman" w:cs="Times New Roman"/>
          <w:sz w:val="24"/>
        </w:rPr>
      </w:pPr>
    </w:p>
    <w:p w14:paraId="083460CA">
      <w:pPr>
        <w:rPr>
          <w:rFonts w:ascii="Times New Roman" w:hAnsi="Times New Roman" w:cs="Times New Roman"/>
          <w:sz w:val="24"/>
        </w:rPr>
      </w:pPr>
    </w:p>
    <w:p w14:paraId="36A393A9">
      <w:pPr>
        <w:rPr>
          <w:rFonts w:ascii="Times New Roman" w:hAnsi="Times New Roman" w:cs="Times New Roman"/>
          <w:sz w:val="24"/>
        </w:rPr>
      </w:pPr>
    </w:p>
    <w:p w14:paraId="6BD84E72">
      <w:pPr>
        <w:rPr>
          <w:rFonts w:ascii="Times New Roman" w:hAnsi="Times New Roman" w:cs="Times New Roman"/>
          <w:sz w:val="24"/>
        </w:rPr>
      </w:pPr>
    </w:p>
    <w:p w14:paraId="60A7C608">
      <w:pPr>
        <w:rPr>
          <w:rFonts w:ascii="Times New Roman" w:hAnsi="Times New Roman" w:cs="Times New Roman"/>
          <w:sz w:val="24"/>
        </w:rPr>
      </w:pPr>
    </w:p>
    <w:p w14:paraId="43919386">
      <w:pPr>
        <w:rPr>
          <w:rFonts w:ascii="Times New Roman" w:hAnsi="Times New Roman" w:cs="Times New Roman"/>
          <w:sz w:val="24"/>
        </w:rPr>
      </w:pPr>
    </w:p>
    <w:p w14:paraId="552DD306">
      <w:pPr>
        <w:rPr>
          <w:rFonts w:ascii="Times New Roman" w:hAnsi="Times New Roman" w:cs="Times New Roman"/>
          <w:sz w:val="24"/>
        </w:rPr>
      </w:pPr>
    </w:p>
    <w:p w14:paraId="44A6C752">
      <w:pPr>
        <w:rPr>
          <w:rFonts w:ascii="Times New Roman" w:hAnsi="Times New Roman" w:cs="Times New Roman"/>
          <w:sz w:val="24"/>
        </w:rPr>
      </w:pPr>
    </w:p>
    <w:p w14:paraId="714B8258">
      <w:pPr>
        <w:rPr>
          <w:rFonts w:ascii="Times New Roman" w:hAnsi="Times New Roman" w:cs="Times New Roman"/>
          <w:sz w:val="24"/>
        </w:rPr>
      </w:pPr>
    </w:p>
    <w:p w14:paraId="2AEFDDD4">
      <w:pPr>
        <w:rPr>
          <w:rFonts w:ascii="Times New Roman" w:hAnsi="Times New Roman" w:cs="Times New Roman"/>
          <w:sz w:val="24"/>
        </w:rPr>
      </w:pPr>
    </w:p>
    <w:p w14:paraId="02113399">
      <w:pPr>
        <w:rPr>
          <w:rFonts w:ascii="Times New Roman" w:hAnsi="Times New Roman" w:cs="Times New Roman"/>
          <w:sz w:val="24"/>
        </w:rPr>
      </w:pPr>
    </w:p>
    <w:p w14:paraId="4AB17248">
      <w:pPr>
        <w:rPr>
          <w:rFonts w:ascii="Times New Roman" w:hAnsi="Times New Roman" w:cs="Times New Roman"/>
          <w:sz w:val="24"/>
        </w:rPr>
      </w:pPr>
    </w:p>
    <w:p w14:paraId="19226AB2">
      <w:pPr>
        <w:rPr>
          <w:rFonts w:ascii="Times New Roman" w:hAnsi="Times New Roman" w:cs="Times New Roman"/>
          <w:sz w:val="24"/>
        </w:rPr>
      </w:pPr>
    </w:p>
    <w:p w14:paraId="7894151E">
      <w:pPr>
        <w:rPr>
          <w:rFonts w:ascii="Times New Roman" w:hAnsi="Times New Roman" w:cs="Times New Roman"/>
          <w:sz w:val="24"/>
        </w:rPr>
      </w:pPr>
    </w:p>
    <w:p w14:paraId="6E47535B">
      <w:pPr>
        <w:rPr>
          <w:rFonts w:ascii="Times New Roman" w:hAnsi="Times New Roman" w:cs="Times New Roman"/>
          <w:sz w:val="24"/>
        </w:rPr>
      </w:pPr>
    </w:p>
    <w:p w14:paraId="20185061">
      <w:pPr>
        <w:rPr>
          <w:rFonts w:ascii="Times New Roman" w:hAnsi="Times New Roman" w:cs="Times New Roman"/>
          <w:sz w:val="24"/>
        </w:rPr>
      </w:pPr>
    </w:p>
    <w:p w14:paraId="60E9AB3F">
      <w:pPr>
        <w:rPr>
          <w:rFonts w:ascii="Times New Roman" w:hAnsi="Times New Roman" w:cs="Times New Roman"/>
          <w:sz w:val="24"/>
        </w:rPr>
      </w:pPr>
    </w:p>
    <w:p w14:paraId="63B34081">
      <w:pPr>
        <w:rPr>
          <w:rFonts w:ascii="Times New Roman" w:hAnsi="Times New Roman" w:cs="Times New Roman"/>
          <w:sz w:val="24"/>
        </w:rPr>
      </w:pPr>
    </w:p>
    <w:p w14:paraId="56C42BFF">
      <w:pPr>
        <w:rPr>
          <w:rFonts w:ascii="Times New Roman" w:hAnsi="Times New Roman" w:cs="Times New Roman"/>
          <w:sz w:val="24"/>
        </w:rPr>
      </w:pPr>
    </w:p>
    <w:p w14:paraId="07AFB207">
      <w:pPr>
        <w:rPr>
          <w:rFonts w:ascii="Times New Roman" w:hAnsi="Times New Roman" w:cs="Times New Roman"/>
          <w:sz w:val="24"/>
        </w:rPr>
      </w:pPr>
    </w:p>
    <w:p w14:paraId="3DD88FCB">
      <w:pPr>
        <w:rPr>
          <w:rFonts w:ascii="Times New Roman" w:hAnsi="Times New Roman" w:cs="Times New Roman"/>
          <w:sz w:val="24"/>
        </w:rPr>
      </w:pPr>
    </w:p>
    <w:p w14:paraId="0BA2DE64">
      <w:pPr>
        <w:rPr>
          <w:rFonts w:ascii="Times New Roman" w:hAnsi="Times New Roman" w:cs="Times New Roman"/>
          <w:sz w:val="24"/>
        </w:rPr>
      </w:pPr>
    </w:p>
    <w:p w14:paraId="7A0E4363">
      <w:pPr>
        <w:rPr>
          <w:rFonts w:hint="default" w:ascii="Times New Roman" w:hAnsi="Times New Roman" w:cs="Times New Roman"/>
        </w:rPr>
      </w:pPr>
      <w:bookmarkStart w:id="0" w:name="_GoBack"/>
      <w:bookmarkEnd w:id="0"/>
    </w:p>
    <w:p w14:paraId="6F613F28"/>
    <w:p w14:paraId="005EF51E"/>
    <w:p w14:paraId="2DE26ACC"/>
    <w:p w14:paraId="30A6D789"/>
    <w:p w14:paraId="342D754B"/>
    <w:p w14:paraId="553E78D7"/>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235E"/>
    <w:rsid w:val="000D235E"/>
    <w:rsid w:val="00243569"/>
    <w:rsid w:val="007722E6"/>
    <w:rsid w:val="008E7669"/>
    <w:rsid w:val="00AA4D56"/>
    <w:rsid w:val="00AB4360"/>
    <w:rsid w:val="00F76CF4"/>
    <w:rsid w:val="0B1755F6"/>
    <w:rsid w:val="2B2160A9"/>
    <w:rsid w:val="38402DBD"/>
    <w:rsid w:val="5C20375A"/>
    <w:rsid w:val="7BDD0DF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9"/>
    <w:unhideWhenUsed/>
    <w:qFormat/>
    <w:uiPriority w:val="99"/>
    <w:pPr>
      <w:tabs>
        <w:tab w:val="center" w:pos="4153"/>
        <w:tab w:val="right" w:pos="8306"/>
      </w:tabs>
      <w:snapToGrid w:val="0"/>
      <w:jc w:val="left"/>
    </w:pPr>
    <w:rPr>
      <w:sz w:val="18"/>
      <w:szCs w:val="18"/>
    </w:rPr>
  </w:style>
  <w:style w:type="paragraph" w:styleId="3">
    <w:name w:val="header"/>
    <w:basedOn w:val="1"/>
    <w:link w:val="8"/>
    <w:unhideWhenUsed/>
    <w:qFormat/>
    <w:uiPriority w:val="99"/>
    <w:pPr>
      <w:pBdr>
        <w:bottom w:val="single" w:color="auto" w:sz="6" w:space="1"/>
      </w:pBdr>
      <w:tabs>
        <w:tab w:val="center" w:pos="4153"/>
        <w:tab w:val="right" w:pos="8306"/>
      </w:tabs>
      <w:snapToGrid w:val="0"/>
      <w:jc w:val="center"/>
    </w:pPr>
    <w:rPr>
      <w:sz w:val="18"/>
      <w:szCs w:val="18"/>
    </w:rPr>
  </w:style>
  <w:style w:type="table" w:styleId="5">
    <w:name w:val="Table Grid"/>
    <w:basedOn w:val="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7">
    <w:name w:val="Hyperlink"/>
    <w:basedOn w:val="6"/>
    <w:semiHidden/>
    <w:unhideWhenUsed/>
    <w:uiPriority w:val="99"/>
    <w:rPr>
      <w:color w:val="0000FF"/>
      <w:u w:val="single"/>
    </w:rPr>
  </w:style>
  <w:style w:type="character" w:customStyle="1" w:styleId="8">
    <w:name w:val="页眉 字符"/>
    <w:basedOn w:val="6"/>
    <w:link w:val="3"/>
    <w:qFormat/>
    <w:uiPriority w:val="99"/>
    <w:rPr>
      <w:sz w:val="18"/>
      <w:szCs w:val="18"/>
    </w:rPr>
  </w:style>
  <w:style w:type="character" w:customStyle="1" w:styleId="9">
    <w:name w:val="页脚 字符"/>
    <w:basedOn w:val="6"/>
    <w:link w:val="2"/>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8</Pages>
  <Words>1070</Words>
  <Characters>6201</Characters>
  <Lines>36</Lines>
  <Paragraphs>10</Paragraphs>
  <TotalTime>0</TotalTime>
  <ScaleCrop>false</ScaleCrop>
  <LinksUpToDate>false</LinksUpToDate>
  <CharactersWithSpaces>7113</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2026-01-22T07:27:00Z</dcterms:created>
  <dc:creator>510053210@qq.com</dc:creator>
  <cp:lastModifiedBy>许一帆</cp:lastModifiedBy>
  <dcterms:modified xsi:type="dcterms:W3CDTF">2026-01-26T01:42:58Z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eyJoZGlkIjoiNjgxNjU0ZmMzM2VkZDg1NDY1MzRkNjIzNDVjOTE4YzEiLCJ1c2VySWQiOiIxNTY4OTk0MjU5In0=</vt:lpwstr>
  </property>
  <property fmtid="{D5CDD505-2E9C-101B-9397-08002B2CF9AE}" pid="3" name="KSOProductBuildVer">
    <vt:lpwstr>2052-12.1.0.24657</vt:lpwstr>
  </property>
  <property fmtid="{D5CDD505-2E9C-101B-9397-08002B2CF9AE}" pid="4" name="ICV">
    <vt:lpwstr>171BBA7A73D5493D984FCD0B911461C0_13</vt:lpwstr>
  </property>
</Properties>
</file>