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530A" w14:textId="77777777" w:rsidR="005648C3" w:rsidRPr="005648C3" w:rsidRDefault="005648C3" w:rsidP="005648C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ID"/>
          <w14:ligatures w14:val="none"/>
        </w:rPr>
        <w:t>Supplementary A. Survey items, scales, and source notes</w:t>
      </w:r>
    </w:p>
    <w:p w14:paraId="1D7488CB" w14:textId="4CE733D8" w:rsidR="005648C3" w:rsidRPr="005648C3" w:rsidRDefault="005648C3" w:rsidP="005648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  <w:t>A1. Survey header</w:t>
      </w:r>
    </w:p>
    <w:p w14:paraId="1AB08547" w14:textId="58FD0540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Purpose &amp; instruction</w:t>
      </w:r>
      <w:r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  <w:t>This survey examines auditors’ perceptions and experiences when auditing revenue and accounts receivable in high-growth, technology-intensive clients (e.g., platform-based, fintech, e-commerce, SaaS). There are no right or wrong answers. Please answer based on your most recent relevant engagements.</w:t>
      </w:r>
    </w:p>
    <w:p w14:paraId="00F5AABF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Response format: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  <w:t>All items use a 5-point Likert scale: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  <w:t>1 = Strongly disagree; 2 = Disagree; 3 = Neither agree nor disagree; 4 = Agree; 5 = Strongly agree.</w:t>
      </w:r>
    </w:p>
    <w:p w14:paraId="6BA40C78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Note for analysis: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  <w:t>Construct scores are computed as the mean of items. One scepticism item is reverse-coded (noted below).</w:t>
      </w:r>
    </w:p>
    <w:p w14:paraId="0F7F4272" w14:textId="77777777" w:rsidR="005648C3" w:rsidRPr="005648C3" w:rsidRDefault="006B3ACB" w:rsidP="005648C3">
      <w:pPr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6B3ACB">
        <w:rPr>
          <w:rFonts w:ascii="Times New Roman" w:eastAsia="Times New Roman" w:hAnsi="Times New Roman" w:cs="Times New Roman"/>
          <w:noProof/>
          <w:kern w:val="0"/>
          <w:lang w:val="en-ID"/>
        </w:rPr>
        <w:pict w14:anchorId="78C9E9C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024CF2E" w14:textId="77777777" w:rsidR="005648C3" w:rsidRPr="005648C3" w:rsidRDefault="005648C3" w:rsidP="005648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  <w:t>A2. Professional scepticism (PS) — 8 items</w:t>
      </w:r>
    </w:p>
    <w:p w14:paraId="3F2CE14A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Construct definition (operational):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A questioning mindset and critical evaluation of evidence, including withholding premature conclusions and seeking corroboration.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</w: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Source note: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Adapted from the professional scepticism scale developed by Hurtt (2010), with wording contextualised to revenue/receivables and digital-platform audits.</w:t>
      </w:r>
    </w:p>
    <w:p w14:paraId="37CBBBF6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Items (PS1–PS8):</w:t>
      </w:r>
    </w:p>
    <w:p w14:paraId="1DF68B4F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PS1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 actively look for evidence that could contradict management’s explanations.</w:t>
      </w:r>
    </w:p>
    <w:p w14:paraId="164B1F5B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PS2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 delay forming conclusions until I have evaluated multiple independent sources of evidence.</w:t>
      </w:r>
    </w:p>
    <w:p w14:paraId="5AFEAEBD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PS3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When audit evidence appears consistent, I still consider whether alternative explanations may exist.</w:t>
      </w:r>
    </w:p>
    <w:p w14:paraId="778269D7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PS4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 feel comfortable challenging management when information seems incomplete or overly optimistic.</w:t>
      </w:r>
    </w:p>
    <w:p w14:paraId="61234D7F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PS5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 routinely ask follow-up questions when answers rely on assumptions rather than verifiable records.</w:t>
      </w:r>
    </w:p>
    <w:p w14:paraId="2260ECA9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PS6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 seek corroboration from system logs, third-party records, or external confirmations where possible.</w:t>
      </w:r>
    </w:p>
    <w:p w14:paraId="7B63DBF8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PS7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 remain alert to the possibility that “growth narratives” can mask reporting irregularities.</w:t>
      </w:r>
    </w:p>
    <w:p w14:paraId="40FAAB5C" w14:textId="77777777" w:rsidR="005648C3" w:rsidRPr="005648C3" w:rsidRDefault="005648C3" w:rsidP="005648C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PS8 (reverse-coded)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If management provides a plausible explanation, I typically accept it without needing additional corroboration. </w:t>
      </w: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(R)</w:t>
      </w:r>
    </w:p>
    <w:p w14:paraId="6B8CC269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lastRenderedPageBreak/>
        <w:t>Scoring: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PS = mean(PS1–PS7, reverse(PS8)).</w:t>
      </w:r>
    </w:p>
    <w:p w14:paraId="120B15C2" w14:textId="77777777" w:rsidR="005648C3" w:rsidRPr="005648C3" w:rsidRDefault="006B3ACB" w:rsidP="005648C3">
      <w:pPr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6B3ACB">
        <w:rPr>
          <w:rFonts w:ascii="Times New Roman" w:eastAsia="Times New Roman" w:hAnsi="Times New Roman" w:cs="Times New Roman"/>
          <w:noProof/>
          <w:kern w:val="0"/>
          <w:lang w:val="en-ID"/>
        </w:rPr>
        <w:pict w14:anchorId="37D33C5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E4E5E43" w14:textId="77777777" w:rsidR="005648C3" w:rsidRPr="005648C3" w:rsidRDefault="005648C3" w:rsidP="005648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  <w:t>A3. Client pressure (CP) — 5 items</w:t>
      </w:r>
    </w:p>
    <w:p w14:paraId="2F82FF51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Construct definition: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Perceived engagement pressures (time, budget/fee, relationship concerns) that can constrain audit depth.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</w: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Source note: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Adapted from prior audit research on time/budget pressure and commercial pressure (e.g., Pierce &amp; Sweeney, 2004), with wording tailored to revenue/receivables and startup settings.</w:t>
      </w:r>
    </w:p>
    <w:p w14:paraId="4F898B22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Items (CP1–CP5):</w:t>
      </w:r>
    </w:p>
    <w:p w14:paraId="6AAB86D8" w14:textId="77777777" w:rsidR="005648C3" w:rsidRPr="005648C3" w:rsidRDefault="005648C3" w:rsidP="005648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CP1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Tight deadlines in my engagements often limit how deeply we can probe revenue/receivables anomalies.</w:t>
      </w:r>
    </w:p>
    <w:p w14:paraId="5160F119" w14:textId="77777777" w:rsidR="005648C3" w:rsidRPr="005648C3" w:rsidRDefault="005648C3" w:rsidP="005648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CP2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Budget/fee constraints reduce the feasibility of extended testing or additional confirmations.</w:t>
      </w:r>
    </w:p>
    <w:p w14:paraId="0F0E23C0" w14:textId="77777777" w:rsidR="005648C3" w:rsidRPr="005648C3" w:rsidRDefault="005648C3" w:rsidP="005648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CP3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Concerns about maintaining the client relationship can discourage aggressive follow-up on red flags.</w:t>
      </w:r>
    </w:p>
    <w:p w14:paraId="2C7E4428" w14:textId="77777777" w:rsidR="005648C3" w:rsidRPr="005648C3" w:rsidRDefault="005648C3" w:rsidP="005648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CP4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Engagement pressure sometimes leads us to prioritise procedures that are easiest to document over those most diagnostic for fraud.</w:t>
      </w:r>
    </w:p>
    <w:p w14:paraId="03099058" w14:textId="77777777" w:rsidR="005648C3" w:rsidRPr="005648C3" w:rsidRDefault="005648C3" w:rsidP="005648C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CP5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 have experienced implicit or explicit pressure to accept client-reported figures when obtaining independent evidence is costly or slow.</w:t>
      </w:r>
    </w:p>
    <w:p w14:paraId="20F34355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Scoring: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CP = mean(CP1–CP5).</w:t>
      </w:r>
    </w:p>
    <w:p w14:paraId="2F6AD2AC" w14:textId="77777777" w:rsidR="005648C3" w:rsidRPr="005648C3" w:rsidRDefault="006B3ACB" w:rsidP="005648C3">
      <w:pPr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6B3ACB">
        <w:rPr>
          <w:rFonts w:ascii="Times New Roman" w:eastAsia="Times New Roman" w:hAnsi="Times New Roman" w:cs="Times New Roman"/>
          <w:noProof/>
          <w:kern w:val="0"/>
          <w:lang w:val="en-ID"/>
        </w:rPr>
        <w:pict w14:anchorId="4A37FD1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20E335" w14:textId="77777777" w:rsidR="005648C3" w:rsidRPr="005648C3" w:rsidRDefault="005648C3" w:rsidP="005648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  <w:t>A4. Reliance on management representations (RMR) — 4 items</w:t>
      </w:r>
    </w:p>
    <w:p w14:paraId="78B9301B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Construct definition: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Tendency to substitute management-provided explanations/representations and internal documents for more independent evidence when challenges arise.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</w: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Source note: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Items are developed and contextualised from the evidential logic in ISA 240 (fraud) and ISA 580 (written representations), reflecting the lower reliability of representations relative to independent evidence in fraud-prone areas.</w:t>
      </w:r>
    </w:p>
    <w:p w14:paraId="7377836D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Items (RMR1–RMR4):</w:t>
      </w:r>
    </w:p>
    <w:p w14:paraId="4AF9E41C" w14:textId="77777777" w:rsidR="005648C3" w:rsidRPr="005648C3" w:rsidRDefault="005648C3" w:rsidP="005648C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RMR1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When third-party confirmations or external data are difficult to obtain, we tend to rely more on management explanations and internal documentation.</w:t>
      </w:r>
    </w:p>
    <w:p w14:paraId="6FB0D538" w14:textId="77777777" w:rsidR="005648C3" w:rsidRPr="005648C3" w:rsidRDefault="005648C3" w:rsidP="005648C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RMR2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In practice, management representations are sometimes used to close unresolved issues in revenue/receivables testing.</w:t>
      </w:r>
    </w:p>
    <w:p w14:paraId="6DF0B762" w14:textId="77777777" w:rsidR="005648C3" w:rsidRPr="005648C3" w:rsidRDefault="005648C3" w:rsidP="005648C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RMR3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Limited access to platform/system data increases our dependence on information provided by management.</w:t>
      </w:r>
    </w:p>
    <w:p w14:paraId="46B81620" w14:textId="77777777" w:rsidR="005648C3" w:rsidRPr="005648C3" w:rsidRDefault="005648C3" w:rsidP="005648C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lastRenderedPageBreak/>
        <w:t>RMR4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Compared to independent sources, we often accept management-provided evidence as sufficient due to engagement constraints.</w:t>
      </w:r>
    </w:p>
    <w:p w14:paraId="1F359647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Scoring: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RMR = mean(RMR1–RMR4).</w:t>
      </w:r>
    </w:p>
    <w:p w14:paraId="65D2F4A9" w14:textId="77777777" w:rsidR="005648C3" w:rsidRPr="005648C3" w:rsidRDefault="006B3ACB" w:rsidP="005648C3">
      <w:pPr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6B3ACB">
        <w:rPr>
          <w:rFonts w:ascii="Times New Roman" w:eastAsia="Times New Roman" w:hAnsi="Times New Roman" w:cs="Times New Roman"/>
          <w:noProof/>
          <w:kern w:val="0"/>
          <w:lang w:val="en-ID"/>
        </w:rPr>
        <w:pict w14:anchorId="02D5B2B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00F38C" w14:textId="77777777" w:rsidR="005648C3" w:rsidRPr="005648C3" w:rsidRDefault="005648C3" w:rsidP="005648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  <w:t>A5. Perceived detection efficacy (PDE) — 5 items (Dependent variable)</w:t>
      </w:r>
    </w:p>
    <w:p w14:paraId="648C413C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Construct definition: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Auditors’ perceived capability of their procedures to surface material misstatements/fraud and distinguish meaningful red flags from noise in complex, high-growth contexts.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br/>
      </w: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Source note: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Items are constructed to align with ISA 240’s focus on fraud-risk responses and revenue-related assertions, informed by revenue/receivables fraud literature (e.g., Brazel et al., 2009) and the study’s context (digital traces, third-party data, platform complexity).</w:t>
      </w:r>
    </w:p>
    <w:p w14:paraId="73AF92E7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Items (PDE1–PDE5):</w:t>
      </w:r>
    </w:p>
    <w:p w14:paraId="31A3AEA4" w14:textId="77777777" w:rsidR="005648C3" w:rsidRPr="005648C3" w:rsidRDefault="005648C3" w:rsidP="005648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PDE1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Our audit procedures are effective at detecting materially misstated or fraudulent revenue in high-growth/digital-platform clients.</w:t>
      </w:r>
    </w:p>
    <w:p w14:paraId="6F6F93D4" w14:textId="77777777" w:rsidR="005648C3" w:rsidRPr="005648C3" w:rsidRDefault="005648C3" w:rsidP="005648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PDE2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We can reliably identify inconsistencies between financial records and operational/digital indicators (e.g., platform usage, system logs, gateway data).</w:t>
      </w:r>
    </w:p>
    <w:p w14:paraId="26872C72" w14:textId="77777777" w:rsidR="005648C3" w:rsidRPr="005648C3" w:rsidRDefault="005648C3" w:rsidP="005648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PDE3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We are able to distinguish genuine red flags from “noise” in high-volume transaction environments.</w:t>
      </w:r>
    </w:p>
    <w:p w14:paraId="2AC0D1C7" w14:textId="77777777" w:rsidR="005648C3" w:rsidRPr="005648C3" w:rsidRDefault="005648C3" w:rsidP="005648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PDE4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Our procedures are effective at detecting manipulation of supporting documents or evidence related to revenue/receivables.</w:t>
      </w:r>
    </w:p>
    <w:p w14:paraId="423C9A42" w14:textId="77777777" w:rsidR="005648C3" w:rsidRPr="005648C3" w:rsidRDefault="005648C3" w:rsidP="005648C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PDE5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Overall, I am confident that our evidence approach would uncover material irregularities in revenue/receivables if they exist.</w:t>
      </w:r>
    </w:p>
    <w:p w14:paraId="29F69D16" w14:textId="77777777" w:rsidR="005648C3" w:rsidRPr="005648C3" w:rsidRDefault="005648C3" w:rsidP="005648C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Scoring: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PDE = mean(PDE1–PDE5).</w:t>
      </w:r>
    </w:p>
    <w:p w14:paraId="74F516ED" w14:textId="77777777" w:rsidR="005648C3" w:rsidRPr="005648C3" w:rsidRDefault="006B3ACB" w:rsidP="005648C3">
      <w:pPr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6B3ACB">
        <w:rPr>
          <w:rFonts w:ascii="Times New Roman" w:eastAsia="Times New Roman" w:hAnsi="Times New Roman" w:cs="Times New Roman"/>
          <w:noProof/>
          <w:kern w:val="0"/>
          <w:lang w:val="en-ID"/>
        </w:rPr>
        <w:pict w14:anchorId="2AC6FD7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7D7C4D" w14:textId="5DC2E03B" w:rsidR="005648C3" w:rsidRPr="005648C3" w:rsidRDefault="005648C3" w:rsidP="005648C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D"/>
          <w14:ligatures w14:val="none"/>
        </w:rPr>
        <w:t>A6. Brief demographics</w:t>
      </w:r>
    </w:p>
    <w:p w14:paraId="25077D06" w14:textId="77777777" w:rsidR="005648C3" w:rsidRPr="005648C3" w:rsidRDefault="005648C3" w:rsidP="005648C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EXP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Years of external audit experience: ___ years</w:t>
      </w:r>
    </w:p>
    <w:p w14:paraId="2B5428A5" w14:textId="77777777" w:rsidR="005648C3" w:rsidRPr="005648C3" w:rsidRDefault="005648C3" w:rsidP="005648C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LEVEL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Current rank: (1) Staff/Junior; (2) Senior; (3) Supervisor/Manager; (4) Partner/Engagement Partner</w:t>
      </w:r>
    </w:p>
    <w:p w14:paraId="56A81722" w14:textId="77777777" w:rsidR="005648C3" w:rsidRPr="005648C3" w:rsidRDefault="005648C3" w:rsidP="005648C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BIG4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Firm type: (1) Big Four; (0) Non-Big Four</w:t>
      </w:r>
    </w:p>
    <w:p w14:paraId="098C615A" w14:textId="77777777" w:rsidR="005648C3" w:rsidRPr="005648C3" w:rsidRDefault="005648C3" w:rsidP="005648C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Industry exposure check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In the past three years, have you audited at least one high-growth/technology-related client? (Yes/No)</w:t>
      </w:r>
    </w:p>
    <w:p w14:paraId="697F5FAF" w14:textId="77777777" w:rsidR="005648C3" w:rsidRPr="005648C3" w:rsidRDefault="005648C3" w:rsidP="005648C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ID"/>
          <w14:ligatures w14:val="none"/>
        </w:rPr>
      </w:pPr>
      <w:r w:rsidRPr="005648C3">
        <w:rPr>
          <w:rFonts w:ascii="Times New Roman" w:eastAsia="Times New Roman" w:hAnsi="Times New Roman" w:cs="Times New Roman"/>
          <w:b/>
          <w:bCs/>
          <w:kern w:val="0"/>
          <w:lang w:val="en-ID"/>
          <w14:ligatures w14:val="none"/>
        </w:rPr>
        <w:t>Cycle involvement check</w:t>
      </w:r>
      <w:r w:rsidRPr="005648C3">
        <w:rPr>
          <w:rFonts w:ascii="Times New Roman" w:eastAsia="Times New Roman" w:hAnsi="Times New Roman" w:cs="Times New Roman"/>
          <w:kern w:val="0"/>
          <w:lang w:val="en-ID"/>
          <w14:ligatures w14:val="none"/>
        </w:rPr>
        <w:t xml:space="preserve"> Were you directly involved in revenue and/or receivables testing/confirmations? (Yes/No)</w:t>
      </w:r>
    </w:p>
    <w:p w14:paraId="3E577A67" w14:textId="77777777" w:rsidR="007F1CC0" w:rsidRDefault="007F1CC0"/>
    <w:sectPr w:rsidR="007F1C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5EB"/>
    <w:multiLevelType w:val="multilevel"/>
    <w:tmpl w:val="652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94E92"/>
    <w:multiLevelType w:val="multilevel"/>
    <w:tmpl w:val="D4E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71F8D"/>
    <w:multiLevelType w:val="multilevel"/>
    <w:tmpl w:val="15E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B7A64"/>
    <w:multiLevelType w:val="multilevel"/>
    <w:tmpl w:val="423C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A2EA0"/>
    <w:multiLevelType w:val="multilevel"/>
    <w:tmpl w:val="BC4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405570">
    <w:abstractNumId w:val="1"/>
  </w:num>
  <w:num w:numId="2" w16cid:durableId="634531050">
    <w:abstractNumId w:val="0"/>
  </w:num>
  <w:num w:numId="3" w16cid:durableId="46951963">
    <w:abstractNumId w:val="2"/>
  </w:num>
  <w:num w:numId="4" w16cid:durableId="694497187">
    <w:abstractNumId w:val="4"/>
  </w:num>
  <w:num w:numId="5" w16cid:durableId="69877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3"/>
    <w:rsid w:val="00071101"/>
    <w:rsid w:val="005648C3"/>
    <w:rsid w:val="006B3ACB"/>
    <w:rsid w:val="007F1CC0"/>
    <w:rsid w:val="008B7C41"/>
    <w:rsid w:val="00A624E7"/>
    <w:rsid w:val="00BB08CE"/>
    <w:rsid w:val="00BC5835"/>
    <w:rsid w:val="00E16E20"/>
    <w:rsid w:val="00E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87AF"/>
  <w15:chartTrackingRefBased/>
  <w15:docId w15:val="{AD5D8CB9-AFA3-7648-95A0-4D2A454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8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648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8C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C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C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C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C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C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C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4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8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8C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64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8C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64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C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648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48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character" w:styleId="Strong">
    <w:name w:val="Strong"/>
    <w:basedOn w:val="DefaultParagraphFont"/>
    <w:uiPriority w:val="22"/>
    <w:qFormat/>
    <w:rsid w:val="005648C3"/>
    <w:rPr>
      <w:b/>
      <w:bCs/>
    </w:rPr>
  </w:style>
  <w:style w:type="character" w:styleId="Emphasis">
    <w:name w:val="Emphasis"/>
    <w:basedOn w:val="DefaultParagraphFont"/>
    <w:uiPriority w:val="20"/>
    <w:qFormat/>
    <w:rsid w:val="00564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4941</Characters>
  <Application>Microsoft Office Word</Application>
  <DocSecurity>0</DocSecurity>
  <Lines>102</Lines>
  <Paragraphs>55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Dwihita2025</dc:creator>
  <cp:keywords/>
  <dc:description/>
  <cp:lastModifiedBy>Dwihita2025</cp:lastModifiedBy>
  <cp:revision>1</cp:revision>
  <dcterms:created xsi:type="dcterms:W3CDTF">2026-02-01T01:06:00Z</dcterms:created>
  <dcterms:modified xsi:type="dcterms:W3CDTF">2026-02-01T01:09:00Z</dcterms:modified>
</cp:coreProperties>
</file>