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BE17" w14:textId="77777777" w:rsidR="00B74A3C" w:rsidRDefault="00000000">
      <w:pPr>
        <w:jc w:val="center"/>
      </w:pPr>
      <w:r>
        <w:rPr>
          <w:b/>
          <w:sz w:val="28"/>
        </w:rPr>
        <w:t>Supplementary C2. Quantitative Codebook (De-identified dataset)</w:t>
      </w:r>
    </w:p>
    <w:p w14:paraId="69D63C03" w14:textId="77777777" w:rsidR="00B74A3C" w:rsidRDefault="00B74A3C"/>
    <w:p w14:paraId="5AC9401D" w14:textId="77777777" w:rsidR="00B74A3C" w:rsidRDefault="00000000">
      <w:r>
        <w:rPr>
          <w:b/>
        </w:rPr>
        <w:t xml:space="preserve">Purpose. </w:t>
      </w:r>
      <w:r>
        <w:t xml:space="preserve">This codebook describes the variables, coding schemes, and derived measures included in </w:t>
      </w:r>
      <w:r>
        <w:rPr>
          <w:i/>
        </w:rPr>
        <w:t>Supplementary C1 (Quantitative_dataset_deidentified.xlsx)</w:t>
      </w:r>
      <w:r>
        <w:t>. The dataset is provided in de-identified form for editorial and peer-review evaluation.</w:t>
      </w:r>
    </w:p>
    <w:p w14:paraId="75AD907E" w14:textId="77777777" w:rsidR="00B74A3C" w:rsidRDefault="00000000">
      <w:r>
        <w:rPr>
          <w:b/>
        </w:rPr>
        <w:t xml:space="preserve">Unit of analysis. </w:t>
      </w:r>
      <w:r>
        <w:t>Individual external auditors (N = 100).</w:t>
      </w:r>
    </w:p>
    <w:p w14:paraId="1E8D2A8F" w14:textId="77777777" w:rsidR="00B74A3C" w:rsidRDefault="00000000">
      <w:r>
        <w:rPr>
          <w:b/>
        </w:rPr>
        <w:t xml:space="preserve">Scale format. </w:t>
      </w:r>
      <w:r>
        <w:t>All psychometric items are measured on a 5-point Likert-type scale (1 = Strongly disagree; 5 = Strongly agree).</w:t>
      </w:r>
    </w:p>
    <w:p w14:paraId="28A6824C" w14:textId="77777777" w:rsidR="00B74A3C" w:rsidRDefault="00000000">
      <w:r>
        <w:rPr>
          <w:b/>
        </w:rPr>
        <w:t xml:space="preserve">Constructs. </w:t>
      </w:r>
      <w:r>
        <w:t>Professional scepticism (PS); Client pressure (CP); Reliance on management representations (RMR); Perceived detection efficacy (PDE).</w:t>
      </w:r>
    </w:p>
    <w:p w14:paraId="16E168FD" w14:textId="77777777" w:rsidR="00B74A3C" w:rsidRDefault="00000000">
      <w:r>
        <w:rPr>
          <w:b/>
        </w:rPr>
        <w:t xml:space="preserve">Controls. </w:t>
      </w:r>
      <w:r>
        <w:t>BIG4; LEVEL; EXP_years.</w:t>
      </w:r>
    </w:p>
    <w:p w14:paraId="60858168" w14:textId="77777777" w:rsidR="00B74A3C" w:rsidRDefault="00B74A3C"/>
    <w:p w14:paraId="7CC26844" w14:textId="77777777" w:rsidR="00B74A3C" w:rsidRDefault="00000000">
      <w:r>
        <w:rPr>
          <w:b/>
        </w:rPr>
        <w:t xml:space="preserve">Confidentiality and de-identification. </w:t>
      </w:r>
      <w:r>
        <w:t>No direct identifiers (e.g., names, emails, employer names, client names) are included. Respondents are labelled with a non-identifying ID (R001–R100).</w:t>
      </w:r>
    </w:p>
    <w:p w14:paraId="4926F1B6" w14:textId="77777777" w:rsidR="00B74A3C" w:rsidRDefault="00B74A3C"/>
    <w:p w14:paraId="7613BA71" w14:textId="77777777" w:rsidR="00B74A3C" w:rsidRDefault="00000000">
      <w:r>
        <w:rPr>
          <w:b/>
        </w:rPr>
        <w:t>Table C2-1. Variable definitions and coding</w:t>
      </w:r>
    </w:p>
    <w:tbl>
      <w:tblPr>
        <w:tblW w:w="0" w:type="auto"/>
        <w:tblLook w:val="04A0" w:firstRow="1" w:lastRow="0" w:firstColumn="1" w:lastColumn="0" w:noHBand="0" w:noVBand="1"/>
      </w:tblPr>
      <w:tblGrid>
        <w:gridCol w:w="1442"/>
        <w:gridCol w:w="913"/>
        <w:gridCol w:w="1685"/>
        <w:gridCol w:w="1541"/>
        <w:gridCol w:w="2279"/>
        <w:gridCol w:w="996"/>
      </w:tblGrid>
      <w:tr w:rsidR="00B74A3C" w14:paraId="352C3C0C" w14:textId="77777777" w:rsidTr="00AB1876">
        <w:tc>
          <w:tcPr>
            <w:tcW w:w="1440" w:type="dxa"/>
            <w:tcBorders>
              <w:top w:val="single" w:sz="4" w:space="0" w:color="auto"/>
              <w:bottom w:val="single" w:sz="4" w:space="0" w:color="auto"/>
            </w:tcBorders>
          </w:tcPr>
          <w:p w14:paraId="6DE46D65" w14:textId="77777777" w:rsidR="00B74A3C" w:rsidRDefault="00000000">
            <w:r>
              <w:rPr>
                <w:b/>
              </w:rPr>
              <w:t>Variable</w:t>
            </w:r>
          </w:p>
        </w:tc>
        <w:tc>
          <w:tcPr>
            <w:tcW w:w="1440" w:type="dxa"/>
            <w:tcBorders>
              <w:top w:val="single" w:sz="4" w:space="0" w:color="auto"/>
              <w:bottom w:val="single" w:sz="4" w:space="0" w:color="auto"/>
            </w:tcBorders>
          </w:tcPr>
          <w:p w14:paraId="6F45AEB4" w14:textId="77777777" w:rsidR="00B74A3C" w:rsidRDefault="00000000">
            <w:r>
              <w:rPr>
                <w:b/>
              </w:rPr>
              <w:t>Type</w:t>
            </w:r>
          </w:p>
        </w:tc>
        <w:tc>
          <w:tcPr>
            <w:tcW w:w="1440" w:type="dxa"/>
            <w:tcBorders>
              <w:top w:val="single" w:sz="4" w:space="0" w:color="auto"/>
              <w:bottom w:val="single" w:sz="4" w:space="0" w:color="auto"/>
            </w:tcBorders>
          </w:tcPr>
          <w:p w14:paraId="5F4C28B3" w14:textId="77777777" w:rsidR="00B74A3C" w:rsidRDefault="00000000">
            <w:r>
              <w:rPr>
                <w:b/>
              </w:rPr>
              <w:t>Values / Coding</w:t>
            </w:r>
          </w:p>
        </w:tc>
        <w:tc>
          <w:tcPr>
            <w:tcW w:w="1440" w:type="dxa"/>
            <w:tcBorders>
              <w:top w:val="single" w:sz="4" w:space="0" w:color="auto"/>
              <w:bottom w:val="single" w:sz="4" w:space="0" w:color="auto"/>
            </w:tcBorders>
          </w:tcPr>
          <w:p w14:paraId="07C237DE" w14:textId="77777777" w:rsidR="00B74A3C" w:rsidRDefault="00000000">
            <w:r>
              <w:rPr>
                <w:b/>
              </w:rPr>
              <w:t>Description</w:t>
            </w:r>
          </w:p>
        </w:tc>
        <w:tc>
          <w:tcPr>
            <w:tcW w:w="1440" w:type="dxa"/>
            <w:tcBorders>
              <w:top w:val="single" w:sz="4" w:space="0" w:color="auto"/>
              <w:bottom w:val="single" w:sz="4" w:space="0" w:color="auto"/>
            </w:tcBorders>
          </w:tcPr>
          <w:p w14:paraId="40E5F526" w14:textId="77777777" w:rsidR="00B74A3C" w:rsidRDefault="00000000">
            <w:r>
              <w:rPr>
                <w:b/>
              </w:rPr>
              <w:t>Source / Notes</w:t>
            </w:r>
          </w:p>
        </w:tc>
        <w:tc>
          <w:tcPr>
            <w:tcW w:w="1440" w:type="dxa"/>
            <w:tcBorders>
              <w:top w:val="single" w:sz="4" w:space="0" w:color="auto"/>
              <w:bottom w:val="single" w:sz="4" w:space="0" w:color="auto"/>
            </w:tcBorders>
          </w:tcPr>
          <w:p w14:paraId="50FA80CE" w14:textId="77777777" w:rsidR="00B74A3C" w:rsidRDefault="00000000">
            <w:r>
              <w:rPr>
                <w:b/>
              </w:rPr>
              <w:t>Derived?</w:t>
            </w:r>
          </w:p>
        </w:tc>
      </w:tr>
      <w:tr w:rsidR="00B74A3C" w14:paraId="26914AE0" w14:textId="77777777" w:rsidTr="00AB1876">
        <w:tc>
          <w:tcPr>
            <w:tcW w:w="1440" w:type="dxa"/>
            <w:tcBorders>
              <w:top w:val="single" w:sz="4" w:space="0" w:color="auto"/>
            </w:tcBorders>
          </w:tcPr>
          <w:p w14:paraId="7D0870B2" w14:textId="77777777" w:rsidR="00B74A3C" w:rsidRDefault="00000000">
            <w:r>
              <w:t>Respondent_ID</w:t>
            </w:r>
          </w:p>
        </w:tc>
        <w:tc>
          <w:tcPr>
            <w:tcW w:w="1440" w:type="dxa"/>
            <w:tcBorders>
              <w:top w:val="single" w:sz="4" w:space="0" w:color="auto"/>
            </w:tcBorders>
          </w:tcPr>
          <w:p w14:paraId="47D862C9" w14:textId="77777777" w:rsidR="00B74A3C" w:rsidRDefault="00000000">
            <w:r>
              <w:t>String</w:t>
            </w:r>
          </w:p>
        </w:tc>
        <w:tc>
          <w:tcPr>
            <w:tcW w:w="1440" w:type="dxa"/>
            <w:tcBorders>
              <w:top w:val="single" w:sz="4" w:space="0" w:color="auto"/>
            </w:tcBorders>
          </w:tcPr>
          <w:p w14:paraId="53529841" w14:textId="77777777" w:rsidR="00B74A3C" w:rsidRDefault="00000000">
            <w:r>
              <w:t>R001–R100</w:t>
            </w:r>
          </w:p>
        </w:tc>
        <w:tc>
          <w:tcPr>
            <w:tcW w:w="1440" w:type="dxa"/>
            <w:tcBorders>
              <w:top w:val="single" w:sz="4" w:space="0" w:color="auto"/>
            </w:tcBorders>
          </w:tcPr>
          <w:p w14:paraId="22A7CA49" w14:textId="77777777" w:rsidR="00B74A3C" w:rsidRDefault="00000000">
            <w:r>
              <w:t>De-identified respondent identifier.</w:t>
            </w:r>
          </w:p>
        </w:tc>
        <w:tc>
          <w:tcPr>
            <w:tcW w:w="1440" w:type="dxa"/>
            <w:tcBorders>
              <w:top w:val="single" w:sz="4" w:space="0" w:color="auto"/>
            </w:tcBorders>
          </w:tcPr>
          <w:p w14:paraId="1A080FBD" w14:textId="77777777" w:rsidR="00B74A3C" w:rsidRDefault="00000000">
            <w:r>
              <w:t>No personal identifiers included.</w:t>
            </w:r>
          </w:p>
        </w:tc>
        <w:tc>
          <w:tcPr>
            <w:tcW w:w="1440" w:type="dxa"/>
            <w:tcBorders>
              <w:top w:val="single" w:sz="4" w:space="0" w:color="auto"/>
            </w:tcBorders>
          </w:tcPr>
          <w:p w14:paraId="4250887F" w14:textId="77777777" w:rsidR="00B74A3C" w:rsidRDefault="00000000">
            <w:r>
              <w:t>No</w:t>
            </w:r>
          </w:p>
        </w:tc>
      </w:tr>
      <w:tr w:rsidR="00B74A3C" w14:paraId="53B1EA08" w14:textId="77777777">
        <w:tc>
          <w:tcPr>
            <w:tcW w:w="1440" w:type="dxa"/>
          </w:tcPr>
          <w:p w14:paraId="2EF24BF1" w14:textId="77777777" w:rsidR="00B74A3C" w:rsidRDefault="00000000">
            <w:r>
              <w:t>BIG4</w:t>
            </w:r>
          </w:p>
        </w:tc>
        <w:tc>
          <w:tcPr>
            <w:tcW w:w="1440" w:type="dxa"/>
          </w:tcPr>
          <w:p w14:paraId="20582ADA" w14:textId="77777777" w:rsidR="00B74A3C" w:rsidRDefault="00000000">
            <w:r>
              <w:t>Binary</w:t>
            </w:r>
          </w:p>
        </w:tc>
        <w:tc>
          <w:tcPr>
            <w:tcW w:w="1440" w:type="dxa"/>
          </w:tcPr>
          <w:p w14:paraId="7170BFEA" w14:textId="77777777" w:rsidR="00B74A3C" w:rsidRDefault="00000000">
            <w:r>
              <w:t>1 = Big Four; 0 = Non-Big Four</w:t>
            </w:r>
          </w:p>
        </w:tc>
        <w:tc>
          <w:tcPr>
            <w:tcW w:w="1440" w:type="dxa"/>
          </w:tcPr>
          <w:p w14:paraId="0D7F623B" w14:textId="77777777" w:rsidR="00B74A3C" w:rsidRDefault="00000000">
            <w:r>
              <w:t>Employer type of respondent.</w:t>
            </w:r>
          </w:p>
        </w:tc>
        <w:tc>
          <w:tcPr>
            <w:tcW w:w="1440" w:type="dxa"/>
          </w:tcPr>
          <w:p w14:paraId="6AE82C66" w14:textId="77777777" w:rsidR="00B74A3C" w:rsidRDefault="00000000">
            <w:r>
              <w:t>Used as control variable.</w:t>
            </w:r>
          </w:p>
        </w:tc>
        <w:tc>
          <w:tcPr>
            <w:tcW w:w="1440" w:type="dxa"/>
          </w:tcPr>
          <w:p w14:paraId="67FC4362" w14:textId="77777777" w:rsidR="00B74A3C" w:rsidRDefault="00000000">
            <w:r>
              <w:t>No</w:t>
            </w:r>
          </w:p>
        </w:tc>
      </w:tr>
      <w:tr w:rsidR="00B74A3C" w14:paraId="7BC1C333" w14:textId="77777777">
        <w:tc>
          <w:tcPr>
            <w:tcW w:w="1440" w:type="dxa"/>
          </w:tcPr>
          <w:p w14:paraId="6B6C102B" w14:textId="77777777" w:rsidR="00B74A3C" w:rsidRDefault="00000000">
            <w:r>
              <w:t>LEVEL</w:t>
            </w:r>
          </w:p>
        </w:tc>
        <w:tc>
          <w:tcPr>
            <w:tcW w:w="1440" w:type="dxa"/>
          </w:tcPr>
          <w:p w14:paraId="2BB5249A" w14:textId="77777777" w:rsidR="00B74A3C" w:rsidRDefault="00000000">
            <w:r>
              <w:t>Binary</w:t>
            </w:r>
          </w:p>
        </w:tc>
        <w:tc>
          <w:tcPr>
            <w:tcW w:w="1440" w:type="dxa"/>
          </w:tcPr>
          <w:p w14:paraId="5F49FFD6" w14:textId="77777777" w:rsidR="00B74A3C" w:rsidRDefault="00000000">
            <w:r>
              <w:t>1 = Manager/Partner; 0 = Staff/Senior</w:t>
            </w:r>
          </w:p>
        </w:tc>
        <w:tc>
          <w:tcPr>
            <w:tcW w:w="1440" w:type="dxa"/>
          </w:tcPr>
          <w:p w14:paraId="34E8910E" w14:textId="77777777" w:rsidR="00B74A3C" w:rsidRDefault="00000000">
            <w:r>
              <w:t>Seniority level of respondent.</w:t>
            </w:r>
          </w:p>
        </w:tc>
        <w:tc>
          <w:tcPr>
            <w:tcW w:w="1440" w:type="dxa"/>
          </w:tcPr>
          <w:p w14:paraId="59119788" w14:textId="77777777" w:rsidR="00B74A3C" w:rsidRDefault="00000000">
            <w:r>
              <w:t>Used as control variable.</w:t>
            </w:r>
          </w:p>
        </w:tc>
        <w:tc>
          <w:tcPr>
            <w:tcW w:w="1440" w:type="dxa"/>
          </w:tcPr>
          <w:p w14:paraId="12EF2742" w14:textId="77777777" w:rsidR="00B74A3C" w:rsidRDefault="00000000">
            <w:r>
              <w:t>No</w:t>
            </w:r>
          </w:p>
        </w:tc>
      </w:tr>
      <w:tr w:rsidR="00B74A3C" w14:paraId="76BA180A" w14:textId="77777777">
        <w:tc>
          <w:tcPr>
            <w:tcW w:w="1440" w:type="dxa"/>
          </w:tcPr>
          <w:p w14:paraId="536A6C85" w14:textId="77777777" w:rsidR="00B74A3C" w:rsidRDefault="00000000">
            <w:r>
              <w:t>EXP_years</w:t>
            </w:r>
          </w:p>
        </w:tc>
        <w:tc>
          <w:tcPr>
            <w:tcW w:w="1440" w:type="dxa"/>
          </w:tcPr>
          <w:p w14:paraId="34D200DC" w14:textId="77777777" w:rsidR="00B74A3C" w:rsidRDefault="00000000">
            <w:r>
              <w:t>Numeric</w:t>
            </w:r>
          </w:p>
        </w:tc>
        <w:tc>
          <w:tcPr>
            <w:tcW w:w="1440" w:type="dxa"/>
          </w:tcPr>
          <w:p w14:paraId="7777C9E4" w14:textId="77777777" w:rsidR="00B74A3C" w:rsidRDefault="00000000">
            <w:r>
              <w:t>Years (continuous; ≥0.5)</w:t>
            </w:r>
          </w:p>
        </w:tc>
        <w:tc>
          <w:tcPr>
            <w:tcW w:w="1440" w:type="dxa"/>
          </w:tcPr>
          <w:p w14:paraId="49892517" w14:textId="77777777" w:rsidR="00B74A3C" w:rsidRDefault="00000000">
            <w:r>
              <w:t>Total years of audit experience.</w:t>
            </w:r>
          </w:p>
        </w:tc>
        <w:tc>
          <w:tcPr>
            <w:tcW w:w="1440" w:type="dxa"/>
          </w:tcPr>
          <w:p w14:paraId="2D60C789" w14:textId="77777777" w:rsidR="00B74A3C" w:rsidRDefault="00000000">
            <w:r>
              <w:t>Used as control variable.</w:t>
            </w:r>
          </w:p>
        </w:tc>
        <w:tc>
          <w:tcPr>
            <w:tcW w:w="1440" w:type="dxa"/>
          </w:tcPr>
          <w:p w14:paraId="74D3A6FC" w14:textId="77777777" w:rsidR="00B74A3C" w:rsidRDefault="00000000">
            <w:r>
              <w:t>No</w:t>
            </w:r>
          </w:p>
        </w:tc>
      </w:tr>
      <w:tr w:rsidR="00B74A3C" w14:paraId="074DA2C3" w14:textId="77777777">
        <w:tc>
          <w:tcPr>
            <w:tcW w:w="1440" w:type="dxa"/>
          </w:tcPr>
          <w:p w14:paraId="5C3939A2" w14:textId="77777777" w:rsidR="00B74A3C" w:rsidRDefault="00000000">
            <w:r>
              <w:lastRenderedPageBreak/>
              <w:t>PS1</w:t>
            </w:r>
          </w:p>
        </w:tc>
        <w:tc>
          <w:tcPr>
            <w:tcW w:w="1440" w:type="dxa"/>
          </w:tcPr>
          <w:p w14:paraId="1A64DB63" w14:textId="77777777" w:rsidR="00B74A3C" w:rsidRDefault="00000000">
            <w:r>
              <w:t>Integer</w:t>
            </w:r>
          </w:p>
        </w:tc>
        <w:tc>
          <w:tcPr>
            <w:tcW w:w="1440" w:type="dxa"/>
          </w:tcPr>
          <w:p w14:paraId="2A412F25" w14:textId="77777777" w:rsidR="00B74A3C" w:rsidRDefault="00000000">
            <w:r>
              <w:t>1–5 Likert</w:t>
            </w:r>
          </w:p>
        </w:tc>
        <w:tc>
          <w:tcPr>
            <w:tcW w:w="1440" w:type="dxa"/>
          </w:tcPr>
          <w:p w14:paraId="21BA718A" w14:textId="77777777" w:rsidR="00B74A3C" w:rsidRDefault="00000000">
            <w:r>
              <w:t>Professional scepticism item PS1.</w:t>
            </w:r>
          </w:p>
        </w:tc>
        <w:tc>
          <w:tcPr>
            <w:tcW w:w="1440" w:type="dxa"/>
          </w:tcPr>
          <w:p w14:paraId="08A27F79" w14:textId="77777777" w:rsidR="00B74A3C" w:rsidRDefault="00000000">
            <w:r>
              <w:t>Adapted from Hurtt (2010) professional scepticism scale.</w:t>
            </w:r>
          </w:p>
        </w:tc>
        <w:tc>
          <w:tcPr>
            <w:tcW w:w="1440" w:type="dxa"/>
          </w:tcPr>
          <w:p w14:paraId="5D00EB3E" w14:textId="77777777" w:rsidR="00B74A3C" w:rsidRDefault="00000000">
            <w:r>
              <w:t>No</w:t>
            </w:r>
          </w:p>
        </w:tc>
      </w:tr>
      <w:tr w:rsidR="00B74A3C" w14:paraId="4D008DC3" w14:textId="77777777">
        <w:tc>
          <w:tcPr>
            <w:tcW w:w="1440" w:type="dxa"/>
          </w:tcPr>
          <w:p w14:paraId="4869C245" w14:textId="77777777" w:rsidR="00B74A3C" w:rsidRDefault="00000000">
            <w:r>
              <w:t>PS2</w:t>
            </w:r>
          </w:p>
        </w:tc>
        <w:tc>
          <w:tcPr>
            <w:tcW w:w="1440" w:type="dxa"/>
          </w:tcPr>
          <w:p w14:paraId="1C4EAA15" w14:textId="77777777" w:rsidR="00B74A3C" w:rsidRDefault="00000000">
            <w:r>
              <w:t>Integer</w:t>
            </w:r>
          </w:p>
        </w:tc>
        <w:tc>
          <w:tcPr>
            <w:tcW w:w="1440" w:type="dxa"/>
          </w:tcPr>
          <w:p w14:paraId="10DFB961" w14:textId="77777777" w:rsidR="00B74A3C" w:rsidRDefault="00000000">
            <w:r>
              <w:t>1–5 Likert</w:t>
            </w:r>
          </w:p>
        </w:tc>
        <w:tc>
          <w:tcPr>
            <w:tcW w:w="1440" w:type="dxa"/>
          </w:tcPr>
          <w:p w14:paraId="71D7783B" w14:textId="77777777" w:rsidR="00B74A3C" w:rsidRDefault="00000000">
            <w:r>
              <w:t>Professional scepticism item PS2.</w:t>
            </w:r>
          </w:p>
        </w:tc>
        <w:tc>
          <w:tcPr>
            <w:tcW w:w="1440" w:type="dxa"/>
          </w:tcPr>
          <w:p w14:paraId="722C5FE6" w14:textId="77777777" w:rsidR="00B74A3C" w:rsidRDefault="00B74A3C"/>
        </w:tc>
        <w:tc>
          <w:tcPr>
            <w:tcW w:w="1440" w:type="dxa"/>
          </w:tcPr>
          <w:p w14:paraId="2B67ED1F" w14:textId="77777777" w:rsidR="00B74A3C" w:rsidRDefault="00000000">
            <w:r>
              <w:t>No</w:t>
            </w:r>
          </w:p>
        </w:tc>
      </w:tr>
      <w:tr w:rsidR="00B74A3C" w14:paraId="1A797627" w14:textId="77777777">
        <w:tc>
          <w:tcPr>
            <w:tcW w:w="1440" w:type="dxa"/>
          </w:tcPr>
          <w:p w14:paraId="294B40F7" w14:textId="77777777" w:rsidR="00B74A3C" w:rsidRDefault="00000000">
            <w:r>
              <w:t>PS3</w:t>
            </w:r>
          </w:p>
        </w:tc>
        <w:tc>
          <w:tcPr>
            <w:tcW w:w="1440" w:type="dxa"/>
          </w:tcPr>
          <w:p w14:paraId="47081660" w14:textId="77777777" w:rsidR="00B74A3C" w:rsidRDefault="00000000">
            <w:r>
              <w:t>Integer</w:t>
            </w:r>
          </w:p>
        </w:tc>
        <w:tc>
          <w:tcPr>
            <w:tcW w:w="1440" w:type="dxa"/>
          </w:tcPr>
          <w:p w14:paraId="1C4F4821" w14:textId="77777777" w:rsidR="00B74A3C" w:rsidRDefault="00000000">
            <w:r>
              <w:t>1–5 Likert</w:t>
            </w:r>
          </w:p>
        </w:tc>
        <w:tc>
          <w:tcPr>
            <w:tcW w:w="1440" w:type="dxa"/>
          </w:tcPr>
          <w:p w14:paraId="288ED901" w14:textId="77777777" w:rsidR="00B74A3C" w:rsidRDefault="00000000">
            <w:r>
              <w:t>Professional scepticism item PS3.</w:t>
            </w:r>
          </w:p>
        </w:tc>
        <w:tc>
          <w:tcPr>
            <w:tcW w:w="1440" w:type="dxa"/>
          </w:tcPr>
          <w:p w14:paraId="0B27CBFD" w14:textId="77777777" w:rsidR="00B74A3C" w:rsidRDefault="00B74A3C"/>
        </w:tc>
        <w:tc>
          <w:tcPr>
            <w:tcW w:w="1440" w:type="dxa"/>
          </w:tcPr>
          <w:p w14:paraId="10C96D79" w14:textId="77777777" w:rsidR="00B74A3C" w:rsidRDefault="00000000">
            <w:r>
              <w:t>No</w:t>
            </w:r>
          </w:p>
        </w:tc>
      </w:tr>
      <w:tr w:rsidR="00B74A3C" w14:paraId="30C91098" w14:textId="77777777">
        <w:tc>
          <w:tcPr>
            <w:tcW w:w="1440" w:type="dxa"/>
          </w:tcPr>
          <w:p w14:paraId="40B67CAD" w14:textId="77777777" w:rsidR="00B74A3C" w:rsidRDefault="00000000">
            <w:r>
              <w:t>PS4</w:t>
            </w:r>
          </w:p>
        </w:tc>
        <w:tc>
          <w:tcPr>
            <w:tcW w:w="1440" w:type="dxa"/>
          </w:tcPr>
          <w:p w14:paraId="33D9CFC4" w14:textId="77777777" w:rsidR="00B74A3C" w:rsidRDefault="00000000">
            <w:r>
              <w:t>Integer</w:t>
            </w:r>
          </w:p>
        </w:tc>
        <w:tc>
          <w:tcPr>
            <w:tcW w:w="1440" w:type="dxa"/>
          </w:tcPr>
          <w:p w14:paraId="460460A7" w14:textId="77777777" w:rsidR="00B74A3C" w:rsidRDefault="00000000">
            <w:r>
              <w:t>1–5 Likert</w:t>
            </w:r>
          </w:p>
        </w:tc>
        <w:tc>
          <w:tcPr>
            <w:tcW w:w="1440" w:type="dxa"/>
          </w:tcPr>
          <w:p w14:paraId="30FCC754" w14:textId="77777777" w:rsidR="00B74A3C" w:rsidRDefault="00000000">
            <w:r>
              <w:t>Professional scepticism item PS4.</w:t>
            </w:r>
          </w:p>
        </w:tc>
        <w:tc>
          <w:tcPr>
            <w:tcW w:w="1440" w:type="dxa"/>
          </w:tcPr>
          <w:p w14:paraId="6C77A121" w14:textId="77777777" w:rsidR="00B74A3C" w:rsidRDefault="00B74A3C"/>
        </w:tc>
        <w:tc>
          <w:tcPr>
            <w:tcW w:w="1440" w:type="dxa"/>
          </w:tcPr>
          <w:p w14:paraId="446D50FF" w14:textId="77777777" w:rsidR="00B74A3C" w:rsidRDefault="00000000">
            <w:r>
              <w:t>No</w:t>
            </w:r>
          </w:p>
        </w:tc>
      </w:tr>
      <w:tr w:rsidR="00B74A3C" w14:paraId="097A49B8" w14:textId="77777777">
        <w:tc>
          <w:tcPr>
            <w:tcW w:w="1440" w:type="dxa"/>
          </w:tcPr>
          <w:p w14:paraId="2C8E5569" w14:textId="77777777" w:rsidR="00B74A3C" w:rsidRDefault="00000000">
            <w:r>
              <w:t>PS5</w:t>
            </w:r>
          </w:p>
        </w:tc>
        <w:tc>
          <w:tcPr>
            <w:tcW w:w="1440" w:type="dxa"/>
          </w:tcPr>
          <w:p w14:paraId="6B6F6DD7" w14:textId="77777777" w:rsidR="00B74A3C" w:rsidRDefault="00000000">
            <w:r>
              <w:t>Integer</w:t>
            </w:r>
          </w:p>
        </w:tc>
        <w:tc>
          <w:tcPr>
            <w:tcW w:w="1440" w:type="dxa"/>
          </w:tcPr>
          <w:p w14:paraId="2CD5C2FF" w14:textId="77777777" w:rsidR="00B74A3C" w:rsidRDefault="00000000">
            <w:r>
              <w:t>1–5 Likert</w:t>
            </w:r>
          </w:p>
        </w:tc>
        <w:tc>
          <w:tcPr>
            <w:tcW w:w="1440" w:type="dxa"/>
          </w:tcPr>
          <w:p w14:paraId="1FA68E13" w14:textId="77777777" w:rsidR="00B74A3C" w:rsidRDefault="00000000">
            <w:r>
              <w:t>Professional scepticism item PS5.</w:t>
            </w:r>
          </w:p>
        </w:tc>
        <w:tc>
          <w:tcPr>
            <w:tcW w:w="1440" w:type="dxa"/>
          </w:tcPr>
          <w:p w14:paraId="53A535C9" w14:textId="77777777" w:rsidR="00B74A3C" w:rsidRDefault="00B74A3C"/>
        </w:tc>
        <w:tc>
          <w:tcPr>
            <w:tcW w:w="1440" w:type="dxa"/>
          </w:tcPr>
          <w:p w14:paraId="040D336B" w14:textId="77777777" w:rsidR="00B74A3C" w:rsidRDefault="00000000">
            <w:r>
              <w:t>No</w:t>
            </w:r>
          </w:p>
        </w:tc>
      </w:tr>
      <w:tr w:rsidR="00B74A3C" w14:paraId="3574952C" w14:textId="77777777">
        <w:tc>
          <w:tcPr>
            <w:tcW w:w="1440" w:type="dxa"/>
          </w:tcPr>
          <w:p w14:paraId="336AD403" w14:textId="77777777" w:rsidR="00B74A3C" w:rsidRDefault="00000000">
            <w:r>
              <w:t>PS6</w:t>
            </w:r>
          </w:p>
        </w:tc>
        <w:tc>
          <w:tcPr>
            <w:tcW w:w="1440" w:type="dxa"/>
          </w:tcPr>
          <w:p w14:paraId="24544B76" w14:textId="77777777" w:rsidR="00B74A3C" w:rsidRDefault="00000000">
            <w:r>
              <w:t>Integer</w:t>
            </w:r>
          </w:p>
        </w:tc>
        <w:tc>
          <w:tcPr>
            <w:tcW w:w="1440" w:type="dxa"/>
          </w:tcPr>
          <w:p w14:paraId="50DFB593" w14:textId="77777777" w:rsidR="00B74A3C" w:rsidRDefault="00000000">
            <w:r>
              <w:t>1–5 Likert</w:t>
            </w:r>
          </w:p>
        </w:tc>
        <w:tc>
          <w:tcPr>
            <w:tcW w:w="1440" w:type="dxa"/>
          </w:tcPr>
          <w:p w14:paraId="31459BB9" w14:textId="77777777" w:rsidR="00B74A3C" w:rsidRDefault="00000000">
            <w:r>
              <w:t>Professional scepticism item PS6.</w:t>
            </w:r>
          </w:p>
        </w:tc>
        <w:tc>
          <w:tcPr>
            <w:tcW w:w="1440" w:type="dxa"/>
          </w:tcPr>
          <w:p w14:paraId="5673E172" w14:textId="77777777" w:rsidR="00B74A3C" w:rsidRDefault="00B74A3C"/>
        </w:tc>
        <w:tc>
          <w:tcPr>
            <w:tcW w:w="1440" w:type="dxa"/>
          </w:tcPr>
          <w:p w14:paraId="369CB911" w14:textId="77777777" w:rsidR="00B74A3C" w:rsidRDefault="00000000">
            <w:r>
              <w:t>No</w:t>
            </w:r>
          </w:p>
        </w:tc>
      </w:tr>
      <w:tr w:rsidR="00B74A3C" w14:paraId="6DD9BA7E" w14:textId="77777777">
        <w:tc>
          <w:tcPr>
            <w:tcW w:w="1440" w:type="dxa"/>
          </w:tcPr>
          <w:p w14:paraId="548B8436" w14:textId="77777777" w:rsidR="00B74A3C" w:rsidRDefault="00000000">
            <w:r>
              <w:t>PS7</w:t>
            </w:r>
          </w:p>
        </w:tc>
        <w:tc>
          <w:tcPr>
            <w:tcW w:w="1440" w:type="dxa"/>
          </w:tcPr>
          <w:p w14:paraId="075BF38C" w14:textId="77777777" w:rsidR="00B74A3C" w:rsidRDefault="00000000">
            <w:r>
              <w:t>Integer</w:t>
            </w:r>
          </w:p>
        </w:tc>
        <w:tc>
          <w:tcPr>
            <w:tcW w:w="1440" w:type="dxa"/>
          </w:tcPr>
          <w:p w14:paraId="6D9AF2DC" w14:textId="77777777" w:rsidR="00B74A3C" w:rsidRDefault="00000000">
            <w:r>
              <w:t>1–5 Likert</w:t>
            </w:r>
          </w:p>
        </w:tc>
        <w:tc>
          <w:tcPr>
            <w:tcW w:w="1440" w:type="dxa"/>
          </w:tcPr>
          <w:p w14:paraId="6C63DA2E" w14:textId="77777777" w:rsidR="00B74A3C" w:rsidRDefault="00000000">
            <w:r>
              <w:t>Professional scepticism item PS7.</w:t>
            </w:r>
          </w:p>
        </w:tc>
        <w:tc>
          <w:tcPr>
            <w:tcW w:w="1440" w:type="dxa"/>
          </w:tcPr>
          <w:p w14:paraId="4DB60514" w14:textId="77777777" w:rsidR="00B74A3C" w:rsidRDefault="00B74A3C"/>
        </w:tc>
        <w:tc>
          <w:tcPr>
            <w:tcW w:w="1440" w:type="dxa"/>
          </w:tcPr>
          <w:p w14:paraId="5AEDBF88" w14:textId="77777777" w:rsidR="00B74A3C" w:rsidRDefault="00000000">
            <w:r>
              <w:t>No</w:t>
            </w:r>
          </w:p>
        </w:tc>
      </w:tr>
      <w:tr w:rsidR="00B74A3C" w14:paraId="143424E6" w14:textId="77777777">
        <w:tc>
          <w:tcPr>
            <w:tcW w:w="1440" w:type="dxa"/>
          </w:tcPr>
          <w:p w14:paraId="54D457CD" w14:textId="77777777" w:rsidR="00B74A3C" w:rsidRDefault="00000000">
            <w:r>
              <w:t>PS8</w:t>
            </w:r>
          </w:p>
        </w:tc>
        <w:tc>
          <w:tcPr>
            <w:tcW w:w="1440" w:type="dxa"/>
          </w:tcPr>
          <w:p w14:paraId="71394031" w14:textId="77777777" w:rsidR="00B74A3C" w:rsidRDefault="00000000">
            <w:r>
              <w:t>Integer</w:t>
            </w:r>
          </w:p>
        </w:tc>
        <w:tc>
          <w:tcPr>
            <w:tcW w:w="1440" w:type="dxa"/>
          </w:tcPr>
          <w:p w14:paraId="3C608725" w14:textId="77777777" w:rsidR="00B74A3C" w:rsidRDefault="00000000">
            <w:r>
              <w:t>1–5 Likert (reverse-coded)</w:t>
            </w:r>
          </w:p>
        </w:tc>
        <w:tc>
          <w:tcPr>
            <w:tcW w:w="1440" w:type="dxa"/>
          </w:tcPr>
          <w:p w14:paraId="5E2D6D48" w14:textId="77777777" w:rsidR="00B74A3C" w:rsidRDefault="00000000">
            <w:r>
              <w:t>Professional scepticism item PS8. Reverse-coded item (higher value indicates higher scepticism after recoding).</w:t>
            </w:r>
          </w:p>
        </w:tc>
        <w:tc>
          <w:tcPr>
            <w:tcW w:w="1440" w:type="dxa"/>
          </w:tcPr>
          <w:p w14:paraId="0FC65101" w14:textId="77777777" w:rsidR="00B74A3C" w:rsidRDefault="00000000">
            <w:r>
              <w:t>Reverse coding applied: recoded value = 6 − original response.</w:t>
            </w:r>
          </w:p>
        </w:tc>
        <w:tc>
          <w:tcPr>
            <w:tcW w:w="1440" w:type="dxa"/>
          </w:tcPr>
          <w:p w14:paraId="461E51C7" w14:textId="77777777" w:rsidR="00B74A3C" w:rsidRDefault="00000000">
            <w:r>
              <w:t>No</w:t>
            </w:r>
          </w:p>
        </w:tc>
      </w:tr>
      <w:tr w:rsidR="00B74A3C" w14:paraId="2194C846" w14:textId="77777777">
        <w:tc>
          <w:tcPr>
            <w:tcW w:w="1440" w:type="dxa"/>
          </w:tcPr>
          <w:p w14:paraId="2F784AB8" w14:textId="77777777" w:rsidR="00B74A3C" w:rsidRDefault="00000000">
            <w:r>
              <w:t>CP1</w:t>
            </w:r>
          </w:p>
        </w:tc>
        <w:tc>
          <w:tcPr>
            <w:tcW w:w="1440" w:type="dxa"/>
          </w:tcPr>
          <w:p w14:paraId="34D75367" w14:textId="77777777" w:rsidR="00B74A3C" w:rsidRDefault="00000000">
            <w:r>
              <w:t>Integer</w:t>
            </w:r>
          </w:p>
        </w:tc>
        <w:tc>
          <w:tcPr>
            <w:tcW w:w="1440" w:type="dxa"/>
          </w:tcPr>
          <w:p w14:paraId="43A77919" w14:textId="77777777" w:rsidR="00B74A3C" w:rsidRDefault="00000000">
            <w:r>
              <w:t>1–5 Likert</w:t>
            </w:r>
          </w:p>
        </w:tc>
        <w:tc>
          <w:tcPr>
            <w:tcW w:w="1440" w:type="dxa"/>
          </w:tcPr>
          <w:p w14:paraId="0ADD9664" w14:textId="77777777" w:rsidR="00B74A3C" w:rsidRDefault="00000000">
            <w:r>
              <w:t>Client pressure item CP1.</w:t>
            </w:r>
          </w:p>
        </w:tc>
        <w:tc>
          <w:tcPr>
            <w:tcW w:w="1440" w:type="dxa"/>
          </w:tcPr>
          <w:p w14:paraId="71DF39CA" w14:textId="77777777" w:rsidR="00B74A3C" w:rsidRDefault="00000000">
            <w:r>
              <w:t>Adapted from Pierce &amp; Sweeney (2004) time/budget/commercial pressure measures.</w:t>
            </w:r>
          </w:p>
        </w:tc>
        <w:tc>
          <w:tcPr>
            <w:tcW w:w="1440" w:type="dxa"/>
          </w:tcPr>
          <w:p w14:paraId="1BB8F4D1" w14:textId="77777777" w:rsidR="00B74A3C" w:rsidRDefault="00000000">
            <w:r>
              <w:t>No</w:t>
            </w:r>
          </w:p>
        </w:tc>
      </w:tr>
      <w:tr w:rsidR="00B74A3C" w14:paraId="7B23283F" w14:textId="77777777">
        <w:tc>
          <w:tcPr>
            <w:tcW w:w="1440" w:type="dxa"/>
          </w:tcPr>
          <w:p w14:paraId="63D3F0CE" w14:textId="77777777" w:rsidR="00B74A3C" w:rsidRDefault="00000000">
            <w:r>
              <w:lastRenderedPageBreak/>
              <w:t>CP2</w:t>
            </w:r>
          </w:p>
        </w:tc>
        <w:tc>
          <w:tcPr>
            <w:tcW w:w="1440" w:type="dxa"/>
          </w:tcPr>
          <w:p w14:paraId="54CA04B2" w14:textId="77777777" w:rsidR="00B74A3C" w:rsidRDefault="00000000">
            <w:r>
              <w:t>Integer</w:t>
            </w:r>
          </w:p>
        </w:tc>
        <w:tc>
          <w:tcPr>
            <w:tcW w:w="1440" w:type="dxa"/>
          </w:tcPr>
          <w:p w14:paraId="65231626" w14:textId="77777777" w:rsidR="00B74A3C" w:rsidRDefault="00000000">
            <w:r>
              <w:t>1–5 Likert</w:t>
            </w:r>
          </w:p>
        </w:tc>
        <w:tc>
          <w:tcPr>
            <w:tcW w:w="1440" w:type="dxa"/>
          </w:tcPr>
          <w:p w14:paraId="0E15A8D1" w14:textId="77777777" w:rsidR="00B74A3C" w:rsidRDefault="00000000">
            <w:r>
              <w:t>Client pressure item CP2.</w:t>
            </w:r>
          </w:p>
        </w:tc>
        <w:tc>
          <w:tcPr>
            <w:tcW w:w="1440" w:type="dxa"/>
          </w:tcPr>
          <w:p w14:paraId="6FFA1AD0" w14:textId="77777777" w:rsidR="00B74A3C" w:rsidRDefault="00B74A3C"/>
        </w:tc>
        <w:tc>
          <w:tcPr>
            <w:tcW w:w="1440" w:type="dxa"/>
          </w:tcPr>
          <w:p w14:paraId="68E382F0" w14:textId="77777777" w:rsidR="00B74A3C" w:rsidRDefault="00000000">
            <w:r>
              <w:t>No</w:t>
            </w:r>
          </w:p>
        </w:tc>
      </w:tr>
      <w:tr w:rsidR="00B74A3C" w14:paraId="4098ADFE" w14:textId="77777777">
        <w:tc>
          <w:tcPr>
            <w:tcW w:w="1440" w:type="dxa"/>
          </w:tcPr>
          <w:p w14:paraId="0ECBEAC8" w14:textId="77777777" w:rsidR="00B74A3C" w:rsidRDefault="00000000">
            <w:r>
              <w:t>CP3</w:t>
            </w:r>
          </w:p>
        </w:tc>
        <w:tc>
          <w:tcPr>
            <w:tcW w:w="1440" w:type="dxa"/>
          </w:tcPr>
          <w:p w14:paraId="3FFAB1BB" w14:textId="77777777" w:rsidR="00B74A3C" w:rsidRDefault="00000000">
            <w:r>
              <w:t>Integer</w:t>
            </w:r>
          </w:p>
        </w:tc>
        <w:tc>
          <w:tcPr>
            <w:tcW w:w="1440" w:type="dxa"/>
          </w:tcPr>
          <w:p w14:paraId="0F8119D2" w14:textId="77777777" w:rsidR="00B74A3C" w:rsidRDefault="00000000">
            <w:r>
              <w:t>1–5 Likert</w:t>
            </w:r>
          </w:p>
        </w:tc>
        <w:tc>
          <w:tcPr>
            <w:tcW w:w="1440" w:type="dxa"/>
          </w:tcPr>
          <w:p w14:paraId="66C83A52" w14:textId="77777777" w:rsidR="00B74A3C" w:rsidRDefault="00000000">
            <w:r>
              <w:t>Client pressure item CP3.</w:t>
            </w:r>
          </w:p>
        </w:tc>
        <w:tc>
          <w:tcPr>
            <w:tcW w:w="1440" w:type="dxa"/>
          </w:tcPr>
          <w:p w14:paraId="2A723C00" w14:textId="77777777" w:rsidR="00B74A3C" w:rsidRDefault="00B74A3C"/>
        </w:tc>
        <w:tc>
          <w:tcPr>
            <w:tcW w:w="1440" w:type="dxa"/>
          </w:tcPr>
          <w:p w14:paraId="7B74882A" w14:textId="77777777" w:rsidR="00B74A3C" w:rsidRDefault="00000000">
            <w:r>
              <w:t>No</w:t>
            </w:r>
          </w:p>
        </w:tc>
      </w:tr>
      <w:tr w:rsidR="00B74A3C" w14:paraId="75898101" w14:textId="77777777">
        <w:tc>
          <w:tcPr>
            <w:tcW w:w="1440" w:type="dxa"/>
          </w:tcPr>
          <w:p w14:paraId="3C57B121" w14:textId="77777777" w:rsidR="00B74A3C" w:rsidRDefault="00000000">
            <w:r>
              <w:t>CP4</w:t>
            </w:r>
          </w:p>
        </w:tc>
        <w:tc>
          <w:tcPr>
            <w:tcW w:w="1440" w:type="dxa"/>
          </w:tcPr>
          <w:p w14:paraId="0B332040" w14:textId="77777777" w:rsidR="00B74A3C" w:rsidRDefault="00000000">
            <w:r>
              <w:t>Integer</w:t>
            </w:r>
          </w:p>
        </w:tc>
        <w:tc>
          <w:tcPr>
            <w:tcW w:w="1440" w:type="dxa"/>
          </w:tcPr>
          <w:p w14:paraId="4368E1E2" w14:textId="77777777" w:rsidR="00B74A3C" w:rsidRDefault="00000000">
            <w:r>
              <w:t>1–5 Likert</w:t>
            </w:r>
          </w:p>
        </w:tc>
        <w:tc>
          <w:tcPr>
            <w:tcW w:w="1440" w:type="dxa"/>
          </w:tcPr>
          <w:p w14:paraId="29AE8281" w14:textId="77777777" w:rsidR="00B74A3C" w:rsidRDefault="00000000">
            <w:r>
              <w:t>Client pressure item CP4.</w:t>
            </w:r>
          </w:p>
        </w:tc>
        <w:tc>
          <w:tcPr>
            <w:tcW w:w="1440" w:type="dxa"/>
          </w:tcPr>
          <w:p w14:paraId="26D15BD1" w14:textId="77777777" w:rsidR="00B74A3C" w:rsidRDefault="00B74A3C"/>
        </w:tc>
        <w:tc>
          <w:tcPr>
            <w:tcW w:w="1440" w:type="dxa"/>
          </w:tcPr>
          <w:p w14:paraId="48BC294E" w14:textId="77777777" w:rsidR="00B74A3C" w:rsidRDefault="00000000">
            <w:r>
              <w:t>No</w:t>
            </w:r>
          </w:p>
        </w:tc>
      </w:tr>
      <w:tr w:rsidR="00B74A3C" w14:paraId="02309335" w14:textId="77777777">
        <w:tc>
          <w:tcPr>
            <w:tcW w:w="1440" w:type="dxa"/>
          </w:tcPr>
          <w:p w14:paraId="3727043E" w14:textId="77777777" w:rsidR="00B74A3C" w:rsidRDefault="00000000">
            <w:r>
              <w:t>CP5</w:t>
            </w:r>
          </w:p>
        </w:tc>
        <w:tc>
          <w:tcPr>
            <w:tcW w:w="1440" w:type="dxa"/>
          </w:tcPr>
          <w:p w14:paraId="6EDA822E" w14:textId="77777777" w:rsidR="00B74A3C" w:rsidRDefault="00000000">
            <w:r>
              <w:t>Integer</w:t>
            </w:r>
          </w:p>
        </w:tc>
        <w:tc>
          <w:tcPr>
            <w:tcW w:w="1440" w:type="dxa"/>
          </w:tcPr>
          <w:p w14:paraId="4FC11FBD" w14:textId="77777777" w:rsidR="00B74A3C" w:rsidRDefault="00000000">
            <w:r>
              <w:t>1–5 Likert</w:t>
            </w:r>
          </w:p>
        </w:tc>
        <w:tc>
          <w:tcPr>
            <w:tcW w:w="1440" w:type="dxa"/>
          </w:tcPr>
          <w:p w14:paraId="3EEB6768" w14:textId="77777777" w:rsidR="00B74A3C" w:rsidRDefault="00000000">
            <w:r>
              <w:t>Client pressure item CP5.</w:t>
            </w:r>
          </w:p>
        </w:tc>
        <w:tc>
          <w:tcPr>
            <w:tcW w:w="1440" w:type="dxa"/>
          </w:tcPr>
          <w:p w14:paraId="67EAE123" w14:textId="77777777" w:rsidR="00B74A3C" w:rsidRDefault="00B74A3C"/>
        </w:tc>
        <w:tc>
          <w:tcPr>
            <w:tcW w:w="1440" w:type="dxa"/>
          </w:tcPr>
          <w:p w14:paraId="38CBEC2F" w14:textId="77777777" w:rsidR="00B74A3C" w:rsidRDefault="00000000">
            <w:r>
              <w:t>No</w:t>
            </w:r>
          </w:p>
        </w:tc>
      </w:tr>
      <w:tr w:rsidR="00B74A3C" w14:paraId="43433FF4" w14:textId="77777777">
        <w:tc>
          <w:tcPr>
            <w:tcW w:w="1440" w:type="dxa"/>
          </w:tcPr>
          <w:p w14:paraId="1C8BFA59" w14:textId="77777777" w:rsidR="00B74A3C" w:rsidRDefault="00000000">
            <w:r>
              <w:t>RMR1</w:t>
            </w:r>
          </w:p>
        </w:tc>
        <w:tc>
          <w:tcPr>
            <w:tcW w:w="1440" w:type="dxa"/>
          </w:tcPr>
          <w:p w14:paraId="410FF49D" w14:textId="77777777" w:rsidR="00B74A3C" w:rsidRDefault="00000000">
            <w:r>
              <w:t>Integer</w:t>
            </w:r>
          </w:p>
        </w:tc>
        <w:tc>
          <w:tcPr>
            <w:tcW w:w="1440" w:type="dxa"/>
          </w:tcPr>
          <w:p w14:paraId="1C27F212" w14:textId="77777777" w:rsidR="00B74A3C" w:rsidRDefault="00000000">
            <w:r>
              <w:t>1–5 Likert</w:t>
            </w:r>
          </w:p>
        </w:tc>
        <w:tc>
          <w:tcPr>
            <w:tcW w:w="1440" w:type="dxa"/>
          </w:tcPr>
          <w:p w14:paraId="437E5782" w14:textId="77777777" w:rsidR="00B74A3C" w:rsidRDefault="00000000">
            <w:r>
              <w:t>Reliance on management representations item RMR1.</w:t>
            </w:r>
          </w:p>
        </w:tc>
        <w:tc>
          <w:tcPr>
            <w:tcW w:w="1440" w:type="dxa"/>
          </w:tcPr>
          <w:p w14:paraId="60EFEE31" w14:textId="77777777" w:rsidR="00B74A3C" w:rsidRDefault="00000000">
            <w:r>
              <w:t>Developed from ISA 240 and ISA 580 concepts on management representations.</w:t>
            </w:r>
          </w:p>
        </w:tc>
        <w:tc>
          <w:tcPr>
            <w:tcW w:w="1440" w:type="dxa"/>
          </w:tcPr>
          <w:p w14:paraId="6F91B114" w14:textId="77777777" w:rsidR="00B74A3C" w:rsidRDefault="00000000">
            <w:r>
              <w:t>No</w:t>
            </w:r>
          </w:p>
        </w:tc>
      </w:tr>
      <w:tr w:rsidR="00B74A3C" w14:paraId="1FD4AD18" w14:textId="77777777">
        <w:tc>
          <w:tcPr>
            <w:tcW w:w="1440" w:type="dxa"/>
          </w:tcPr>
          <w:p w14:paraId="05F95EDE" w14:textId="77777777" w:rsidR="00B74A3C" w:rsidRDefault="00000000">
            <w:r>
              <w:t>RMR2</w:t>
            </w:r>
          </w:p>
        </w:tc>
        <w:tc>
          <w:tcPr>
            <w:tcW w:w="1440" w:type="dxa"/>
          </w:tcPr>
          <w:p w14:paraId="4AB91B5A" w14:textId="77777777" w:rsidR="00B74A3C" w:rsidRDefault="00000000">
            <w:r>
              <w:t>Integer</w:t>
            </w:r>
          </w:p>
        </w:tc>
        <w:tc>
          <w:tcPr>
            <w:tcW w:w="1440" w:type="dxa"/>
          </w:tcPr>
          <w:p w14:paraId="3A5B2815" w14:textId="77777777" w:rsidR="00B74A3C" w:rsidRDefault="00000000">
            <w:r>
              <w:t>1–5 Likert</w:t>
            </w:r>
          </w:p>
        </w:tc>
        <w:tc>
          <w:tcPr>
            <w:tcW w:w="1440" w:type="dxa"/>
          </w:tcPr>
          <w:p w14:paraId="561D860B" w14:textId="77777777" w:rsidR="00B74A3C" w:rsidRDefault="00000000">
            <w:r>
              <w:t>Reliance on management representations item RMR2.</w:t>
            </w:r>
          </w:p>
        </w:tc>
        <w:tc>
          <w:tcPr>
            <w:tcW w:w="1440" w:type="dxa"/>
          </w:tcPr>
          <w:p w14:paraId="45AC3AB9" w14:textId="77777777" w:rsidR="00B74A3C" w:rsidRDefault="00B74A3C"/>
        </w:tc>
        <w:tc>
          <w:tcPr>
            <w:tcW w:w="1440" w:type="dxa"/>
          </w:tcPr>
          <w:p w14:paraId="7B55A62B" w14:textId="77777777" w:rsidR="00B74A3C" w:rsidRDefault="00000000">
            <w:r>
              <w:t>No</w:t>
            </w:r>
          </w:p>
        </w:tc>
      </w:tr>
      <w:tr w:rsidR="00B74A3C" w14:paraId="032DF80B" w14:textId="77777777">
        <w:tc>
          <w:tcPr>
            <w:tcW w:w="1440" w:type="dxa"/>
          </w:tcPr>
          <w:p w14:paraId="3D0133BB" w14:textId="77777777" w:rsidR="00B74A3C" w:rsidRDefault="00000000">
            <w:r>
              <w:t>RMR3</w:t>
            </w:r>
          </w:p>
        </w:tc>
        <w:tc>
          <w:tcPr>
            <w:tcW w:w="1440" w:type="dxa"/>
          </w:tcPr>
          <w:p w14:paraId="722A67BE" w14:textId="77777777" w:rsidR="00B74A3C" w:rsidRDefault="00000000">
            <w:r>
              <w:t>Integer</w:t>
            </w:r>
          </w:p>
        </w:tc>
        <w:tc>
          <w:tcPr>
            <w:tcW w:w="1440" w:type="dxa"/>
          </w:tcPr>
          <w:p w14:paraId="5FDAE9EB" w14:textId="77777777" w:rsidR="00B74A3C" w:rsidRDefault="00000000">
            <w:r>
              <w:t>1–5 Likert</w:t>
            </w:r>
          </w:p>
        </w:tc>
        <w:tc>
          <w:tcPr>
            <w:tcW w:w="1440" w:type="dxa"/>
          </w:tcPr>
          <w:p w14:paraId="6C4CCCFC" w14:textId="77777777" w:rsidR="00B74A3C" w:rsidRDefault="00000000">
            <w:r>
              <w:t>Reliance on management representations item RMR3.</w:t>
            </w:r>
          </w:p>
        </w:tc>
        <w:tc>
          <w:tcPr>
            <w:tcW w:w="1440" w:type="dxa"/>
          </w:tcPr>
          <w:p w14:paraId="5960DFF9" w14:textId="77777777" w:rsidR="00B74A3C" w:rsidRDefault="00B74A3C"/>
        </w:tc>
        <w:tc>
          <w:tcPr>
            <w:tcW w:w="1440" w:type="dxa"/>
          </w:tcPr>
          <w:p w14:paraId="747D3A2E" w14:textId="77777777" w:rsidR="00B74A3C" w:rsidRDefault="00000000">
            <w:r>
              <w:t>No</w:t>
            </w:r>
          </w:p>
        </w:tc>
      </w:tr>
      <w:tr w:rsidR="00B74A3C" w14:paraId="09DE8D0B" w14:textId="77777777">
        <w:tc>
          <w:tcPr>
            <w:tcW w:w="1440" w:type="dxa"/>
          </w:tcPr>
          <w:p w14:paraId="15915EE4" w14:textId="77777777" w:rsidR="00B74A3C" w:rsidRDefault="00000000">
            <w:r>
              <w:t>RMR4</w:t>
            </w:r>
          </w:p>
        </w:tc>
        <w:tc>
          <w:tcPr>
            <w:tcW w:w="1440" w:type="dxa"/>
          </w:tcPr>
          <w:p w14:paraId="04F220B5" w14:textId="77777777" w:rsidR="00B74A3C" w:rsidRDefault="00000000">
            <w:r>
              <w:t>Integer</w:t>
            </w:r>
          </w:p>
        </w:tc>
        <w:tc>
          <w:tcPr>
            <w:tcW w:w="1440" w:type="dxa"/>
          </w:tcPr>
          <w:p w14:paraId="57DD7BFF" w14:textId="77777777" w:rsidR="00B74A3C" w:rsidRDefault="00000000">
            <w:r>
              <w:t>1–5 Likert</w:t>
            </w:r>
          </w:p>
        </w:tc>
        <w:tc>
          <w:tcPr>
            <w:tcW w:w="1440" w:type="dxa"/>
          </w:tcPr>
          <w:p w14:paraId="66EAC0F9" w14:textId="77777777" w:rsidR="00B74A3C" w:rsidRDefault="00000000">
            <w:r>
              <w:t>Reliance on management representations item RMR4.</w:t>
            </w:r>
          </w:p>
        </w:tc>
        <w:tc>
          <w:tcPr>
            <w:tcW w:w="1440" w:type="dxa"/>
          </w:tcPr>
          <w:p w14:paraId="56F9FA68" w14:textId="77777777" w:rsidR="00B74A3C" w:rsidRDefault="00B74A3C"/>
        </w:tc>
        <w:tc>
          <w:tcPr>
            <w:tcW w:w="1440" w:type="dxa"/>
          </w:tcPr>
          <w:p w14:paraId="4F083B7A" w14:textId="77777777" w:rsidR="00B74A3C" w:rsidRDefault="00000000">
            <w:r>
              <w:t>No</w:t>
            </w:r>
          </w:p>
        </w:tc>
      </w:tr>
      <w:tr w:rsidR="00B74A3C" w14:paraId="5D1F9626" w14:textId="77777777">
        <w:tc>
          <w:tcPr>
            <w:tcW w:w="1440" w:type="dxa"/>
          </w:tcPr>
          <w:p w14:paraId="39D58AAE" w14:textId="77777777" w:rsidR="00B74A3C" w:rsidRDefault="00000000">
            <w:r>
              <w:t>PDE1</w:t>
            </w:r>
          </w:p>
        </w:tc>
        <w:tc>
          <w:tcPr>
            <w:tcW w:w="1440" w:type="dxa"/>
          </w:tcPr>
          <w:p w14:paraId="50360B14" w14:textId="77777777" w:rsidR="00B74A3C" w:rsidRDefault="00000000">
            <w:r>
              <w:t>Integer</w:t>
            </w:r>
          </w:p>
        </w:tc>
        <w:tc>
          <w:tcPr>
            <w:tcW w:w="1440" w:type="dxa"/>
          </w:tcPr>
          <w:p w14:paraId="4453DE40" w14:textId="77777777" w:rsidR="00B74A3C" w:rsidRDefault="00000000">
            <w:r>
              <w:t>1–5 Likert</w:t>
            </w:r>
          </w:p>
        </w:tc>
        <w:tc>
          <w:tcPr>
            <w:tcW w:w="1440" w:type="dxa"/>
          </w:tcPr>
          <w:p w14:paraId="60820AE0" w14:textId="77777777" w:rsidR="00B74A3C" w:rsidRDefault="00000000">
            <w:r>
              <w:t>Perceived detection efficacy item PDE1.</w:t>
            </w:r>
          </w:p>
        </w:tc>
        <w:tc>
          <w:tcPr>
            <w:tcW w:w="1440" w:type="dxa"/>
          </w:tcPr>
          <w:p w14:paraId="77E8141B" w14:textId="77777777" w:rsidR="00B74A3C" w:rsidRDefault="00000000">
            <w:r>
              <w:t>Constructed from ISA 240 and revenue/receivables fraud detection literature.</w:t>
            </w:r>
          </w:p>
        </w:tc>
        <w:tc>
          <w:tcPr>
            <w:tcW w:w="1440" w:type="dxa"/>
          </w:tcPr>
          <w:p w14:paraId="1D583CC2" w14:textId="77777777" w:rsidR="00B74A3C" w:rsidRDefault="00000000">
            <w:r>
              <w:t>No</w:t>
            </w:r>
          </w:p>
        </w:tc>
      </w:tr>
      <w:tr w:rsidR="00B74A3C" w14:paraId="34FF461E" w14:textId="77777777">
        <w:tc>
          <w:tcPr>
            <w:tcW w:w="1440" w:type="dxa"/>
          </w:tcPr>
          <w:p w14:paraId="1FD00813" w14:textId="77777777" w:rsidR="00B74A3C" w:rsidRDefault="00000000">
            <w:r>
              <w:lastRenderedPageBreak/>
              <w:t>PDE2</w:t>
            </w:r>
          </w:p>
        </w:tc>
        <w:tc>
          <w:tcPr>
            <w:tcW w:w="1440" w:type="dxa"/>
          </w:tcPr>
          <w:p w14:paraId="0AD27355" w14:textId="77777777" w:rsidR="00B74A3C" w:rsidRDefault="00000000">
            <w:r>
              <w:t>Integer</w:t>
            </w:r>
          </w:p>
        </w:tc>
        <w:tc>
          <w:tcPr>
            <w:tcW w:w="1440" w:type="dxa"/>
          </w:tcPr>
          <w:p w14:paraId="469F40B8" w14:textId="77777777" w:rsidR="00B74A3C" w:rsidRDefault="00000000">
            <w:r>
              <w:t>1–5 Likert</w:t>
            </w:r>
          </w:p>
        </w:tc>
        <w:tc>
          <w:tcPr>
            <w:tcW w:w="1440" w:type="dxa"/>
          </w:tcPr>
          <w:p w14:paraId="6682BF90" w14:textId="77777777" w:rsidR="00B74A3C" w:rsidRDefault="00000000">
            <w:r>
              <w:t>Perceived detection efficacy item PDE2.</w:t>
            </w:r>
          </w:p>
        </w:tc>
        <w:tc>
          <w:tcPr>
            <w:tcW w:w="1440" w:type="dxa"/>
          </w:tcPr>
          <w:p w14:paraId="40FBE6A8" w14:textId="77777777" w:rsidR="00B74A3C" w:rsidRDefault="00B74A3C"/>
        </w:tc>
        <w:tc>
          <w:tcPr>
            <w:tcW w:w="1440" w:type="dxa"/>
          </w:tcPr>
          <w:p w14:paraId="1ACC91BA" w14:textId="77777777" w:rsidR="00B74A3C" w:rsidRDefault="00000000">
            <w:r>
              <w:t>No</w:t>
            </w:r>
          </w:p>
        </w:tc>
      </w:tr>
      <w:tr w:rsidR="00B74A3C" w14:paraId="2999D92A" w14:textId="77777777">
        <w:tc>
          <w:tcPr>
            <w:tcW w:w="1440" w:type="dxa"/>
          </w:tcPr>
          <w:p w14:paraId="4031B38E" w14:textId="77777777" w:rsidR="00B74A3C" w:rsidRDefault="00000000">
            <w:r>
              <w:t>PDE3</w:t>
            </w:r>
          </w:p>
        </w:tc>
        <w:tc>
          <w:tcPr>
            <w:tcW w:w="1440" w:type="dxa"/>
          </w:tcPr>
          <w:p w14:paraId="4DC23370" w14:textId="77777777" w:rsidR="00B74A3C" w:rsidRDefault="00000000">
            <w:r>
              <w:t>Integer</w:t>
            </w:r>
          </w:p>
        </w:tc>
        <w:tc>
          <w:tcPr>
            <w:tcW w:w="1440" w:type="dxa"/>
          </w:tcPr>
          <w:p w14:paraId="2E3C3C43" w14:textId="77777777" w:rsidR="00B74A3C" w:rsidRDefault="00000000">
            <w:r>
              <w:t>1–5 Likert</w:t>
            </w:r>
          </w:p>
        </w:tc>
        <w:tc>
          <w:tcPr>
            <w:tcW w:w="1440" w:type="dxa"/>
          </w:tcPr>
          <w:p w14:paraId="57E09162" w14:textId="77777777" w:rsidR="00B74A3C" w:rsidRDefault="00000000">
            <w:r>
              <w:t>Perceived detection efficacy item PDE3.</w:t>
            </w:r>
          </w:p>
        </w:tc>
        <w:tc>
          <w:tcPr>
            <w:tcW w:w="1440" w:type="dxa"/>
          </w:tcPr>
          <w:p w14:paraId="5D363B89" w14:textId="77777777" w:rsidR="00B74A3C" w:rsidRDefault="00B74A3C"/>
        </w:tc>
        <w:tc>
          <w:tcPr>
            <w:tcW w:w="1440" w:type="dxa"/>
          </w:tcPr>
          <w:p w14:paraId="0496D5EF" w14:textId="77777777" w:rsidR="00B74A3C" w:rsidRDefault="00000000">
            <w:r>
              <w:t>No</w:t>
            </w:r>
          </w:p>
        </w:tc>
      </w:tr>
      <w:tr w:rsidR="00B74A3C" w14:paraId="437FF2A9" w14:textId="77777777">
        <w:tc>
          <w:tcPr>
            <w:tcW w:w="1440" w:type="dxa"/>
          </w:tcPr>
          <w:p w14:paraId="0E2CE199" w14:textId="77777777" w:rsidR="00B74A3C" w:rsidRDefault="00000000">
            <w:r>
              <w:t>PDE4</w:t>
            </w:r>
          </w:p>
        </w:tc>
        <w:tc>
          <w:tcPr>
            <w:tcW w:w="1440" w:type="dxa"/>
          </w:tcPr>
          <w:p w14:paraId="6AD76D0B" w14:textId="77777777" w:rsidR="00B74A3C" w:rsidRDefault="00000000">
            <w:r>
              <w:t>Integer</w:t>
            </w:r>
          </w:p>
        </w:tc>
        <w:tc>
          <w:tcPr>
            <w:tcW w:w="1440" w:type="dxa"/>
          </w:tcPr>
          <w:p w14:paraId="657F1D41" w14:textId="77777777" w:rsidR="00B74A3C" w:rsidRDefault="00000000">
            <w:r>
              <w:t>1–5 Likert</w:t>
            </w:r>
          </w:p>
        </w:tc>
        <w:tc>
          <w:tcPr>
            <w:tcW w:w="1440" w:type="dxa"/>
          </w:tcPr>
          <w:p w14:paraId="589233EF" w14:textId="77777777" w:rsidR="00B74A3C" w:rsidRDefault="00000000">
            <w:r>
              <w:t>Perceived detection efficacy item PDE4.</w:t>
            </w:r>
          </w:p>
        </w:tc>
        <w:tc>
          <w:tcPr>
            <w:tcW w:w="1440" w:type="dxa"/>
          </w:tcPr>
          <w:p w14:paraId="7BDF322F" w14:textId="77777777" w:rsidR="00B74A3C" w:rsidRDefault="00B74A3C"/>
        </w:tc>
        <w:tc>
          <w:tcPr>
            <w:tcW w:w="1440" w:type="dxa"/>
          </w:tcPr>
          <w:p w14:paraId="3C953786" w14:textId="77777777" w:rsidR="00B74A3C" w:rsidRDefault="00000000">
            <w:r>
              <w:t>No</w:t>
            </w:r>
          </w:p>
        </w:tc>
      </w:tr>
      <w:tr w:rsidR="00B74A3C" w14:paraId="3176C8F0" w14:textId="77777777">
        <w:tc>
          <w:tcPr>
            <w:tcW w:w="1440" w:type="dxa"/>
          </w:tcPr>
          <w:p w14:paraId="1E8D1536" w14:textId="77777777" w:rsidR="00B74A3C" w:rsidRDefault="00000000">
            <w:r>
              <w:t>PDE5</w:t>
            </w:r>
          </w:p>
        </w:tc>
        <w:tc>
          <w:tcPr>
            <w:tcW w:w="1440" w:type="dxa"/>
          </w:tcPr>
          <w:p w14:paraId="25738DF6" w14:textId="77777777" w:rsidR="00B74A3C" w:rsidRDefault="00000000">
            <w:r>
              <w:t>Integer</w:t>
            </w:r>
          </w:p>
        </w:tc>
        <w:tc>
          <w:tcPr>
            <w:tcW w:w="1440" w:type="dxa"/>
          </w:tcPr>
          <w:p w14:paraId="5D19EBEF" w14:textId="77777777" w:rsidR="00B74A3C" w:rsidRDefault="00000000">
            <w:r>
              <w:t>1–5 Likert</w:t>
            </w:r>
          </w:p>
        </w:tc>
        <w:tc>
          <w:tcPr>
            <w:tcW w:w="1440" w:type="dxa"/>
          </w:tcPr>
          <w:p w14:paraId="467D1A4C" w14:textId="77777777" w:rsidR="00B74A3C" w:rsidRDefault="00000000">
            <w:r>
              <w:t>Perceived detection efficacy item PDE5.</w:t>
            </w:r>
          </w:p>
        </w:tc>
        <w:tc>
          <w:tcPr>
            <w:tcW w:w="1440" w:type="dxa"/>
          </w:tcPr>
          <w:p w14:paraId="4866B3B8" w14:textId="77777777" w:rsidR="00B74A3C" w:rsidRDefault="00B74A3C"/>
        </w:tc>
        <w:tc>
          <w:tcPr>
            <w:tcW w:w="1440" w:type="dxa"/>
          </w:tcPr>
          <w:p w14:paraId="27097914" w14:textId="77777777" w:rsidR="00B74A3C" w:rsidRDefault="00000000">
            <w:r>
              <w:t>No</w:t>
            </w:r>
          </w:p>
        </w:tc>
      </w:tr>
      <w:tr w:rsidR="00B74A3C" w14:paraId="3ADC1F21" w14:textId="77777777">
        <w:tc>
          <w:tcPr>
            <w:tcW w:w="1440" w:type="dxa"/>
          </w:tcPr>
          <w:p w14:paraId="35075C68" w14:textId="77777777" w:rsidR="00B74A3C" w:rsidRDefault="00000000">
            <w:r>
              <w:t>PS_mean</w:t>
            </w:r>
          </w:p>
        </w:tc>
        <w:tc>
          <w:tcPr>
            <w:tcW w:w="1440" w:type="dxa"/>
          </w:tcPr>
          <w:p w14:paraId="7670C49D" w14:textId="77777777" w:rsidR="00B74A3C" w:rsidRDefault="00000000">
            <w:r>
              <w:t>Numeric</w:t>
            </w:r>
          </w:p>
        </w:tc>
        <w:tc>
          <w:tcPr>
            <w:tcW w:w="1440" w:type="dxa"/>
          </w:tcPr>
          <w:p w14:paraId="5F33BC23" w14:textId="77777777" w:rsidR="00B74A3C" w:rsidRDefault="00000000">
            <w:r>
              <w:t>Mean of PS1–PS8</w:t>
            </w:r>
          </w:p>
        </w:tc>
        <w:tc>
          <w:tcPr>
            <w:tcW w:w="1440" w:type="dxa"/>
          </w:tcPr>
          <w:p w14:paraId="5EC5635A" w14:textId="77777777" w:rsidR="00B74A3C" w:rsidRDefault="00000000">
            <w:r>
              <w:t>Composite score for Professional scepticism.</w:t>
            </w:r>
          </w:p>
        </w:tc>
        <w:tc>
          <w:tcPr>
            <w:tcW w:w="1440" w:type="dxa"/>
          </w:tcPr>
          <w:p w14:paraId="55816F53" w14:textId="77777777" w:rsidR="00B74A3C" w:rsidRDefault="00000000">
            <w:r>
              <w:t>PS8 is reverse-coded prior to averaging.</w:t>
            </w:r>
          </w:p>
        </w:tc>
        <w:tc>
          <w:tcPr>
            <w:tcW w:w="1440" w:type="dxa"/>
          </w:tcPr>
          <w:p w14:paraId="6198B81D" w14:textId="77777777" w:rsidR="00B74A3C" w:rsidRDefault="00000000">
            <w:r>
              <w:t>Yes</w:t>
            </w:r>
          </w:p>
        </w:tc>
      </w:tr>
      <w:tr w:rsidR="00B74A3C" w14:paraId="63E58B7A" w14:textId="77777777">
        <w:tc>
          <w:tcPr>
            <w:tcW w:w="1440" w:type="dxa"/>
          </w:tcPr>
          <w:p w14:paraId="29A312BA" w14:textId="77777777" w:rsidR="00B74A3C" w:rsidRDefault="00000000">
            <w:r>
              <w:t>CP_mean</w:t>
            </w:r>
          </w:p>
        </w:tc>
        <w:tc>
          <w:tcPr>
            <w:tcW w:w="1440" w:type="dxa"/>
          </w:tcPr>
          <w:p w14:paraId="701225F6" w14:textId="77777777" w:rsidR="00B74A3C" w:rsidRDefault="00000000">
            <w:r>
              <w:t>Numeric</w:t>
            </w:r>
          </w:p>
        </w:tc>
        <w:tc>
          <w:tcPr>
            <w:tcW w:w="1440" w:type="dxa"/>
          </w:tcPr>
          <w:p w14:paraId="034737A5" w14:textId="77777777" w:rsidR="00B74A3C" w:rsidRDefault="00000000">
            <w:r>
              <w:t>Mean of CP1–CP5</w:t>
            </w:r>
          </w:p>
        </w:tc>
        <w:tc>
          <w:tcPr>
            <w:tcW w:w="1440" w:type="dxa"/>
          </w:tcPr>
          <w:p w14:paraId="5E2E705C" w14:textId="77777777" w:rsidR="00B74A3C" w:rsidRDefault="00000000">
            <w:r>
              <w:t>Composite score for Client pressure.</w:t>
            </w:r>
          </w:p>
        </w:tc>
        <w:tc>
          <w:tcPr>
            <w:tcW w:w="1440" w:type="dxa"/>
          </w:tcPr>
          <w:p w14:paraId="369954D6" w14:textId="77777777" w:rsidR="00B74A3C" w:rsidRDefault="00000000">
            <w:r>
              <w:t>Averaged across items.</w:t>
            </w:r>
          </w:p>
        </w:tc>
        <w:tc>
          <w:tcPr>
            <w:tcW w:w="1440" w:type="dxa"/>
          </w:tcPr>
          <w:p w14:paraId="3358774D" w14:textId="77777777" w:rsidR="00B74A3C" w:rsidRDefault="00000000">
            <w:r>
              <w:t>Yes</w:t>
            </w:r>
          </w:p>
        </w:tc>
      </w:tr>
      <w:tr w:rsidR="00B74A3C" w14:paraId="02C4DCDA" w14:textId="77777777" w:rsidTr="00AB1876">
        <w:tc>
          <w:tcPr>
            <w:tcW w:w="1440" w:type="dxa"/>
          </w:tcPr>
          <w:p w14:paraId="7824C499" w14:textId="77777777" w:rsidR="00B74A3C" w:rsidRDefault="00000000">
            <w:r>
              <w:t>RMR_mean</w:t>
            </w:r>
          </w:p>
        </w:tc>
        <w:tc>
          <w:tcPr>
            <w:tcW w:w="1440" w:type="dxa"/>
          </w:tcPr>
          <w:p w14:paraId="35971665" w14:textId="77777777" w:rsidR="00B74A3C" w:rsidRDefault="00000000">
            <w:r>
              <w:t>Numeric</w:t>
            </w:r>
          </w:p>
        </w:tc>
        <w:tc>
          <w:tcPr>
            <w:tcW w:w="1440" w:type="dxa"/>
          </w:tcPr>
          <w:p w14:paraId="0043016E" w14:textId="77777777" w:rsidR="00B74A3C" w:rsidRDefault="00000000">
            <w:r>
              <w:t>Mean of RMR1–RMR4</w:t>
            </w:r>
          </w:p>
        </w:tc>
        <w:tc>
          <w:tcPr>
            <w:tcW w:w="1440" w:type="dxa"/>
          </w:tcPr>
          <w:p w14:paraId="259A792F" w14:textId="77777777" w:rsidR="00B74A3C" w:rsidRDefault="00000000">
            <w:r>
              <w:t>Composite score for Reliance on management representations.</w:t>
            </w:r>
          </w:p>
        </w:tc>
        <w:tc>
          <w:tcPr>
            <w:tcW w:w="1440" w:type="dxa"/>
          </w:tcPr>
          <w:p w14:paraId="3227B799" w14:textId="77777777" w:rsidR="00B74A3C" w:rsidRDefault="00000000">
            <w:r>
              <w:t>Averaged across items.</w:t>
            </w:r>
          </w:p>
        </w:tc>
        <w:tc>
          <w:tcPr>
            <w:tcW w:w="1440" w:type="dxa"/>
          </w:tcPr>
          <w:p w14:paraId="38BB414C" w14:textId="77777777" w:rsidR="00B74A3C" w:rsidRDefault="00000000">
            <w:r>
              <w:t>Yes</w:t>
            </w:r>
          </w:p>
        </w:tc>
      </w:tr>
      <w:tr w:rsidR="00B74A3C" w14:paraId="4CD779A9" w14:textId="77777777" w:rsidTr="00AB1876">
        <w:tc>
          <w:tcPr>
            <w:tcW w:w="1440" w:type="dxa"/>
            <w:tcBorders>
              <w:bottom w:val="single" w:sz="4" w:space="0" w:color="auto"/>
            </w:tcBorders>
          </w:tcPr>
          <w:p w14:paraId="55593B4F" w14:textId="77777777" w:rsidR="00B74A3C" w:rsidRDefault="00000000">
            <w:r>
              <w:t>PDE_mean</w:t>
            </w:r>
          </w:p>
        </w:tc>
        <w:tc>
          <w:tcPr>
            <w:tcW w:w="1440" w:type="dxa"/>
            <w:tcBorders>
              <w:bottom w:val="single" w:sz="4" w:space="0" w:color="auto"/>
            </w:tcBorders>
          </w:tcPr>
          <w:p w14:paraId="5B4534AB" w14:textId="77777777" w:rsidR="00B74A3C" w:rsidRDefault="00000000">
            <w:r>
              <w:t>Numeric</w:t>
            </w:r>
          </w:p>
        </w:tc>
        <w:tc>
          <w:tcPr>
            <w:tcW w:w="1440" w:type="dxa"/>
            <w:tcBorders>
              <w:bottom w:val="single" w:sz="4" w:space="0" w:color="auto"/>
            </w:tcBorders>
          </w:tcPr>
          <w:p w14:paraId="09027557" w14:textId="77777777" w:rsidR="00B74A3C" w:rsidRDefault="00000000">
            <w:r>
              <w:t>Mean of PDE1–PDE5</w:t>
            </w:r>
          </w:p>
        </w:tc>
        <w:tc>
          <w:tcPr>
            <w:tcW w:w="1440" w:type="dxa"/>
            <w:tcBorders>
              <w:bottom w:val="single" w:sz="4" w:space="0" w:color="auto"/>
            </w:tcBorders>
          </w:tcPr>
          <w:p w14:paraId="3E5C4FB1" w14:textId="77777777" w:rsidR="00B74A3C" w:rsidRDefault="00000000">
            <w:r>
              <w:t>Composite score for Perceived detection efficacy (dependent variable).</w:t>
            </w:r>
          </w:p>
        </w:tc>
        <w:tc>
          <w:tcPr>
            <w:tcW w:w="1440" w:type="dxa"/>
            <w:tcBorders>
              <w:bottom w:val="single" w:sz="4" w:space="0" w:color="auto"/>
            </w:tcBorders>
          </w:tcPr>
          <w:p w14:paraId="7669FEE8" w14:textId="77777777" w:rsidR="00B74A3C" w:rsidRDefault="00000000">
            <w:r>
              <w:t>Averaged across items.</w:t>
            </w:r>
          </w:p>
        </w:tc>
        <w:tc>
          <w:tcPr>
            <w:tcW w:w="1440" w:type="dxa"/>
            <w:tcBorders>
              <w:bottom w:val="single" w:sz="4" w:space="0" w:color="auto"/>
            </w:tcBorders>
          </w:tcPr>
          <w:p w14:paraId="5B6500AB" w14:textId="77777777" w:rsidR="00B74A3C" w:rsidRDefault="00000000">
            <w:r>
              <w:t>Yes</w:t>
            </w:r>
          </w:p>
        </w:tc>
      </w:tr>
    </w:tbl>
    <w:p w14:paraId="0163248F" w14:textId="77777777" w:rsidR="00B74A3C" w:rsidRDefault="00B74A3C"/>
    <w:p w14:paraId="537E4575" w14:textId="77777777" w:rsidR="00B74A3C" w:rsidRDefault="00000000">
      <w:r>
        <w:rPr>
          <w:b/>
        </w:rPr>
        <w:lastRenderedPageBreak/>
        <w:t>Construct-to-item mapping (for replication)</w:t>
      </w:r>
    </w:p>
    <w:p w14:paraId="2E3B8C99" w14:textId="77777777" w:rsidR="00B74A3C" w:rsidRDefault="00000000">
      <w:r>
        <w:rPr>
          <w:b/>
        </w:rPr>
        <w:t xml:space="preserve">Professional scepticism (PS): </w:t>
      </w:r>
      <w:r>
        <w:t>PS1–PS8 (PS8 reverse-coded).</w:t>
      </w:r>
    </w:p>
    <w:p w14:paraId="3D8D8886" w14:textId="77777777" w:rsidR="00B74A3C" w:rsidRDefault="00000000">
      <w:r>
        <w:rPr>
          <w:b/>
        </w:rPr>
        <w:t xml:space="preserve">Client pressure (CP): </w:t>
      </w:r>
      <w:r>
        <w:t>CP1–CP5.</w:t>
      </w:r>
    </w:p>
    <w:p w14:paraId="79BB4655" w14:textId="77777777" w:rsidR="00B74A3C" w:rsidRDefault="00000000">
      <w:r>
        <w:rPr>
          <w:b/>
        </w:rPr>
        <w:t xml:space="preserve">Reliance on management representations (RMR): </w:t>
      </w:r>
      <w:r>
        <w:t>RMR1–RMR4.</w:t>
      </w:r>
    </w:p>
    <w:p w14:paraId="208619ED" w14:textId="77777777" w:rsidR="00B74A3C" w:rsidRDefault="00000000">
      <w:r>
        <w:rPr>
          <w:b/>
        </w:rPr>
        <w:t xml:space="preserve">Perceived detection efficacy (PDE): </w:t>
      </w:r>
      <w:r>
        <w:t>PDE1–PDE5.</w:t>
      </w:r>
    </w:p>
    <w:p w14:paraId="539D5411" w14:textId="77777777" w:rsidR="00B74A3C" w:rsidRDefault="00B74A3C"/>
    <w:p w14:paraId="55AEE824" w14:textId="77777777" w:rsidR="00B74A3C" w:rsidRDefault="00000000">
      <w:r>
        <w:rPr>
          <w:b/>
        </w:rPr>
        <w:t>Data processing and transformations</w:t>
      </w:r>
    </w:p>
    <w:p w14:paraId="7113EFBC" w14:textId="1FDD03A6" w:rsidR="00B74A3C" w:rsidRDefault="00000000">
      <w:r>
        <w:t>1) Reverse coding: PS8 is reverse-coded using the transformation (6 − response). 2) Composite scores: PS_mean, CP_mean, RMR_mean, and PDE_mean are computed as the arithmetic mean of their respective items. 3) Missing data: In the final analysis dataset, missing values should be handled consistently with the analysis plan (e.g., listwise deletion for regression). In the dummy dataset provided for review, no missing values are included.</w:t>
      </w:r>
    </w:p>
    <w:sectPr w:rsidR="00B74A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0741601">
    <w:abstractNumId w:val="8"/>
  </w:num>
  <w:num w:numId="2" w16cid:durableId="919221361">
    <w:abstractNumId w:val="6"/>
  </w:num>
  <w:num w:numId="3" w16cid:durableId="270816867">
    <w:abstractNumId w:val="5"/>
  </w:num>
  <w:num w:numId="4" w16cid:durableId="828331200">
    <w:abstractNumId w:val="4"/>
  </w:num>
  <w:num w:numId="5" w16cid:durableId="2042127327">
    <w:abstractNumId w:val="7"/>
  </w:num>
  <w:num w:numId="6" w16cid:durableId="624236234">
    <w:abstractNumId w:val="3"/>
  </w:num>
  <w:num w:numId="7" w16cid:durableId="2079588461">
    <w:abstractNumId w:val="2"/>
  </w:num>
  <w:num w:numId="8" w16cid:durableId="1085761573">
    <w:abstractNumId w:val="1"/>
  </w:num>
  <w:num w:numId="9" w16cid:durableId="99392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64E0"/>
    <w:rsid w:val="00326F90"/>
    <w:rsid w:val="00AA1D8D"/>
    <w:rsid w:val="00AB1876"/>
    <w:rsid w:val="00B47730"/>
    <w:rsid w:val="00B74A3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749E2"/>
  <w14:defaultImageDpi w14:val="300"/>
  <w15:docId w15:val="{18F2D8EE-2560-CD44-833E-B946549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641</Words>
  <Characters>3821</Characters>
  <Application>Microsoft Office Word</Application>
  <DocSecurity>0</DocSecurity>
  <Lines>347</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Dwihita2025</cp:lastModifiedBy>
  <cp:revision>2</cp:revision>
  <dcterms:created xsi:type="dcterms:W3CDTF">2013-12-23T23:15:00Z</dcterms:created>
  <dcterms:modified xsi:type="dcterms:W3CDTF">2026-02-15T07:02:00Z</dcterms:modified>
  <cp:category/>
</cp:coreProperties>
</file>