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992BF" w14:textId="6D3DB5BA" w:rsidR="00EB6180" w:rsidRDefault="00426A7E" w:rsidP="00534D99">
      <w:pPr>
        <w:spacing w:after="120" w:line="240" w:lineRule="auto"/>
        <w:jc w:val="center"/>
        <w:rPr>
          <w:rFonts w:ascii="Arial" w:hAnsi="Arial" w:cs="Arial"/>
          <w:b/>
          <w:bCs/>
        </w:rPr>
      </w:pPr>
      <w:r>
        <w:rPr>
          <w:rFonts w:ascii="Arial" w:hAnsi="Arial" w:cs="Arial"/>
          <w:b/>
          <w:bCs/>
        </w:rPr>
        <w:t>Extended Data</w:t>
      </w:r>
    </w:p>
    <w:p w14:paraId="6DC4A7BC" w14:textId="77777777" w:rsidR="00534D99" w:rsidRPr="00534D99" w:rsidRDefault="00534D99" w:rsidP="00534D99">
      <w:pPr>
        <w:spacing w:after="120" w:line="240" w:lineRule="auto"/>
        <w:jc w:val="center"/>
        <w:rPr>
          <w:rFonts w:ascii="Arial" w:hAnsi="Arial" w:cs="Arial"/>
          <w:b/>
          <w:bCs/>
        </w:rPr>
      </w:pPr>
    </w:p>
    <w:p w14:paraId="6FE20AED" w14:textId="4BADD161" w:rsidR="00D31D25" w:rsidRPr="00534D99" w:rsidRDefault="00426A7E" w:rsidP="00534D99">
      <w:pPr>
        <w:spacing w:after="120" w:line="240" w:lineRule="auto"/>
        <w:rPr>
          <w:rFonts w:ascii="Arial" w:hAnsi="Arial" w:cs="Arial"/>
          <w:b/>
          <w:bCs/>
          <w:u w:val="single"/>
        </w:rPr>
      </w:pPr>
      <w:r>
        <w:rPr>
          <w:rFonts w:ascii="Arial" w:hAnsi="Arial" w:cs="Arial"/>
          <w:b/>
          <w:bCs/>
          <w:u w:val="single"/>
        </w:rPr>
        <w:t xml:space="preserve">Extended </w:t>
      </w:r>
      <w:r w:rsidR="00534D99" w:rsidRPr="00534D99">
        <w:rPr>
          <w:rFonts w:ascii="Arial" w:hAnsi="Arial" w:cs="Arial"/>
          <w:b/>
          <w:bCs/>
          <w:u w:val="single"/>
        </w:rPr>
        <w:t>m</w:t>
      </w:r>
      <w:r w:rsidR="00FE2A70" w:rsidRPr="00534D99">
        <w:rPr>
          <w:rFonts w:ascii="Arial" w:hAnsi="Arial" w:cs="Arial"/>
          <w:b/>
          <w:bCs/>
          <w:u w:val="single"/>
        </w:rPr>
        <w:t>ethods</w:t>
      </w:r>
    </w:p>
    <w:p w14:paraId="6EFFBDD0" w14:textId="2711C3B3" w:rsidR="003A40F9" w:rsidRPr="003A40F9" w:rsidRDefault="003A40F9" w:rsidP="00534D99">
      <w:pPr>
        <w:spacing w:after="120" w:line="240" w:lineRule="auto"/>
        <w:rPr>
          <w:rFonts w:ascii="Arial" w:hAnsi="Arial" w:cs="Arial"/>
          <w:b/>
          <w:bCs/>
        </w:rPr>
      </w:pPr>
      <w:r w:rsidRPr="003A40F9">
        <w:rPr>
          <w:rFonts w:ascii="Arial" w:hAnsi="Arial" w:cs="Arial"/>
          <w:b/>
          <w:bCs/>
        </w:rPr>
        <w:t>Serum hormone quantification</w:t>
      </w:r>
      <w:r w:rsidR="004D475C">
        <w:rPr>
          <w:rFonts w:ascii="Arial" w:hAnsi="Arial" w:cs="Arial"/>
          <w:b/>
          <w:bCs/>
        </w:rPr>
        <w:t xml:space="preserve"> in UCSB HAS (menopause cohort)</w:t>
      </w:r>
      <w:r w:rsidRPr="003A40F9">
        <w:rPr>
          <w:rFonts w:ascii="Arial" w:hAnsi="Arial" w:cs="Arial"/>
          <w:b/>
          <w:bCs/>
        </w:rPr>
        <w:t xml:space="preserve">: </w:t>
      </w:r>
    </w:p>
    <w:p w14:paraId="00ACF7CD" w14:textId="77777777" w:rsidR="003A40F9" w:rsidRDefault="00D31D25" w:rsidP="00534D99">
      <w:pPr>
        <w:spacing w:after="120" w:line="240" w:lineRule="auto"/>
        <w:rPr>
          <w:rFonts w:ascii="Arial" w:hAnsi="Arial" w:cs="Arial"/>
        </w:rPr>
      </w:pPr>
      <w:r w:rsidRPr="003A40F9">
        <w:rPr>
          <w:rFonts w:ascii="Arial" w:hAnsi="Arial" w:cs="Arial"/>
        </w:rPr>
        <w:t xml:space="preserve">All participants fasted for 8 hours before a morning </w:t>
      </w:r>
      <w:r w:rsidR="003A40F9" w:rsidRPr="003A40F9">
        <w:rPr>
          <w:rFonts w:ascii="Arial" w:hAnsi="Arial" w:cs="Arial"/>
        </w:rPr>
        <w:t xml:space="preserve">venous </w:t>
      </w:r>
      <w:r w:rsidRPr="003A40F9">
        <w:rPr>
          <w:rFonts w:ascii="Arial" w:hAnsi="Arial" w:cs="Arial"/>
        </w:rPr>
        <w:t xml:space="preserve">blood draw. </w:t>
      </w:r>
      <w:r w:rsidR="003A40F9" w:rsidRPr="003A40F9">
        <w:rPr>
          <w:rFonts w:ascii="Arial" w:hAnsi="Arial" w:cs="Arial"/>
        </w:rPr>
        <w:t xml:space="preserve">Women who were still menstruating were scheduled in the early follicular phase (day 3–5) of their menstrual cycle, pursuant to subject report. </w:t>
      </w:r>
    </w:p>
    <w:p w14:paraId="5DCEC51C" w14:textId="1C397E92" w:rsidR="008644B9" w:rsidRDefault="00FE2A70" w:rsidP="00D01E31">
      <w:pPr>
        <w:spacing w:after="120" w:line="240" w:lineRule="auto"/>
        <w:rPr>
          <w:rFonts w:ascii="Arial" w:hAnsi="Arial" w:cs="Arial"/>
        </w:rPr>
      </w:pPr>
      <w:r w:rsidRPr="003A40F9">
        <w:rPr>
          <w:rFonts w:ascii="Arial" w:hAnsi="Arial" w:cs="Arial"/>
        </w:rPr>
        <w:t xml:space="preserve">Serum was analyzed for six gonadotropin and sex steroid hormones: </w:t>
      </w:r>
      <w:r w:rsidR="00D31D25" w:rsidRPr="003A40F9">
        <w:rPr>
          <w:rFonts w:ascii="Arial" w:hAnsi="Arial" w:cs="Arial"/>
          <w:highlight w:val="white"/>
        </w:rPr>
        <w:t>follicle-stimulating hormone (FSH)</w:t>
      </w:r>
      <w:r w:rsidRPr="003A40F9">
        <w:rPr>
          <w:rFonts w:ascii="Arial" w:hAnsi="Arial" w:cs="Arial"/>
          <w:highlight w:val="white"/>
        </w:rPr>
        <w:t xml:space="preserve">, </w:t>
      </w:r>
      <w:r w:rsidRPr="003A40F9">
        <w:rPr>
          <w:rFonts w:ascii="Arial" w:hAnsi="Arial" w:cs="Arial"/>
        </w:rPr>
        <w:t>17</w:t>
      </w:r>
      <w:r w:rsidRPr="003A40F9">
        <w:rPr>
          <w:rFonts w:ascii="Arial" w:hAnsi="Arial" w:cs="Arial"/>
          <w:highlight w:val="white"/>
        </w:rPr>
        <w:t>β-estradiol, progesterone, sex-hormone binding globulin (SHBG), dehydroepiandrosterone sulfate</w:t>
      </w:r>
      <w:r w:rsidRPr="003A40F9">
        <w:rPr>
          <w:rFonts w:ascii="Arial" w:hAnsi="Arial" w:cs="Arial"/>
        </w:rPr>
        <w:t xml:space="preserve"> (DHEAS), and testosterone</w:t>
      </w:r>
      <w:r w:rsidR="003A40F9">
        <w:rPr>
          <w:rFonts w:ascii="Arial" w:hAnsi="Arial" w:cs="Arial"/>
        </w:rPr>
        <w:t xml:space="preserve"> at </w:t>
      </w:r>
      <w:r w:rsidR="003A40F9" w:rsidRPr="003A40F9">
        <w:rPr>
          <w:rFonts w:ascii="Arial" w:hAnsi="Arial" w:cs="Arial"/>
        </w:rPr>
        <w:t>the Brigham and Women’s Hospital Research Assay Core</w:t>
      </w:r>
      <w:r w:rsidR="002D6C45" w:rsidRPr="003A40F9">
        <w:rPr>
          <w:rFonts w:ascii="Arial" w:hAnsi="Arial" w:cs="Arial"/>
        </w:rPr>
        <w:t>.</w:t>
      </w:r>
      <w:r w:rsidR="003A40F9" w:rsidRPr="003A40F9">
        <w:rPr>
          <w:rFonts w:ascii="Arial" w:hAnsi="Arial" w:cs="Arial"/>
        </w:rPr>
        <w:t xml:space="preserve"> 17</w:t>
      </w:r>
      <w:r w:rsidR="003A40F9" w:rsidRPr="003A40F9">
        <w:rPr>
          <w:rFonts w:ascii="Arial" w:hAnsi="Arial" w:cs="Arial"/>
          <w:highlight w:val="white"/>
        </w:rPr>
        <w:t>β-estradiol</w:t>
      </w:r>
      <w:r w:rsidR="003A40F9">
        <w:rPr>
          <w:rFonts w:ascii="Arial" w:hAnsi="Arial" w:cs="Arial"/>
        </w:rPr>
        <w:t>, progesterone, and testosterone were determined by liquid chromatography mass-spectrometry, and FSH, SHBG, and DHEAS by chemiluminescent immunoassay (Beckman Coulter). A</w:t>
      </w:r>
      <w:r w:rsidR="003A40F9" w:rsidRPr="003A40F9">
        <w:rPr>
          <w:rFonts w:ascii="Arial" w:hAnsi="Arial" w:cs="Arial"/>
        </w:rPr>
        <w:t xml:space="preserve">ssay sensitivities, dynamic range, and intra-assay coefficients of variation (respectively) were as follows: estradiol, 1 </w:t>
      </w:r>
      <w:proofErr w:type="spellStart"/>
      <w:r w:rsidR="003A40F9" w:rsidRPr="003A40F9">
        <w:rPr>
          <w:rFonts w:ascii="Arial" w:hAnsi="Arial" w:cs="Arial"/>
        </w:rPr>
        <w:t>pg</w:t>
      </w:r>
      <w:proofErr w:type="spellEnd"/>
      <w:r w:rsidR="003A40F9" w:rsidRPr="003A40F9">
        <w:rPr>
          <w:rFonts w:ascii="Arial" w:hAnsi="Arial" w:cs="Arial"/>
        </w:rPr>
        <w:t xml:space="preserve">/mL, 1–500 </w:t>
      </w:r>
      <w:proofErr w:type="spellStart"/>
      <w:r w:rsidR="003A40F9" w:rsidRPr="003A40F9">
        <w:rPr>
          <w:rFonts w:ascii="Arial" w:hAnsi="Arial" w:cs="Arial"/>
        </w:rPr>
        <w:t>pg</w:t>
      </w:r>
      <w:proofErr w:type="spellEnd"/>
      <w:r w:rsidR="003A40F9" w:rsidRPr="003A40F9">
        <w:rPr>
          <w:rFonts w:ascii="Arial" w:hAnsi="Arial" w:cs="Arial"/>
        </w:rPr>
        <w:t>/mL, &lt;5% relative standard deviation (RSD); progesterone, 0.05 ng/mL, 0.05–10 ng/mL, 9.33% RSD; testosterone, 1.0 ng/dL, 1–2000 ng/dL, &lt;4% RSD</w:t>
      </w:r>
      <w:r w:rsidR="005B52D6">
        <w:rPr>
          <w:rFonts w:ascii="Arial" w:hAnsi="Arial" w:cs="Arial"/>
        </w:rPr>
        <w:t xml:space="preserve">; </w:t>
      </w:r>
      <w:r w:rsidR="005B52D6" w:rsidRPr="003A40F9">
        <w:rPr>
          <w:rFonts w:ascii="Arial" w:hAnsi="Arial" w:cs="Arial"/>
        </w:rPr>
        <w:t xml:space="preserve">FSH, 0.2 </w:t>
      </w:r>
      <w:proofErr w:type="spellStart"/>
      <w:r w:rsidR="005B52D6" w:rsidRPr="003A40F9">
        <w:rPr>
          <w:rFonts w:ascii="Arial" w:hAnsi="Arial" w:cs="Arial"/>
        </w:rPr>
        <w:t>mIU</w:t>
      </w:r>
      <w:proofErr w:type="spellEnd"/>
      <w:r w:rsidR="005B52D6" w:rsidRPr="003A40F9">
        <w:rPr>
          <w:rFonts w:ascii="Arial" w:hAnsi="Arial" w:cs="Arial"/>
        </w:rPr>
        <w:t xml:space="preserve">/mL, 0.2–200 </w:t>
      </w:r>
      <w:proofErr w:type="spellStart"/>
      <w:r w:rsidR="005B52D6" w:rsidRPr="003A40F9">
        <w:rPr>
          <w:rFonts w:ascii="Arial" w:hAnsi="Arial" w:cs="Arial"/>
        </w:rPr>
        <w:t>mIU</w:t>
      </w:r>
      <w:proofErr w:type="spellEnd"/>
      <w:r w:rsidR="005B52D6" w:rsidRPr="003A40F9">
        <w:rPr>
          <w:rFonts w:ascii="Arial" w:hAnsi="Arial" w:cs="Arial"/>
        </w:rPr>
        <w:t xml:space="preserve">/mL, 3.1-4.3%; </w:t>
      </w:r>
      <w:r w:rsidR="005B52D6">
        <w:rPr>
          <w:rFonts w:ascii="Arial" w:hAnsi="Arial" w:cs="Arial"/>
        </w:rPr>
        <w:t xml:space="preserve">SHBG, </w:t>
      </w:r>
      <w:r w:rsidR="003E2C55">
        <w:rPr>
          <w:rFonts w:ascii="Arial" w:hAnsi="Arial" w:cs="Arial"/>
        </w:rPr>
        <w:t xml:space="preserve">0.33 nmol/L, 0.33-200 nmol/L, 4.5–4.8%; DHEAS, 2 ug/dL, 2–1000 ug/dL, 1.6–8.3%. </w:t>
      </w:r>
    </w:p>
    <w:p w14:paraId="117B3F4D" w14:textId="23D5EDE4" w:rsidR="004D475C" w:rsidRDefault="00C24DC6" w:rsidP="00534D99">
      <w:pPr>
        <w:spacing w:after="240" w:line="240" w:lineRule="auto"/>
        <w:rPr>
          <w:rFonts w:ascii="Arial" w:hAnsi="Arial" w:cs="Arial"/>
        </w:rPr>
      </w:pPr>
      <w:r>
        <w:rPr>
          <w:rFonts w:ascii="Arial" w:hAnsi="Arial" w:cs="Arial"/>
        </w:rPr>
        <w:t xml:space="preserve">All 6 hormones were measured in women, and the latter three were measured in men. </w:t>
      </w:r>
      <w:r w:rsidR="008644B9">
        <w:rPr>
          <w:rFonts w:ascii="Arial" w:eastAsia="Arial" w:hAnsi="Arial" w:cs="Arial"/>
        </w:rPr>
        <w:t>Hormone levels were log-transformed and expressed in standard deviations to aid interpretability.</w:t>
      </w:r>
    </w:p>
    <w:p w14:paraId="33E25804" w14:textId="7673ADC3" w:rsidR="00CC3E1B" w:rsidRDefault="007D777C" w:rsidP="00CC3E1B">
      <w:pPr>
        <w:spacing w:after="120" w:line="240" w:lineRule="auto"/>
        <w:rPr>
          <w:rFonts w:ascii="Arial" w:eastAsia="Arial" w:hAnsi="Arial" w:cs="Arial"/>
          <w:b/>
          <w:bCs/>
        </w:rPr>
      </w:pPr>
      <w:r>
        <w:rPr>
          <w:rFonts w:ascii="Arial" w:eastAsia="Arial" w:hAnsi="Arial" w:cs="Arial"/>
          <w:b/>
          <w:bCs/>
        </w:rPr>
        <w:t>Blood proteomics</w:t>
      </w:r>
      <w:r w:rsidR="00CC3E1B">
        <w:rPr>
          <w:rFonts w:ascii="Arial" w:eastAsia="Arial" w:hAnsi="Arial" w:cs="Arial"/>
          <w:b/>
          <w:bCs/>
        </w:rPr>
        <w:t>:</w:t>
      </w:r>
    </w:p>
    <w:p w14:paraId="6151547E" w14:textId="16B05D48" w:rsidR="007D777C" w:rsidRPr="00CC3E1B" w:rsidRDefault="007D777C" w:rsidP="00CC3E1B">
      <w:pPr>
        <w:spacing w:after="240" w:line="240" w:lineRule="auto"/>
        <w:rPr>
          <w:rFonts w:ascii="Arial" w:eastAsia="Arial" w:hAnsi="Arial" w:cs="Arial"/>
          <w:b/>
          <w:bCs/>
        </w:rPr>
      </w:pPr>
      <w:r>
        <w:rPr>
          <w:rFonts w:ascii="Arial" w:eastAsia="Arial" w:hAnsi="Arial" w:cs="Arial"/>
        </w:rPr>
        <w:t>Serum/plasma was analyzed on the NULISAseq CNS panel (~120 proteins) using the automated Alamar Argo HT workflow to generate immunocomplexes tagged with both sample-specific and target-specific DNA barcodes. Samples were pooled into a single library for next-generation DNA sequencing. Protein concentrations are reported in NULISA Protein Quantification (NPQ) units, which are computed by normalizing the relative concentration of each analyte using internal and inter-plate controls and log</w:t>
      </w:r>
      <w:r>
        <w:rPr>
          <w:rFonts w:ascii="Arial" w:eastAsia="Arial" w:hAnsi="Arial" w:cs="Arial"/>
          <w:vertAlign w:val="subscript"/>
        </w:rPr>
        <w:t>2</w:t>
      </w:r>
      <w:r>
        <w:rPr>
          <w:rFonts w:ascii="Arial" w:eastAsia="Arial" w:hAnsi="Arial" w:cs="Arial"/>
        </w:rPr>
        <w:t xml:space="preserve">-transforming the normalized values. Given that APOE4 protein expression proxies </w:t>
      </w:r>
      <w:r>
        <w:rPr>
          <w:rFonts w:ascii="Arial" w:eastAsia="Arial" w:hAnsi="Arial" w:cs="Arial"/>
          <w:i/>
          <w:iCs/>
        </w:rPr>
        <w:t>APOE4</w:t>
      </w:r>
      <w:r>
        <w:rPr>
          <w:rFonts w:ascii="Arial" w:eastAsia="Arial" w:hAnsi="Arial" w:cs="Arial"/>
        </w:rPr>
        <w:t xml:space="preserve"> genotype (bimodal distribution), we excluded APOE4 from proteomics analyses.</w:t>
      </w:r>
      <w:r w:rsidR="00266CE8" w:rsidRPr="00266CE8">
        <w:rPr>
          <w:rFonts w:ascii="Arial" w:eastAsia="Arial" w:hAnsi="Arial" w:cs="Arial"/>
        </w:rPr>
        <w:t xml:space="preserve"> </w:t>
      </w:r>
      <w:r w:rsidR="00266CE8">
        <w:rPr>
          <w:rFonts w:ascii="Arial" w:eastAsia="Arial" w:hAnsi="Arial" w:cs="Arial"/>
        </w:rPr>
        <w:t xml:space="preserve">Protein concentrations were </w:t>
      </w:r>
      <w:proofErr w:type="spellStart"/>
      <w:r w:rsidR="00266CE8">
        <w:rPr>
          <w:rFonts w:ascii="Arial" w:eastAsia="Arial" w:hAnsi="Arial" w:cs="Arial"/>
        </w:rPr>
        <w:t>winsorized</w:t>
      </w:r>
      <w:proofErr w:type="spellEnd"/>
      <w:r w:rsidR="00266CE8">
        <w:rPr>
          <w:rFonts w:ascii="Arial" w:eastAsia="Arial" w:hAnsi="Arial" w:cs="Arial"/>
        </w:rPr>
        <w:t xml:space="preserve"> at the three-interquartile limit.</w:t>
      </w:r>
    </w:p>
    <w:p w14:paraId="06BCB11A" w14:textId="448270BC" w:rsidR="004D475C" w:rsidRPr="003A40F9" w:rsidRDefault="004D475C" w:rsidP="00534D99">
      <w:pPr>
        <w:spacing w:after="120" w:line="240" w:lineRule="auto"/>
        <w:rPr>
          <w:rFonts w:ascii="Arial" w:hAnsi="Arial" w:cs="Arial"/>
          <w:b/>
          <w:bCs/>
        </w:rPr>
      </w:pPr>
      <w:r>
        <w:rPr>
          <w:rFonts w:ascii="Arial" w:hAnsi="Arial" w:cs="Arial"/>
          <w:b/>
          <w:bCs/>
        </w:rPr>
        <w:t>Determining amyloid positivity in UCSF BrANCH (aging cohort 2)</w:t>
      </w:r>
      <w:r w:rsidRPr="003A40F9">
        <w:rPr>
          <w:rFonts w:ascii="Arial" w:hAnsi="Arial" w:cs="Arial"/>
          <w:b/>
          <w:bCs/>
        </w:rPr>
        <w:t xml:space="preserve">: </w:t>
      </w:r>
    </w:p>
    <w:p w14:paraId="4492A06C" w14:textId="7F5F6F71" w:rsidR="00A21BF7" w:rsidRDefault="004D475C" w:rsidP="00534D99">
      <w:pPr>
        <w:spacing w:after="240" w:line="240" w:lineRule="auto"/>
        <w:rPr>
          <w:rFonts w:ascii="Arial" w:eastAsia="Arial" w:hAnsi="Arial" w:cs="Arial"/>
          <w:color w:val="1F1F1F"/>
          <w:highlight w:val="white"/>
        </w:rPr>
      </w:pPr>
      <w:r>
        <w:rPr>
          <w:rFonts w:ascii="Arial" w:eastAsia="Arial" w:hAnsi="Arial" w:cs="Arial"/>
        </w:rPr>
        <w:t>Plasma p-tau181/</w:t>
      </w:r>
      <w:r>
        <w:rPr>
          <w:rFonts w:ascii="Arial" w:eastAsia="Arial" w:hAnsi="Arial" w:cs="Arial"/>
          <w:color w:val="000000"/>
        </w:rPr>
        <w:t>A</w:t>
      </w:r>
      <w:r>
        <w:rPr>
          <w:rFonts w:ascii="Arial" w:eastAsia="Arial" w:hAnsi="Arial" w:cs="Arial"/>
          <w:color w:val="1F1F1F"/>
          <w:highlight w:val="white"/>
        </w:rPr>
        <w:t xml:space="preserve">β42 was assayed on </w:t>
      </w:r>
      <w:proofErr w:type="spellStart"/>
      <w:r>
        <w:rPr>
          <w:rFonts w:ascii="Arial" w:eastAsia="Arial" w:hAnsi="Arial" w:cs="Arial"/>
          <w:color w:val="1F1F1F"/>
          <w:highlight w:val="white"/>
        </w:rPr>
        <w:t>Simoa</w:t>
      </w:r>
      <w:proofErr w:type="spellEnd"/>
      <w:r>
        <w:rPr>
          <w:rFonts w:ascii="Arial" w:eastAsia="Arial" w:hAnsi="Arial" w:cs="Arial"/>
          <w:color w:val="1F1F1F"/>
          <w:highlight w:val="white"/>
        </w:rPr>
        <w:t xml:space="preserve"> (</w:t>
      </w:r>
      <w:proofErr w:type="spellStart"/>
      <w:r>
        <w:rPr>
          <w:rFonts w:ascii="Arial" w:eastAsia="Arial" w:hAnsi="Arial" w:cs="Arial"/>
          <w:color w:val="1F1F1F"/>
          <w:highlight w:val="white"/>
        </w:rPr>
        <w:t>Quanterix</w:t>
      </w:r>
      <w:proofErr w:type="spellEnd"/>
      <w:r>
        <w:rPr>
          <w:rFonts w:ascii="Arial" w:eastAsia="Arial" w:hAnsi="Arial" w:cs="Arial"/>
          <w:color w:val="1F1F1F"/>
          <w:highlight w:val="white"/>
        </w:rPr>
        <w:t>) across three batches in the broader BrANCH cohort (</w:t>
      </w:r>
      <w:r>
        <w:rPr>
          <w:rFonts w:ascii="Arial" w:eastAsia="Arial" w:hAnsi="Arial" w:cs="Arial"/>
          <w:color w:val="1D1C1D"/>
          <w:highlight w:val="white"/>
        </w:rPr>
        <w:t xml:space="preserve">1,266 samples across </w:t>
      </w:r>
      <w:r>
        <w:rPr>
          <w:rFonts w:ascii="Arial" w:eastAsia="Arial" w:hAnsi="Arial" w:cs="Arial"/>
          <w:i/>
          <w:iCs/>
          <w:color w:val="1D1C1D"/>
          <w:highlight w:val="white"/>
        </w:rPr>
        <w:t>N</w:t>
      </w:r>
      <w:r>
        <w:rPr>
          <w:rFonts w:ascii="Arial" w:eastAsia="Arial" w:hAnsi="Arial" w:cs="Arial"/>
          <w:color w:val="1D1C1D"/>
          <w:highlight w:val="white"/>
        </w:rPr>
        <w:t>=664 participants).</w:t>
      </w:r>
      <w:r>
        <w:rPr>
          <w:rFonts w:ascii="Arial" w:eastAsia="Arial" w:hAnsi="Arial" w:cs="Arial"/>
        </w:rPr>
        <w:t xml:space="preserve"> Batch effects were quantified via linear regression on samples shared across batches, with model estimates subsequently applied to all samples to align cross-batch values on the same scale</w:t>
      </w:r>
      <w:r>
        <w:rPr>
          <w:rFonts w:ascii="Arial" w:eastAsia="Arial" w:hAnsi="Arial" w:cs="Arial"/>
          <w:color w:val="1F1F1F"/>
          <w:highlight w:val="white"/>
        </w:rPr>
        <w:t xml:space="preserve">. Amyloid positivity was determined using a sample-specific, batch-harmonized </w:t>
      </w:r>
      <w:r>
        <w:rPr>
          <w:rFonts w:ascii="Arial" w:eastAsia="Arial" w:hAnsi="Arial" w:cs="Arial"/>
        </w:rPr>
        <w:t>p-tau181/</w:t>
      </w:r>
      <w:r>
        <w:rPr>
          <w:rFonts w:ascii="Arial" w:eastAsia="Arial" w:hAnsi="Arial" w:cs="Arial"/>
          <w:color w:val="000000"/>
        </w:rPr>
        <w:t>A</w:t>
      </w:r>
      <w:r>
        <w:rPr>
          <w:rFonts w:ascii="Arial" w:eastAsia="Arial" w:hAnsi="Arial" w:cs="Arial"/>
          <w:color w:val="1F1F1F"/>
          <w:highlight w:val="white"/>
        </w:rPr>
        <w:t xml:space="preserve">β42 threshold that optimized classification of visually read </w:t>
      </w:r>
      <w:r>
        <w:rPr>
          <w:rFonts w:ascii="Arial" w:eastAsia="Arial" w:hAnsi="Arial" w:cs="Arial"/>
          <w:color w:val="000000"/>
        </w:rPr>
        <w:t>A</w:t>
      </w:r>
      <w:r>
        <w:rPr>
          <w:rFonts w:ascii="Arial" w:eastAsia="Arial" w:hAnsi="Arial" w:cs="Arial"/>
          <w:color w:val="1F1F1F"/>
          <w:highlight w:val="white"/>
        </w:rPr>
        <w:t>β-PET 18F-AV45 positivity in the broader BrANCH cohort (</w:t>
      </w:r>
      <w:r>
        <w:rPr>
          <w:rFonts w:ascii="Arial" w:eastAsia="Arial" w:hAnsi="Arial" w:cs="Arial"/>
          <w:color w:val="1B1B1B"/>
          <w:highlight w:val="white"/>
        </w:rPr>
        <w:t>AUC</w:t>
      </w:r>
      <w:r>
        <w:rPr>
          <w:rFonts w:ascii="Arial" w:eastAsia="Arial" w:hAnsi="Arial" w:cs="Arial"/>
          <w:color w:val="1F1F1F"/>
          <w:highlight w:val="white"/>
        </w:rPr>
        <w:t>=0.88).</w:t>
      </w:r>
    </w:p>
    <w:p w14:paraId="38C369BE" w14:textId="77777777" w:rsidR="00D01E31" w:rsidRDefault="00D01E31" w:rsidP="00534D99">
      <w:pPr>
        <w:spacing w:after="240" w:line="240" w:lineRule="auto"/>
        <w:rPr>
          <w:rFonts w:ascii="Arial" w:eastAsia="Arial" w:hAnsi="Arial" w:cs="Arial"/>
          <w:color w:val="1F1F1F"/>
          <w:highlight w:val="white"/>
        </w:rPr>
      </w:pPr>
    </w:p>
    <w:p w14:paraId="5FA5B449" w14:textId="111E927B" w:rsidR="00C24DC6" w:rsidRPr="00C24DC6" w:rsidRDefault="00C24DC6" w:rsidP="00C24DC6">
      <w:pPr>
        <w:spacing w:after="120" w:line="240" w:lineRule="auto"/>
        <w:rPr>
          <w:rFonts w:ascii="Arial" w:hAnsi="Arial" w:cs="Arial"/>
          <w:b/>
          <w:bCs/>
        </w:rPr>
      </w:pPr>
      <w:r>
        <w:rPr>
          <w:rFonts w:ascii="Arial" w:hAnsi="Arial" w:cs="Arial"/>
          <w:b/>
          <w:bCs/>
        </w:rPr>
        <w:lastRenderedPageBreak/>
        <w:t>AD biomarkers in WRAP (aging cohort 1)</w:t>
      </w:r>
      <w:r w:rsidRPr="003A40F9">
        <w:rPr>
          <w:rFonts w:ascii="Arial" w:hAnsi="Arial" w:cs="Arial"/>
          <w:b/>
          <w:bCs/>
        </w:rPr>
        <w:t xml:space="preserve">: </w:t>
      </w:r>
    </w:p>
    <w:p w14:paraId="36C0AD7A" w14:textId="5A894840" w:rsidR="008644B9" w:rsidRPr="00534D99" w:rsidRDefault="008644B9" w:rsidP="00534D99">
      <w:pPr>
        <w:spacing w:after="240" w:line="240" w:lineRule="auto"/>
        <w:rPr>
          <w:rFonts w:ascii="Arial" w:eastAsia="Arial" w:hAnsi="Arial" w:cs="Arial"/>
          <w:color w:val="1F1F1F"/>
          <w:highlight w:val="white"/>
        </w:rPr>
      </w:pPr>
      <w:r w:rsidRPr="002164E6">
        <w:rPr>
          <w:rFonts w:ascii="Arial" w:eastAsia="Arial" w:hAnsi="Arial" w:cs="Arial"/>
          <w:color w:val="000000" w:themeColor="text1"/>
        </w:rPr>
        <w:t>Plasma p-tau217/A</w:t>
      </w:r>
      <w:r w:rsidRPr="002164E6">
        <w:rPr>
          <w:rFonts w:ascii="Arial" w:eastAsia="Arial" w:hAnsi="Arial" w:cs="Arial"/>
          <w:color w:val="000000" w:themeColor="text1"/>
          <w:highlight w:val="white"/>
        </w:rPr>
        <w:t xml:space="preserve">β42 was measured on the </w:t>
      </w:r>
      <w:proofErr w:type="spellStart"/>
      <w:r w:rsidRPr="002164E6">
        <w:rPr>
          <w:rFonts w:ascii="Arial" w:eastAsia="Arial" w:hAnsi="Arial" w:cs="Arial"/>
          <w:color w:val="000000" w:themeColor="text1"/>
          <w:highlight w:val="white"/>
        </w:rPr>
        <w:t>Lumipulse</w:t>
      </w:r>
      <w:proofErr w:type="spellEnd"/>
      <w:r w:rsidRPr="002164E6">
        <w:rPr>
          <w:rFonts w:ascii="Arial" w:eastAsia="Arial" w:hAnsi="Arial" w:cs="Arial"/>
          <w:color w:val="000000" w:themeColor="text1"/>
          <w:highlight w:val="white"/>
        </w:rPr>
        <w:t xml:space="preserve"> G System (Fujirebio) at </w:t>
      </w:r>
      <w:r>
        <w:rPr>
          <w:rFonts w:ascii="Arial" w:eastAsia="Roboto" w:hAnsi="Arial" w:cs="Arial"/>
          <w:color w:val="000000" w:themeColor="text1"/>
          <w:highlight w:val="white"/>
        </w:rPr>
        <w:t>t</w:t>
      </w:r>
      <w:r w:rsidRPr="002164E6">
        <w:rPr>
          <w:rFonts w:ascii="Arial" w:eastAsia="Roboto" w:hAnsi="Arial" w:cs="Arial"/>
          <w:color w:val="000000" w:themeColor="text1"/>
          <w:highlight w:val="white"/>
        </w:rPr>
        <w:t xml:space="preserve">he Michael T. </w:t>
      </w:r>
      <w:proofErr w:type="spellStart"/>
      <w:r w:rsidRPr="002164E6">
        <w:rPr>
          <w:rFonts w:ascii="Arial" w:eastAsia="Roboto" w:hAnsi="Arial" w:cs="Arial"/>
          <w:color w:val="000000" w:themeColor="text1"/>
          <w:highlight w:val="white"/>
        </w:rPr>
        <w:t>Zuendel</w:t>
      </w:r>
      <w:proofErr w:type="spellEnd"/>
      <w:r w:rsidRPr="002164E6">
        <w:rPr>
          <w:rFonts w:ascii="Arial" w:eastAsia="Roboto" w:hAnsi="Arial" w:cs="Arial"/>
          <w:color w:val="000000" w:themeColor="text1"/>
          <w:highlight w:val="white"/>
        </w:rPr>
        <w:t xml:space="preserve"> Biomarker Laboratory at Banner Sun Health Research Institute</w:t>
      </w:r>
      <w:r w:rsidRPr="002164E6">
        <w:rPr>
          <w:rFonts w:ascii="Arial" w:eastAsia="Arial" w:hAnsi="Arial" w:cs="Arial"/>
          <w:color w:val="000000" w:themeColor="text1"/>
          <w:highlight w:val="white"/>
        </w:rPr>
        <w:t>.</w:t>
      </w:r>
    </w:p>
    <w:p w14:paraId="57C6E72F" w14:textId="39C769C0" w:rsidR="00534D99" w:rsidRPr="003A40F9" w:rsidRDefault="00534D99" w:rsidP="00534D99">
      <w:pPr>
        <w:spacing w:after="120" w:line="240" w:lineRule="auto"/>
        <w:rPr>
          <w:rFonts w:ascii="Arial" w:hAnsi="Arial" w:cs="Arial"/>
          <w:b/>
          <w:bCs/>
        </w:rPr>
      </w:pPr>
      <w:r>
        <w:rPr>
          <w:rFonts w:ascii="Arial" w:hAnsi="Arial" w:cs="Arial"/>
          <w:b/>
          <w:bCs/>
        </w:rPr>
        <w:t>Cognitive composite scores in aging cohorts</w:t>
      </w:r>
      <w:r w:rsidRPr="003A40F9">
        <w:rPr>
          <w:rFonts w:ascii="Arial" w:hAnsi="Arial" w:cs="Arial"/>
          <w:b/>
          <w:bCs/>
        </w:rPr>
        <w:t xml:space="preserve">: </w:t>
      </w:r>
    </w:p>
    <w:p w14:paraId="09CD91BB" w14:textId="436CF930" w:rsidR="00534D99" w:rsidRDefault="00587A76" w:rsidP="00534D99">
      <w:pPr>
        <w:spacing w:after="120" w:line="240" w:lineRule="auto"/>
        <w:rPr>
          <w:rFonts w:ascii="Arial" w:hAnsi="Arial" w:cs="Arial"/>
        </w:rPr>
      </w:pPr>
      <w:r w:rsidRPr="00534D99">
        <w:rPr>
          <w:rFonts w:ascii="Arial" w:hAnsi="Arial" w:cs="Arial"/>
          <w:b/>
          <w:bCs/>
        </w:rPr>
        <w:t>WRA</w:t>
      </w:r>
      <w:r w:rsidR="00534D99" w:rsidRPr="00534D99">
        <w:rPr>
          <w:rFonts w:ascii="Arial" w:hAnsi="Arial" w:cs="Arial"/>
          <w:b/>
          <w:bCs/>
        </w:rPr>
        <w:t>P</w:t>
      </w:r>
      <w:r w:rsidR="00534D99">
        <w:rPr>
          <w:rFonts w:ascii="Arial" w:hAnsi="Arial" w:cs="Arial"/>
          <w:b/>
          <w:bCs/>
        </w:rPr>
        <w:t xml:space="preserve"> (aging cohort 1)</w:t>
      </w:r>
      <w:r w:rsidR="00534D99" w:rsidRPr="00534D99">
        <w:rPr>
          <w:rFonts w:ascii="Arial" w:hAnsi="Arial" w:cs="Arial"/>
          <w:b/>
          <w:bCs/>
        </w:rPr>
        <w:t>:</w:t>
      </w:r>
      <w:r w:rsidR="00534D99">
        <w:rPr>
          <w:rFonts w:ascii="Arial" w:hAnsi="Arial" w:cs="Arial"/>
        </w:rPr>
        <w:t xml:space="preserve"> </w:t>
      </w:r>
      <w:r>
        <w:rPr>
          <w:rFonts w:ascii="Arial" w:eastAsia="Arial" w:hAnsi="Arial" w:cs="Arial"/>
        </w:rPr>
        <w:t>Composite cognitive scores were calculated by averaging sample-based z-scores on tests for memory (Rey Auditory Verbal Learning Test total learning and delayed recall, Logical Memory IA and IIA) and executive function (Trail Making Test Part B, Weschler Adult Intelligence Scale–Digit Symbol Substitution Test, and Animal fluency), respectively</w:t>
      </w:r>
      <w:r w:rsidR="00534D99">
        <w:rPr>
          <w:rFonts w:ascii="Arial" w:hAnsi="Arial" w:cs="Arial"/>
        </w:rPr>
        <w:t>.</w:t>
      </w:r>
    </w:p>
    <w:p w14:paraId="2A9B8EFF" w14:textId="46EEDBED" w:rsidR="00CF0F55" w:rsidRPr="00CC3E1B" w:rsidRDefault="00534D99" w:rsidP="00B71944">
      <w:pPr>
        <w:spacing w:after="240" w:line="240" w:lineRule="auto"/>
        <w:rPr>
          <w:rFonts w:ascii="Arial" w:eastAsia="Arial" w:hAnsi="Arial" w:cs="Arial"/>
        </w:rPr>
      </w:pPr>
      <w:r w:rsidRPr="00534D99">
        <w:rPr>
          <w:rFonts w:ascii="Arial" w:hAnsi="Arial" w:cs="Arial"/>
          <w:b/>
          <w:bCs/>
        </w:rPr>
        <w:t>BrANCH (aging cohort 2):</w:t>
      </w:r>
      <w:r>
        <w:rPr>
          <w:rFonts w:ascii="Arial" w:hAnsi="Arial" w:cs="Arial"/>
        </w:rPr>
        <w:t xml:space="preserve"> </w:t>
      </w:r>
      <w:r w:rsidR="00587A76">
        <w:rPr>
          <w:rFonts w:ascii="Arial" w:eastAsia="Arial" w:hAnsi="Arial" w:cs="Arial"/>
        </w:rPr>
        <w:t xml:space="preserve">Domain-specific cognitive scores were computed by averaging sample-based z-scores for memory (Benson Figure Recall and California Verbal Learning Test II immediate recall, delayed recall, and discrimination index) and executive function (Stroop interference, modified Trail Making Test, phonemic fluency, and Digit Span Backwards). </w:t>
      </w:r>
    </w:p>
    <w:p w14:paraId="67BE81EE" w14:textId="77777777" w:rsidR="00B71944" w:rsidRDefault="00B71944" w:rsidP="00CC3E1B">
      <w:pPr>
        <w:spacing w:after="120" w:line="240" w:lineRule="auto"/>
        <w:rPr>
          <w:rFonts w:ascii="Arial" w:hAnsi="Arial" w:cs="Arial"/>
        </w:rPr>
      </w:pPr>
      <w:r w:rsidRPr="00A3313A">
        <w:rPr>
          <w:rFonts w:ascii="Arial" w:hAnsi="Arial" w:cs="Arial"/>
          <w:b/>
          <w:bCs/>
        </w:rPr>
        <w:t>Cross-cohort, cross-platform validation</w:t>
      </w:r>
      <w:r>
        <w:rPr>
          <w:rFonts w:ascii="Arial" w:hAnsi="Arial" w:cs="Arial"/>
          <w:b/>
          <w:bCs/>
        </w:rPr>
        <w:t xml:space="preserve"> in UK Biobank: </w:t>
      </w:r>
    </w:p>
    <w:p w14:paraId="7FCC0065" w14:textId="4329BA60" w:rsidR="00E858EA" w:rsidRDefault="002A16B7" w:rsidP="00B71944">
      <w:pPr>
        <w:spacing w:line="240" w:lineRule="auto"/>
        <w:rPr>
          <w:rFonts w:ascii="Arial" w:hAnsi="Arial" w:cs="Arial"/>
        </w:rPr>
      </w:pPr>
      <w:r>
        <w:rPr>
          <w:rFonts w:ascii="Arial" w:hAnsi="Arial" w:cs="Arial"/>
        </w:rPr>
        <w:t xml:space="preserve">The UK Biobank </w:t>
      </w:r>
      <w:r w:rsidRPr="00030AE3">
        <w:rPr>
          <w:rFonts w:ascii="Arial" w:hAnsi="Arial" w:cs="Arial"/>
        </w:rPr>
        <w:t xml:space="preserve">is a population-based prospective cohort study with multi-omics and clinical data on approximately 500,000 participants aged 40-69 years. The UKB-PPP consortium generated proximity extension assay (PEA) </w:t>
      </w:r>
      <w:proofErr w:type="spellStart"/>
      <w:r w:rsidRPr="00030AE3">
        <w:rPr>
          <w:rFonts w:ascii="Arial" w:hAnsi="Arial" w:cs="Arial"/>
        </w:rPr>
        <w:t>Olink</w:t>
      </w:r>
      <w:proofErr w:type="spellEnd"/>
      <w:r w:rsidRPr="00030AE3">
        <w:rPr>
          <w:rFonts w:ascii="Arial" w:hAnsi="Arial" w:cs="Arial"/>
        </w:rPr>
        <w:t xml:space="preserve"> plasma proteomics data on </w:t>
      </w:r>
      <w:r w:rsidR="007575F1" w:rsidRPr="00030AE3">
        <w:rPr>
          <w:rFonts w:ascii="Arial" w:hAnsi="Arial" w:cs="Arial"/>
        </w:rPr>
        <w:t>a subset participants</w:t>
      </w:r>
      <w:r w:rsidR="00F002D7">
        <w:rPr>
          <w:rFonts w:ascii="Arial" w:hAnsi="Arial" w:cs="Arial"/>
        </w:rPr>
        <w:t xml:space="preserve">’ </w:t>
      </w:r>
      <w:r w:rsidR="007575F1" w:rsidRPr="00030AE3">
        <w:rPr>
          <w:rFonts w:ascii="Arial" w:hAnsi="Arial" w:cs="Arial"/>
        </w:rPr>
        <w:t>baseline</w:t>
      </w:r>
      <w:r w:rsidR="00F002D7">
        <w:rPr>
          <w:rFonts w:ascii="Arial" w:hAnsi="Arial" w:cs="Arial"/>
        </w:rPr>
        <w:t xml:space="preserve"> samples</w:t>
      </w:r>
      <w:r w:rsidR="007575F1" w:rsidRPr="00030AE3">
        <w:rPr>
          <w:rFonts w:ascii="Arial" w:hAnsi="Arial" w:cs="Arial"/>
        </w:rPr>
        <w:t>, resulting in up to 2,923 protein measurements from 52,995 participants in the post-UKB-PPP quality control dataset</w:t>
      </w:r>
      <w:r w:rsidR="00E4720B">
        <w:rPr>
          <w:rFonts w:ascii="Arial" w:hAnsi="Arial" w:cs="Arial"/>
        </w:rPr>
        <w:t xml:space="preserve">. </w:t>
      </w:r>
      <w:r w:rsidR="00970B1C" w:rsidRPr="00030AE3">
        <w:rPr>
          <w:rFonts w:ascii="Arial" w:hAnsi="Arial" w:cs="Arial"/>
        </w:rPr>
        <w:t>Of these,</w:t>
      </w:r>
      <w:r w:rsidR="00030AE3">
        <w:rPr>
          <w:rFonts w:ascii="Arial" w:hAnsi="Arial" w:cs="Arial"/>
        </w:rPr>
        <w:t xml:space="preserve"> </w:t>
      </w:r>
      <w:r w:rsidR="00970B1C" w:rsidRPr="00030AE3">
        <w:rPr>
          <w:rFonts w:ascii="Arial" w:hAnsi="Arial" w:cs="Arial"/>
          <w:i/>
          <w:iCs/>
        </w:rPr>
        <w:t>N</w:t>
      </w:r>
      <w:r w:rsidR="00970B1C" w:rsidRPr="00030AE3">
        <w:rPr>
          <w:rFonts w:ascii="Arial" w:hAnsi="Arial" w:cs="Arial"/>
        </w:rPr>
        <w:t>=</w:t>
      </w:r>
      <w:r w:rsidR="00030AE3">
        <w:rPr>
          <w:rFonts w:ascii="Arial" w:hAnsi="Arial" w:cs="Arial"/>
        </w:rPr>
        <w:t>17,487 female participants reported being postmenopausal</w:t>
      </w:r>
      <w:r w:rsidR="007A3846">
        <w:rPr>
          <w:rFonts w:ascii="Arial" w:hAnsi="Arial" w:cs="Arial"/>
        </w:rPr>
        <w:t xml:space="preserve"> at baseline</w:t>
      </w:r>
      <w:r w:rsidR="00030AE3" w:rsidRPr="00030AE3">
        <w:rPr>
          <w:rFonts w:ascii="Arial" w:hAnsi="Arial" w:cs="Arial"/>
        </w:rPr>
        <w:t xml:space="preserve"> </w:t>
      </w:r>
      <w:r w:rsidR="007A3846">
        <w:rPr>
          <w:rFonts w:ascii="Arial" w:hAnsi="Arial" w:cs="Arial"/>
        </w:rPr>
        <w:t xml:space="preserve">(answered “yes” to </w:t>
      </w:r>
      <w:r w:rsidR="00030AE3" w:rsidRPr="00030AE3">
        <w:rPr>
          <w:rFonts w:ascii="Arial" w:hAnsi="Arial" w:cs="Arial"/>
          <w:color w:val="000000"/>
          <w:shd w:val="clear" w:color="auto" w:fill="FFFFFF"/>
        </w:rPr>
        <w:t>"Have you had your menopause (periods stopped)?"</w:t>
      </w:r>
      <w:r w:rsidR="007A3846">
        <w:rPr>
          <w:rFonts w:ascii="Arial" w:hAnsi="Arial" w:cs="Arial"/>
          <w:color w:val="000000"/>
          <w:shd w:val="clear" w:color="auto" w:fill="FFFFFF"/>
        </w:rPr>
        <w:t xml:space="preserve">), and </w:t>
      </w:r>
      <w:r w:rsidR="007A3846" w:rsidRPr="00030AE3">
        <w:rPr>
          <w:rFonts w:ascii="Arial" w:hAnsi="Arial" w:cs="Arial"/>
          <w:i/>
          <w:iCs/>
        </w:rPr>
        <w:t>N</w:t>
      </w:r>
      <w:r w:rsidR="007A3846" w:rsidRPr="00030AE3">
        <w:rPr>
          <w:rFonts w:ascii="Arial" w:hAnsi="Arial" w:cs="Arial"/>
        </w:rPr>
        <w:t>=</w:t>
      </w:r>
      <w:r w:rsidR="007A3846">
        <w:rPr>
          <w:rFonts w:ascii="Arial" w:hAnsi="Arial" w:cs="Arial"/>
        </w:rPr>
        <w:t xml:space="preserve">6,542 female participants reported not being postmenopausal at baseline (answered “no”; </w:t>
      </w:r>
      <w:r w:rsidR="007A3846" w:rsidRPr="00030AE3">
        <w:rPr>
          <w:rFonts w:ascii="Arial" w:hAnsi="Arial" w:cs="Arial"/>
          <w:i/>
          <w:iCs/>
        </w:rPr>
        <w:t>N</w:t>
      </w:r>
      <w:r w:rsidR="007A3846" w:rsidRPr="00030AE3">
        <w:rPr>
          <w:rFonts w:ascii="Arial" w:hAnsi="Arial" w:cs="Arial"/>
        </w:rPr>
        <w:t>=</w:t>
      </w:r>
      <w:r w:rsidR="007A3846">
        <w:rPr>
          <w:rFonts w:ascii="Arial" w:hAnsi="Arial" w:cs="Arial"/>
        </w:rPr>
        <w:t xml:space="preserve">3,272 with hysterectomy and </w:t>
      </w:r>
      <w:r w:rsidR="007A3846" w:rsidRPr="00030AE3">
        <w:rPr>
          <w:rFonts w:ascii="Arial" w:hAnsi="Arial" w:cs="Arial"/>
          <w:i/>
          <w:iCs/>
        </w:rPr>
        <w:t>N</w:t>
      </w:r>
      <w:r w:rsidR="007A3846" w:rsidRPr="00030AE3">
        <w:rPr>
          <w:rFonts w:ascii="Arial" w:hAnsi="Arial" w:cs="Arial"/>
        </w:rPr>
        <w:t>=</w:t>
      </w:r>
      <w:r w:rsidR="007A3846">
        <w:rPr>
          <w:rFonts w:ascii="Arial" w:hAnsi="Arial" w:cs="Arial"/>
        </w:rPr>
        <w:t xml:space="preserve">1,231 not sure/prefer not to answer excluded). </w:t>
      </w:r>
      <w:r w:rsidR="00FF6617">
        <w:rPr>
          <w:rFonts w:ascii="Arial" w:hAnsi="Arial" w:cs="Arial"/>
        </w:rPr>
        <w:t xml:space="preserve">Of the resultant sample of </w:t>
      </w:r>
      <w:r w:rsidR="002F0E95" w:rsidRPr="00215D99">
        <w:rPr>
          <w:rFonts w:ascii="Arial" w:hAnsi="Arial" w:cs="Arial"/>
          <w:i/>
          <w:iCs/>
        </w:rPr>
        <w:t>N</w:t>
      </w:r>
      <w:r w:rsidR="002F0E95">
        <w:rPr>
          <w:rFonts w:ascii="Arial" w:hAnsi="Arial" w:cs="Arial"/>
        </w:rPr>
        <w:t>=24,029 pre- and postmenopausal women, we further restricted to participants who reported no history of bilateral oophorectomy (</w:t>
      </w:r>
      <w:r w:rsidR="002F0E95" w:rsidRPr="00215D99">
        <w:rPr>
          <w:rFonts w:ascii="Arial" w:hAnsi="Arial" w:cs="Arial"/>
          <w:i/>
          <w:iCs/>
        </w:rPr>
        <w:t>N</w:t>
      </w:r>
      <w:r w:rsidR="002F0E95">
        <w:rPr>
          <w:rFonts w:ascii="Arial" w:hAnsi="Arial" w:cs="Arial"/>
        </w:rPr>
        <w:t xml:space="preserve">=22,809; </w:t>
      </w:r>
      <w:r w:rsidR="002F0E95" w:rsidRPr="00215D99">
        <w:rPr>
          <w:rFonts w:ascii="Arial" w:hAnsi="Arial" w:cs="Arial"/>
          <w:i/>
          <w:iCs/>
        </w:rPr>
        <w:t>N</w:t>
      </w:r>
      <w:r w:rsidR="002F0E95">
        <w:rPr>
          <w:rFonts w:ascii="Arial" w:hAnsi="Arial" w:cs="Arial"/>
        </w:rPr>
        <w:t>=1,220 excluded), no current use of menopausal hormone therapy (</w:t>
      </w:r>
      <w:r w:rsidR="002F0E95" w:rsidRPr="00215D99">
        <w:rPr>
          <w:rFonts w:ascii="Arial" w:hAnsi="Arial" w:cs="Arial"/>
          <w:i/>
          <w:iCs/>
        </w:rPr>
        <w:t>N</w:t>
      </w:r>
      <w:r w:rsidR="002F0E95">
        <w:rPr>
          <w:rFonts w:ascii="Arial" w:hAnsi="Arial" w:cs="Arial"/>
        </w:rPr>
        <w:t xml:space="preserve">=21,910; </w:t>
      </w:r>
      <w:r w:rsidR="002F0E95" w:rsidRPr="00215D99">
        <w:rPr>
          <w:rFonts w:ascii="Arial" w:hAnsi="Arial" w:cs="Arial"/>
          <w:i/>
          <w:iCs/>
        </w:rPr>
        <w:t>N</w:t>
      </w:r>
      <w:r w:rsidR="002F0E95">
        <w:rPr>
          <w:rFonts w:ascii="Arial" w:hAnsi="Arial" w:cs="Arial"/>
        </w:rPr>
        <w:t xml:space="preserve">=899 excluded); and were aged 45-60 at the time of the </w:t>
      </w:r>
      <w:proofErr w:type="spellStart"/>
      <w:r w:rsidR="002F0E95">
        <w:rPr>
          <w:rFonts w:ascii="Arial" w:hAnsi="Arial" w:cs="Arial"/>
        </w:rPr>
        <w:t>Olink</w:t>
      </w:r>
      <w:proofErr w:type="spellEnd"/>
      <w:r w:rsidR="002F0E95">
        <w:rPr>
          <w:rFonts w:ascii="Arial" w:hAnsi="Arial" w:cs="Arial"/>
        </w:rPr>
        <w:t xml:space="preserve"> blood draw to more closely mirror the UCSB HAS sample </w:t>
      </w:r>
      <w:r w:rsidR="00E4340C">
        <w:rPr>
          <w:rFonts w:ascii="Arial" w:hAnsi="Arial" w:cs="Arial"/>
        </w:rPr>
        <w:t>(</w:t>
      </w:r>
      <w:r w:rsidR="00E4340C" w:rsidRPr="00215D99">
        <w:rPr>
          <w:rFonts w:ascii="Arial" w:hAnsi="Arial" w:cs="Arial"/>
          <w:i/>
          <w:iCs/>
        </w:rPr>
        <w:t>N</w:t>
      </w:r>
      <w:r w:rsidR="00E4340C">
        <w:rPr>
          <w:rFonts w:ascii="Arial" w:hAnsi="Arial" w:cs="Arial"/>
        </w:rPr>
        <w:t>=</w:t>
      </w:r>
      <w:r w:rsidR="0049055A">
        <w:rPr>
          <w:rFonts w:ascii="Arial" w:hAnsi="Arial" w:cs="Arial"/>
        </w:rPr>
        <w:t>10,926</w:t>
      </w:r>
      <w:r w:rsidR="00E858EA">
        <w:rPr>
          <w:rFonts w:ascii="Arial" w:hAnsi="Arial" w:cs="Arial"/>
        </w:rPr>
        <w:t xml:space="preserve"> [</w:t>
      </w:r>
      <w:r w:rsidR="00E858EA" w:rsidRPr="00215D99">
        <w:rPr>
          <w:rFonts w:ascii="Arial" w:hAnsi="Arial" w:cs="Arial"/>
          <w:i/>
          <w:iCs/>
        </w:rPr>
        <w:t>N</w:t>
      </w:r>
      <w:r w:rsidR="00E858EA">
        <w:rPr>
          <w:rFonts w:ascii="Arial" w:hAnsi="Arial" w:cs="Arial"/>
        </w:rPr>
        <w:t xml:space="preserve">=3,789 premenopausal, </w:t>
      </w:r>
      <w:r w:rsidR="00E858EA" w:rsidRPr="00215D99">
        <w:rPr>
          <w:rFonts w:ascii="Arial" w:hAnsi="Arial" w:cs="Arial"/>
          <w:i/>
          <w:iCs/>
        </w:rPr>
        <w:t>N</w:t>
      </w:r>
      <w:r w:rsidR="00E858EA">
        <w:rPr>
          <w:rFonts w:ascii="Arial" w:hAnsi="Arial" w:cs="Arial"/>
        </w:rPr>
        <w:t>=7,137 postmenopausal]</w:t>
      </w:r>
      <w:r w:rsidR="00E4340C">
        <w:rPr>
          <w:rFonts w:ascii="Arial" w:hAnsi="Arial" w:cs="Arial"/>
        </w:rPr>
        <w:t xml:space="preserve">; </w:t>
      </w:r>
      <w:r w:rsidR="00E4340C" w:rsidRPr="00215D99">
        <w:rPr>
          <w:rFonts w:ascii="Arial" w:hAnsi="Arial" w:cs="Arial"/>
          <w:i/>
          <w:iCs/>
        </w:rPr>
        <w:t>N</w:t>
      </w:r>
      <w:r w:rsidR="00E4340C">
        <w:rPr>
          <w:rFonts w:ascii="Arial" w:hAnsi="Arial" w:cs="Arial"/>
        </w:rPr>
        <w:t>=</w:t>
      </w:r>
      <w:r w:rsidR="0049055A">
        <w:rPr>
          <w:rFonts w:ascii="Arial" w:hAnsi="Arial" w:cs="Arial"/>
        </w:rPr>
        <w:t>10,984</w:t>
      </w:r>
      <w:r w:rsidR="00E4340C">
        <w:rPr>
          <w:rFonts w:ascii="Arial" w:hAnsi="Arial" w:cs="Arial"/>
        </w:rPr>
        <w:t xml:space="preserve"> excluded</w:t>
      </w:r>
      <w:r w:rsidR="00E858EA">
        <w:rPr>
          <w:rFonts w:ascii="Arial" w:hAnsi="Arial" w:cs="Arial"/>
        </w:rPr>
        <w:t xml:space="preserve">). </w:t>
      </w:r>
    </w:p>
    <w:p w14:paraId="5714C96C" w14:textId="4E30E037" w:rsidR="00D34810" w:rsidRDefault="00C2218D" w:rsidP="00F002D7">
      <w:pPr>
        <w:spacing w:after="240" w:line="240" w:lineRule="auto"/>
        <w:rPr>
          <w:rFonts w:ascii="Arial" w:hAnsi="Arial" w:cs="Arial"/>
        </w:rPr>
      </w:pPr>
      <w:r>
        <w:rPr>
          <w:rFonts w:ascii="Arial" w:hAnsi="Arial" w:cs="Arial"/>
        </w:rPr>
        <w:t>To mitigate the confound between age and menopause status, we created age-matched samples of pre- and postmenopausal women (R “</w:t>
      </w:r>
      <w:proofErr w:type="spellStart"/>
      <w:r>
        <w:rPr>
          <w:rFonts w:ascii="Arial" w:hAnsi="Arial" w:cs="Arial"/>
        </w:rPr>
        <w:t>MatchIt</w:t>
      </w:r>
      <w:proofErr w:type="spellEnd"/>
      <w:r>
        <w:rPr>
          <w:rFonts w:ascii="Arial" w:hAnsi="Arial" w:cs="Arial"/>
        </w:rPr>
        <w:t xml:space="preserve">” package). </w:t>
      </w:r>
      <w:r w:rsidR="001E4F85">
        <w:rPr>
          <w:rFonts w:ascii="Arial" w:hAnsi="Arial" w:cs="Arial"/>
        </w:rPr>
        <w:t xml:space="preserve">Pre- and postmenopausal women were matched with a 1:1 ratio using nearest-neighbour matching without replacement and a 0.05 </w:t>
      </w:r>
      <w:r w:rsidR="001E4F85" w:rsidRPr="001E4F85">
        <w:rPr>
          <w:rFonts w:ascii="Arial" w:hAnsi="Arial" w:cs="Arial"/>
          <w:i/>
          <w:iCs/>
        </w:rPr>
        <w:t>SD</w:t>
      </w:r>
      <w:r w:rsidR="001E4F85">
        <w:rPr>
          <w:rFonts w:ascii="Arial" w:hAnsi="Arial" w:cs="Arial"/>
        </w:rPr>
        <w:t xml:space="preserve"> caliper. This resulted in a sample of N=1,407 premenopausal women and N=1,407 postmenopausal women who were nearly exactly matched on age (</w:t>
      </w:r>
      <w:r w:rsidR="001E4F85" w:rsidRPr="00E4720B">
        <w:rPr>
          <w:rFonts w:ascii="Arial" w:hAnsi="Arial" w:cs="Arial"/>
        </w:rPr>
        <w:t>Figure 6A,</w:t>
      </w:r>
      <w:r w:rsidR="001E4F85">
        <w:rPr>
          <w:rFonts w:ascii="Arial" w:hAnsi="Arial" w:cs="Arial"/>
        </w:rPr>
        <w:t xml:space="preserve"> </w:t>
      </w:r>
      <w:r w:rsidR="0050472C">
        <w:rPr>
          <w:rFonts w:ascii="Arial" w:hAnsi="Arial" w:cs="Arial"/>
        </w:rPr>
        <w:t>Table S</w:t>
      </w:r>
      <w:r w:rsidR="000205C8">
        <w:rPr>
          <w:rFonts w:ascii="Arial" w:hAnsi="Arial" w:cs="Arial"/>
        </w:rPr>
        <w:t>10</w:t>
      </w:r>
      <w:r w:rsidR="0050472C">
        <w:rPr>
          <w:rFonts w:ascii="Arial" w:hAnsi="Arial" w:cs="Arial"/>
        </w:rPr>
        <w:t>)</w:t>
      </w:r>
      <w:r w:rsidR="00215D99">
        <w:rPr>
          <w:rFonts w:ascii="Arial" w:hAnsi="Arial" w:cs="Arial"/>
        </w:rPr>
        <w:t xml:space="preserve">, which was used for all downstream proteomics analyses. </w:t>
      </w:r>
    </w:p>
    <w:p w14:paraId="5B3C6C0E" w14:textId="5C762F9A" w:rsidR="007D777C" w:rsidRDefault="007D777C" w:rsidP="00F002D7">
      <w:pPr>
        <w:spacing w:after="120" w:line="240" w:lineRule="auto"/>
        <w:rPr>
          <w:rFonts w:ascii="Arial" w:hAnsi="Arial" w:cs="Arial"/>
        </w:rPr>
      </w:pPr>
      <w:r>
        <w:rPr>
          <w:rFonts w:ascii="Arial" w:hAnsi="Arial" w:cs="Arial"/>
          <w:b/>
          <w:bCs/>
        </w:rPr>
        <w:t xml:space="preserve">PC1 in aging cohorts: </w:t>
      </w:r>
    </w:p>
    <w:p w14:paraId="04004FF5" w14:textId="77777777" w:rsidR="007D777C" w:rsidRDefault="007D777C" w:rsidP="00E1079C">
      <w:pPr>
        <w:spacing w:after="240" w:line="240" w:lineRule="auto"/>
        <w:rPr>
          <w:rFonts w:ascii="Arial" w:eastAsia="Arial" w:hAnsi="Arial" w:cs="Arial"/>
          <w:color w:val="1F1F1F"/>
          <w:highlight w:val="white"/>
        </w:rPr>
      </w:pPr>
      <w:r>
        <w:rPr>
          <w:rFonts w:ascii="Arial" w:eastAsia="Arial" w:hAnsi="Arial" w:cs="Arial"/>
          <w:color w:val="1F1F1F"/>
          <w:highlight w:val="white"/>
        </w:rPr>
        <w:t xml:space="preserve">Because one protein (BDNF) in the original score was not included in the NULISA assays performed in WRAP, we recomputed PC1 in the spontaneous menopause cohort after removing BDNF and applied these weightings in WRAP. Loadings for the </w:t>
      </w:r>
      <w:r>
        <w:rPr>
          <w:rFonts w:ascii="Arial" w:eastAsia="Arial" w:hAnsi="Arial" w:cs="Arial"/>
          <w:color w:val="1F1F1F"/>
          <w:highlight w:val="white"/>
        </w:rPr>
        <w:lastRenderedPageBreak/>
        <w:t>remaining shared proteins among the two versions were very similar (Figure S1). BrANCH included the full menopause signature score.</w:t>
      </w:r>
    </w:p>
    <w:p w14:paraId="06B507CB" w14:textId="23403B3F" w:rsidR="00EA7D78" w:rsidRDefault="00EA7D78" w:rsidP="00E1079C">
      <w:pPr>
        <w:spacing w:after="120" w:line="240" w:lineRule="auto"/>
        <w:rPr>
          <w:rFonts w:ascii="Arial" w:eastAsia="Arial" w:hAnsi="Arial" w:cs="Arial"/>
          <w:b/>
          <w:bCs/>
        </w:rPr>
      </w:pPr>
      <w:r>
        <w:rPr>
          <w:rFonts w:ascii="Arial" w:eastAsia="Arial" w:hAnsi="Arial" w:cs="Arial"/>
          <w:b/>
          <w:bCs/>
        </w:rPr>
        <w:t xml:space="preserve">Sensitivity </w:t>
      </w:r>
      <w:sdt>
        <w:sdtPr>
          <w:tag w:val="goog_rdk_15"/>
          <w:id w:val="-1406323048"/>
        </w:sdtPr>
        <w:sdtContent/>
      </w:sdt>
      <w:r>
        <w:rPr>
          <w:rFonts w:ascii="Arial" w:eastAsia="Arial" w:hAnsi="Arial" w:cs="Arial"/>
          <w:b/>
          <w:bCs/>
        </w:rPr>
        <w:t>analyses</w:t>
      </w:r>
      <w:r w:rsidR="00C24DC6">
        <w:rPr>
          <w:rFonts w:ascii="Arial" w:eastAsia="Arial" w:hAnsi="Arial" w:cs="Arial"/>
          <w:b/>
          <w:bCs/>
        </w:rPr>
        <w:t>:</w:t>
      </w:r>
    </w:p>
    <w:p w14:paraId="69F8AABE" w14:textId="1FBBE21B" w:rsidR="00EA7D78" w:rsidRDefault="00EA7D78" w:rsidP="00C24DC6">
      <w:pPr>
        <w:spacing w:line="240" w:lineRule="auto"/>
        <w:rPr>
          <w:rFonts w:ascii="Arial" w:eastAsia="Arial" w:hAnsi="Arial" w:cs="Arial"/>
        </w:rPr>
      </w:pPr>
      <w:r>
        <w:rPr>
          <w:rFonts w:ascii="Arial" w:eastAsia="Arial" w:hAnsi="Arial" w:cs="Arial"/>
        </w:rPr>
        <w:t xml:space="preserve">To further address the possibility that menopause proteomic differences are driven by chronological (vs. endocrine) aging, we performed sensitivity analyses repeating models in a subsample of participants with a tightly restricted age range (i.e., 47–53; </w:t>
      </w:r>
      <w:r>
        <w:rPr>
          <w:rFonts w:ascii="Arial" w:eastAsia="Arial" w:hAnsi="Arial" w:cs="Arial"/>
          <w:i/>
          <w:iCs/>
        </w:rPr>
        <w:t>N</w:t>
      </w:r>
      <w:r>
        <w:rPr>
          <w:rFonts w:ascii="Arial" w:eastAsia="Arial" w:hAnsi="Arial" w:cs="Arial"/>
        </w:rPr>
        <w:t xml:space="preserve">=54 total; </w:t>
      </w:r>
      <w:r>
        <w:rPr>
          <w:rFonts w:ascii="Arial" w:eastAsia="Arial" w:hAnsi="Arial" w:cs="Arial"/>
          <w:i/>
          <w:iCs/>
        </w:rPr>
        <w:t>N</w:t>
      </w:r>
      <w:r>
        <w:rPr>
          <w:rFonts w:ascii="Arial" w:eastAsia="Arial" w:hAnsi="Arial" w:cs="Arial"/>
        </w:rPr>
        <w:t xml:space="preserve">=17 pre-, </w:t>
      </w:r>
      <w:r>
        <w:rPr>
          <w:rFonts w:ascii="Arial" w:eastAsia="Arial" w:hAnsi="Arial" w:cs="Arial"/>
          <w:i/>
          <w:iCs/>
        </w:rPr>
        <w:t>N</w:t>
      </w:r>
      <w:r>
        <w:rPr>
          <w:rFonts w:ascii="Arial" w:eastAsia="Arial" w:hAnsi="Arial" w:cs="Arial"/>
        </w:rPr>
        <w:t xml:space="preserve">=22 peri-, </w:t>
      </w:r>
      <w:r>
        <w:rPr>
          <w:rFonts w:ascii="Arial" w:eastAsia="Arial" w:hAnsi="Arial" w:cs="Arial"/>
          <w:i/>
          <w:iCs/>
        </w:rPr>
        <w:t>N</w:t>
      </w:r>
      <w:r>
        <w:rPr>
          <w:rFonts w:ascii="Arial" w:eastAsia="Arial" w:hAnsi="Arial" w:cs="Arial"/>
        </w:rPr>
        <w:t>=15 post-menopausal). These analyses yielded very similar findings to the main results (Figure S5, Table S12), suggesting the observed proteomic differences between menopause groups were not substantially confounded by chronological age. In aging cohorts, we performed additional sensitivity analyses re-estimating models after excluding participants who self-reported a history of bilateral oophorectomy (</w:t>
      </w:r>
      <w:r>
        <w:rPr>
          <w:rFonts w:ascii="Arial" w:eastAsia="Arial" w:hAnsi="Arial" w:cs="Arial"/>
          <w:i/>
          <w:iCs/>
        </w:rPr>
        <w:t>N</w:t>
      </w:r>
      <w:r>
        <w:rPr>
          <w:rFonts w:ascii="Arial" w:eastAsia="Arial" w:hAnsi="Arial" w:cs="Arial"/>
        </w:rPr>
        <w:t xml:space="preserve">=3 WRAP, </w:t>
      </w:r>
      <w:r>
        <w:rPr>
          <w:rFonts w:ascii="Arial" w:eastAsia="Arial" w:hAnsi="Arial" w:cs="Arial"/>
          <w:i/>
          <w:iCs/>
        </w:rPr>
        <w:t>N</w:t>
      </w:r>
      <w:r>
        <w:rPr>
          <w:rFonts w:ascii="Arial" w:eastAsia="Arial" w:hAnsi="Arial" w:cs="Arial"/>
        </w:rPr>
        <w:t>=19 BrANCH), which also produced similar findings (Tables S13-16). Additionally, given plasma p-tau is represented as both a predictor of interest (i.e., p-tau231 from PC1) and a marker of AD pathobiology related to a primary outcome (i.e., orthogonal plasma p-tau/</w:t>
      </w:r>
      <w:r>
        <w:rPr>
          <w:rFonts w:ascii="Arial" w:eastAsia="Arial" w:hAnsi="Arial" w:cs="Arial"/>
          <w:color w:val="1F1F1F"/>
          <w:highlight w:val="white"/>
        </w:rPr>
        <w:t xml:space="preserve">Aβ42 ratios), we computed an alternate version of the menopause signature excluding p-tau231 (Figure S1). Analyses yielded a very similar pattern </w:t>
      </w:r>
      <w:r>
        <w:rPr>
          <w:rFonts w:ascii="Arial" w:eastAsia="Arial" w:hAnsi="Arial" w:cs="Arial"/>
          <w:color w:val="1F1F1F"/>
        </w:rPr>
        <w:t xml:space="preserve">of results to the main analyses excluding ptau231, though as expected, effect sizes for </w:t>
      </w:r>
      <w:r>
        <w:rPr>
          <w:rFonts w:ascii="Arial" w:eastAsia="Arial" w:hAnsi="Arial" w:cs="Arial"/>
        </w:rPr>
        <w:t>p-tau/</w:t>
      </w:r>
      <w:r>
        <w:rPr>
          <w:rFonts w:ascii="Arial" w:eastAsia="Arial" w:hAnsi="Arial" w:cs="Arial"/>
          <w:color w:val="1F1F1F"/>
        </w:rPr>
        <w:t>Aβ42 were mildly attenuated (</w:t>
      </w:r>
      <w:r>
        <w:rPr>
          <w:rFonts w:ascii="Arial" w:eastAsia="Arial" w:hAnsi="Arial" w:cs="Arial"/>
        </w:rPr>
        <w:t>Table S17)</w:t>
      </w:r>
      <w:r>
        <w:rPr>
          <w:rFonts w:ascii="Arial" w:eastAsia="Arial" w:hAnsi="Arial" w:cs="Arial"/>
          <w:color w:val="1F1F1F"/>
        </w:rPr>
        <w:t xml:space="preserve">. Finally, in the UKB, we re-ran differential abundance analyses additionally adjusting for factors that systematically differed between pre- and postmenopausal women (i.e., years of education, history of hormone therapy use, current hormonal contraceptive use), which yielded highly consistent findings to the main analyses (Figure S6). </w:t>
      </w:r>
    </w:p>
    <w:p w14:paraId="74F04651" w14:textId="77777777" w:rsidR="00D34810" w:rsidRDefault="00D34810" w:rsidP="00C24DC6">
      <w:pPr>
        <w:spacing w:after="0" w:line="240" w:lineRule="auto"/>
        <w:rPr>
          <w:rFonts w:ascii="Arial" w:hAnsi="Arial" w:cs="Arial"/>
        </w:rPr>
      </w:pPr>
    </w:p>
    <w:p w14:paraId="239E8A98" w14:textId="77777777" w:rsidR="00F002D7" w:rsidRDefault="00F002D7" w:rsidP="00C24DC6">
      <w:pPr>
        <w:spacing w:after="0" w:line="240" w:lineRule="auto"/>
        <w:rPr>
          <w:rFonts w:ascii="Arial" w:hAnsi="Arial" w:cs="Arial"/>
        </w:rPr>
      </w:pPr>
    </w:p>
    <w:p w14:paraId="3990B024" w14:textId="77777777" w:rsidR="00F002D7" w:rsidRDefault="00F002D7" w:rsidP="00F002D7">
      <w:pPr>
        <w:spacing w:after="0" w:line="240" w:lineRule="auto"/>
        <w:rPr>
          <w:rFonts w:ascii="Arial" w:hAnsi="Arial" w:cs="Arial"/>
        </w:rPr>
      </w:pPr>
    </w:p>
    <w:p w14:paraId="2AF5A1DC" w14:textId="77777777" w:rsidR="00E1079C" w:rsidRDefault="00E1079C" w:rsidP="00F002D7">
      <w:pPr>
        <w:spacing w:after="0" w:line="240" w:lineRule="auto"/>
        <w:rPr>
          <w:rFonts w:ascii="Arial" w:hAnsi="Arial" w:cs="Arial"/>
        </w:rPr>
      </w:pPr>
    </w:p>
    <w:p w14:paraId="7523B355" w14:textId="77777777" w:rsidR="00E1079C" w:rsidRDefault="00E1079C" w:rsidP="00F002D7">
      <w:pPr>
        <w:spacing w:after="0" w:line="240" w:lineRule="auto"/>
        <w:rPr>
          <w:rFonts w:ascii="Arial" w:hAnsi="Arial" w:cs="Arial"/>
        </w:rPr>
      </w:pPr>
    </w:p>
    <w:p w14:paraId="27D3FDB9" w14:textId="77777777" w:rsidR="00E1079C" w:rsidRDefault="00E1079C" w:rsidP="00F002D7">
      <w:pPr>
        <w:spacing w:after="0" w:line="240" w:lineRule="auto"/>
        <w:rPr>
          <w:rFonts w:ascii="Arial" w:hAnsi="Arial" w:cs="Arial"/>
        </w:rPr>
      </w:pPr>
    </w:p>
    <w:p w14:paraId="072F3D2D" w14:textId="77777777" w:rsidR="00E1079C" w:rsidRDefault="00E1079C" w:rsidP="00F002D7">
      <w:pPr>
        <w:spacing w:after="0" w:line="240" w:lineRule="auto"/>
        <w:rPr>
          <w:rFonts w:ascii="Arial" w:hAnsi="Arial" w:cs="Arial"/>
        </w:rPr>
      </w:pPr>
    </w:p>
    <w:p w14:paraId="5A7BA9D3" w14:textId="77777777" w:rsidR="00E1079C" w:rsidRDefault="00E1079C" w:rsidP="00F002D7">
      <w:pPr>
        <w:spacing w:after="0" w:line="240" w:lineRule="auto"/>
        <w:rPr>
          <w:rFonts w:ascii="Arial" w:hAnsi="Arial" w:cs="Arial"/>
        </w:rPr>
      </w:pPr>
    </w:p>
    <w:p w14:paraId="0335EDF7" w14:textId="77777777" w:rsidR="00E1079C" w:rsidRDefault="00E1079C" w:rsidP="00F002D7">
      <w:pPr>
        <w:spacing w:after="0" w:line="240" w:lineRule="auto"/>
        <w:rPr>
          <w:rFonts w:ascii="Arial" w:hAnsi="Arial" w:cs="Arial"/>
        </w:rPr>
      </w:pPr>
    </w:p>
    <w:p w14:paraId="055F15C7" w14:textId="77777777" w:rsidR="00E1079C" w:rsidRDefault="00E1079C" w:rsidP="00F002D7">
      <w:pPr>
        <w:spacing w:after="0" w:line="240" w:lineRule="auto"/>
        <w:rPr>
          <w:rFonts w:ascii="Arial" w:hAnsi="Arial" w:cs="Arial"/>
        </w:rPr>
      </w:pPr>
    </w:p>
    <w:p w14:paraId="5E3B4878" w14:textId="77777777" w:rsidR="00E1079C" w:rsidRDefault="00E1079C" w:rsidP="00F002D7">
      <w:pPr>
        <w:spacing w:after="0" w:line="240" w:lineRule="auto"/>
        <w:rPr>
          <w:rFonts w:ascii="Arial" w:hAnsi="Arial" w:cs="Arial"/>
        </w:rPr>
      </w:pPr>
    </w:p>
    <w:p w14:paraId="05821062" w14:textId="77777777" w:rsidR="00E1079C" w:rsidRDefault="00E1079C" w:rsidP="00F002D7">
      <w:pPr>
        <w:spacing w:after="0" w:line="240" w:lineRule="auto"/>
        <w:rPr>
          <w:rFonts w:ascii="Arial" w:hAnsi="Arial" w:cs="Arial"/>
        </w:rPr>
      </w:pPr>
    </w:p>
    <w:p w14:paraId="4D38FCB9" w14:textId="77777777" w:rsidR="00E1079C" w:rsidRDefault="00E1079C" w:rsidP="00F002D7">
      <w:pPr>
        <w:spacing w:after="0" w:line="240" w:lineRule="auto"/>
        <w:rPr>
          <w:rFonts w:ascii="Arial" w:hAnsi="Arial" w:cs="Arial"/>
        </w:rPr>
      </w:pPr>
    </w:p>
    <w:p w14:paraId="3631437D" w14:textId="77777777" w:rsidR="00E1079C" w:rsidRDefault="00E1079C" w:rsidP="00F002D7">
      <w:pPr>
        <w:spacing w:after="0" w:line="240" w:lineRule="auto"/>
        <w:rPr>
          <w:rFonts w:ascii="Arial" w:hAnsi="Arial" w:cs="Arial"/>
        </w:rPr>
      </w:pPr>
    </w:p>
    <w:p w14:paraId="0DFD42FC" w14:textId="77777777" w:rsidR="00E1079C" w:rsidRDefault="00E1079C" w:rsidP="00F002D7">
      <w:pPr>
        <w:spacing w:after="0" w:line="240" w:lineRule="auto"/>
        <w:rPr>
          <w:rFonts w:ascii="Arial" w:hAnsi="Arial" w:cs="Arial"/>
        </w:rPr>
      </w:pPr>
    </w:p>
    <w:p w14:paraId="2FCA8BE5" w14:textId="77777777" w:rsidR="00E1079C" w:rsidRDefault="00E1079C" w:rsidP="00F002D7">
      <w:pPr>
        <w:spacing w:after="0" w:line="240" w:lineRule="auto"/>
        <w:rPr>
          <w:rFonts w:ascii="Arial" w:hAnsi="Arial" w:cs="Arial"/>
        </w:rPr>
      </w:pPr>
    </w:p>
    <w:p w14:paraId="3AF197DA" w14:textId="77777777" w:rsidR="00E1079C" w:rsidRDefault="00E1079C" w:rsidP="00F002D7">
      <w:pPr>
        <w:spacing w:after="0" w:line="240" w:lineRule="auto"/>
        <w:rPr>
          <w:rFonts w:ascii="Arial" w:hAnsi="Arial" w:cs="Arial"/>
        </w:rPr>
      </w:pPr>
    </w:p>
    <w:p w14:paraId="09047082" w14:textId="77777777" w:rsidR="00E1079C" w:rsidRDefault="00E1079C" w:rsidP="00F002D7">
      <w:pPr>
        <w:spacing w:after="0" w:line="240" w:lineRule="auto"/>
        <w:rPr>
          <w:rFonts w:ascii="Arial" w:hAnsi="Arial" w:cs="Arial"/>
        </w:rPr>
      </w:pPr>
    </w:p>
    <w:p w14:paraId="78895652" w14:textId="77777777" w:rsidR="00F002D7" w:rsidRDefault="00F002D7" w:rsidP="00F002D7">
      <w:pPr>
        <w:spacing w:after="0" w:line="240" w:lineRule="auto"/>
        <w:rPr>
          <w:rFonts w:ascii="Arial" w:hAnsi="Arial" w:cs="Arial"/>
        </w:rPr>
      </w:pPr>
    </w:p>
    <w:p w14:paraId="62A859C4" w14:textId="77777777" w:rsidR="00F002D7" w:rsidRDefault="00F002D7" w:rsidP="00F002D7">
      <w:pPr>
        <w:spacing w:after="0" w:line="240" w:lineRule="auto"/>
        <w:rPr>
          <w:rFonts w:ascii="Arial" w:hAnsi="Arial" w:cs="Arial"/>
        </w:rPr>
      </w:pPr>
    </w:p>
    <w:p w14:paraId="66AF574B" w14:textId="77777777" w:rsidR="00F002D7" w:rsidRDefault="00F002D7" w:rsidP="00F002D7">
      <w:pPr>
        <w:spacing w:after="0" w:line="240" w:lineRule="auto"/>
        <w:rPr>
          <w:rFonts w:ascii="Arial" w:hAnsi="Arial" w:cs="Arial"/>
        </w:rPr>
      </w:pPr>
    </w:p>
    <w:p w14:paraId="6BE40037" w14:textId="55A20A98" w:rsidR="00AC3518" w:rsidRDefault="00794BAF" w:rsidP="00900DF2">
      <w:pPr>
        <w:spacing w:after="0"/>
        <w:rPr>
          <w:rFonts w:ascii="Arial" w:hAnsi="Arial" w:cs="Arial"/>
          <w:b/>
          <w:bCs/>
        </w:rPr>
      </w:pPr>
      <w:r w:rsidRPr="000E5AE6">
        <w:rPr>
          <w:rFonts w:ascii="Arial" w:hAnsi="Arial" w:cs="Arial"/>
          <w:b/>
          <w:bCs/>
        </w:rPr>
        <w:lastRenderedPageBreak/>
        <w:t>Figure S</w:t>
      </w:r>
      <w:r w:rsidR="00EB6180">
        <w:rPr>
          <w:rFonts w:ascii="Arial" w:hAnsi="Arial" w:cs="Arial"/>
          <w:b/>
          <w:bCs/>
        </w:rPr>
        <w:t>1</w:t>
      </w:r>
      <w:r w:rsidRPr="000E5AE6">
        <w:rPr>
          <w:rFonts w:ascii="Arial" w:hAnsi="Arial" w:cs="Arial"/>
          <w:b/>
          <w:bCs/>
        </w:rPr>
        <w:t xml:space="preserve">. </w:t>
      </w:r>
      <w:r>
        <w:rPr>
          <w:rFonts w:ascii="Arial" w:hAnsi="Arial" w:cs="Arial"/>
          <w:b/>
          <w:bCs/>
        </w:rPr>
        <w:t xml:space="preserve">Comparison of PC1 </w:t>
      </w:r>
      <w:r w:rsidR="00C93DC8">
        <w:rPr>
          <w:rFonts w:ascii="Arial" w:hAnsi="Arial" w:cs="Arial"/>
          <w:b/>
          <w:bCs/>
        </w:rPr>
        <w:t xml:space="preserve">loadings </w:t>
      </w:r>
      <w:r>
        <w:rPr>
          <w:rFonts w:ascii="Arial" w:hAnsi="Arial" w:cs="Arial"/>
          <w:b/>
          <w:bCs/>
        </w:rPr>
        <w:t>with and without inclusion of BDNF</w:t>
      </w:r>
      <w:r w:rsidR="00593723">
        <w:rPr>
          <w:rFonts w:ascii="Arial" w:hAnsi="Arial" w:cs="Arial"/>
          <w:b/>
          <w:bCs/>
        </w:rPr>
        <w:t xml:space="preserve"> and p-tau231.</w:t>
      </w:r>
    </w:p>
    <w:p w14:paraId="2596AB0F" w14:textId="77777777" w:rsidR="00E1079C" w:rsidRDefault="00E1079C" w:rsidP="00900DF2">
      <w:pPr>
        <w:spacing w:after="0"/>
        <w:rPr>
          <w:rFonts w:ascii="Arial" w:hAnsi="Arial" w:cs="Arial"/>
          <w:b/>
          <w:bCs/>
        </w:rPr>
      </w:pPr>
    </w:p>
    <w:p w14:paraId="6CB6C286" w14:textId="00B2F169" w:rsidR="00C93DC8" w:rsidRDefault="00C93DC8" w:rsidP="00900DF2">
      <w:pPr>
        <w:spacing w:after="0"/>
        <w:rPr>
          <w:rFonts w:ascii="Arial" w:hAnsi="Arial" w:cs="Arial"/>
          <w:b/>
          <w:bCs/>
        </w:rPr>
      </w:pPr>
      <w:r>
        <w:rPr>
          <w:noProof/>
        </w:rPr>
        <w:drawing>
          <wp:inline distT="0" distB="0" distL="0" distR="0" wp14:anchorId="4E17D7ED" wp14:editId="0901B31F">
            <wp:extent cx="2699999" cy="2160000"/>
            <wp:effectExtent l="0" t="0" r="5715" b="0"/>
            <wp:docPr id="6913246" name="Picture 3"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246" name="Picture 3" descr="A graph of a number of numbe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9999" cy="2160000"/>
                    </a:xfrm>
                    <a:prstGeom prst="rect">
                      <a:avLst/>
                    </a:prstGeom>
                  </pic:spPr>
                </pic:pic>
              </a:graphicData>
            </a:graphic>
          </wp:inline>
        </w:drawing>
      </w:r>
      <w:r>
        <w:rPr>
          <w:noProof/>
        </w:rPr>
        <w:drawing>
          <wp:inline distT="0" distB="0" distL="0" distR="0" wp14:anchorId="3E831EA9" wp14:editId="567CB391">
            <wp:extent cx="2430000" cy="2160000"/>
            <wp:effectExtent l="0" t="0" r="0" b="0"/>
            <wp:docPr id="63227534" name="Picture 4" descr="A graph of a number of blue and purpl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7534" name="Picture 4" descr="A graph of a number of blue and purple ba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0000" cy="2160000"/>
                    </a:xfrm>
                    <a:prstGeom prst="rect">
                      <a:avLst/>
                    </a:prstGeom>
                  </pic:spPr>
                </pic:pic>
              </a:graphicData>
            </a:graphic>
          </wp:inline>
        </w:drawing>
      </w:r>
    </w:p>
    <w:p w14:paraId="020319E0" w14:textId="2544D390" w:rsidR="00593723" w:rsidRDefault="00593723" w:rsidP="00900DF2">
      <w:pPr>
        <w:spacing w:after="0"/>
        <w:rPr>
          <w:rFonts w:ascii="Arial" w:hAnsi="Arial" w:cs="Arial"/>
          <w:b/>
          <w:bCs/>
        </w:rPr>
      </w:pPr>
      <w:r>
        <w:rPr>
          <w:rFonts w:ascii="Arial" w:hAnsi="Arial" w:cs="Arial"/>
          <w:b/>
          <w:bCs/>
          <w:noProof/>
        </w:rPr>
        <w:drawing>
          <wp:inline distT="0" distB="0" distL="0" distR="0" wp14:anchorId="38C670E1" wp14:editId="58F1FCD1">
            <wp:extent cx="2430000" cy="2160000"/>
            <wp:effectExtent l="0" t="0" r="0" b="0"/>
            <wp:docPr id="656253624"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53624" name="Picture 1" descr="A graph with numbers and a bar char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0000" cy="2160000"/>
                    </a:xfrm>
                    <a:prstGeom prst="rect">
                      <a:avLst/>
                    </a:prstGeom>
                  </pic:spPr>
                </pic:pic>
              </a:graphicData>
            </a:graphic>
          </wp:inline>
        </w:drawing>
      </w:r>
      <w:r>
        <w:rPr>
          <w:rFonts w:ascii="Arial" w:hAnsi="Arial" w:cs="Arial"/>
          <w:b/>
          <w:bCs/>
        </w:rPr>
        <w:t xml:space="preserve">   </w:t>
      </w:r>
      <w:r>
        <w:rPr>
          <w:rFonts w:ascii="Arial" w:hAnsi="Arial" w:cs="Arial"/>
          <w:b/>
          <w:bCs/>
          <w:noProof/>
        </w:rPr>
        <w:drawing>
          <wp:inline distT="0" distB="0" distL="0" distR="0" wp14:anchorId="54908F43" wp14:editId="7BBB3BCC">
            <wp:extent cx="2430000" cy="2160000"/>
            <wp:effectExtent l="0" t="0" r="0" b="0"/>
            <wp:docPr id="1029850369" name="Picture 2"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50369" name="Picture 2" descr="A graph of a number of numb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0000" cy="2160000"/>
                    </a:xfrm>
                    <a:prstGeom prst="rect">
                      <a:avLst/>
                    </a:prstGeom>
                  </pic:spPr>
                </pic:pic>
              </a:graphicData>
            </a:graphic>
          </wp:inline>
        </w:drawing>
      </w:r>
    </w:p>
    <w:p w14:paraId="4F17FC23" w14:textId="77777777" w:rsidR="00A9664C" w:rsidRDefault="00A9664C" w:rsidP="00A9664C">
      <w:pPr>
        <w:spacing w:after="0"/>
        <w:rPr>
          <w:rFonts w:ascii="Arial" w:hAnsi="Arial" w:cs="Arial"/>
          <w:b/>
          <w:bCs/>
        </w:rPr>
      </w:pPr>
    </w:p>
    <w:p w14:paraId="6630BC3B" w14:textId="0FAE8E4C" w:rsidR="00A9664C" w:rsidRDefault="00A9664C" w:rsidP="00A9664C">
      <w:pPr>
        <w:spacing w:after="0"/>
        <w:rPr>
          <w:rFonts w:ascii="Arial" w:hAnsi="Arial" w:cs="Arial"/>
          <w:b/>
          <w:bCs/>
        </w:rPr>
      </w:pPr>
      <w:r w:rsidRPr="000E5AE6">
        <w:rPr>
          <w:rFonts w:ascii="Arial" w:hAnsi="Arial" w:cs="Arial"/>
          <w:b/>
          <w:bCs/>
        </w:rPr>
        <w:t>Figure S</w:t>
      </w:r>
      <w:r>
        <w:rPr>
          <w:rFonts w:ascii="Arial" w:hAnsi="Arial" w:cs="Arial"/>
          <w:b/>
          <w:bCs/>
        </w:rPr>
        <w:t>2.</w:t>
      </w:r>
      <w:r w:rsidRPr="000E5AE6">
        <w:rPr>
          <w:rFonts w:ascii="Arial" w:hAnsi="Arial" w:cs="Arial"/>
          <w:b/>
          <w:bCs/>
        </w:rPr>
        <w:t xml:space="preserve"> </w:t>
      </w:r>
      <w:r>
        <w:rPr>
          <w:rFonts w:ascii="Arial" w:hAnsi="Arial" w:cs="Arial"/>
          <w:b/>
          <w:bCs/>
        </w:rPr>
        <w:t xml:space="preserve">Variance plot for principal components analysis. </w:t>
      </w:r>
      <w:r w:rsidRPr="000E5AE6">
        <w:rPr>
          <w:rFonts w:ascii="Arial" w:hAnsi="Arial" w:cs="Arial"/>
          <w:b/>
          <w:bCs/>
        </w:rPr>
        <w:t xml:space="preserve"> </w:t>
      </w:r>
    </w:p>
    <w:p w14:paraId="1F616680" w14:textId="77777777" w:rsidR="00A9664C" w:rsidRDefault="00A9664C" w:rsidP="00A9664C">
      <w:pPr>
        <w:spacing w:after="0"/>
        <w:rPr>
          <w:rFonts w:ascii="Arial" w:hAnsi="Arial" w:cs="Arial"/>
          <w:b/>
          <w:bCs/>
        </w:rPr>
      </w:pPr>
      <w:r>
        <w:rPr>
          <w:rFonts w:ascii="Arial" w:hAnsi="Arial" w:cs="Arial"/>
          <w:b/>
          <w:bCs/>
          <w:noProof/>
        </w:rPr>
        <w:drawing>
          <wp:inline distT="0" distB="0" distL="0" distR="0" wp14:anchorId="543FB70C" wp14:editId="2B5E1CDB">
            <wp:extent cx="4249271" cy="2832848"/>
            <wp:effectExtent l="0" t="0" r="5715" b="0"/>
            <wp:docPr id="407928358" name="Picture 1" descr="A graph with a dotted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28358" name="Picture 1" descr="A graph with a dotted line and a li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6935" cy="2837957"/>
                    </a:xfrm>
                    <a:prstGeom prst="rect">
                      <a:avLst/>
                    </a:prstGeom>
                  </pic:spPr>
                </pic:pic>
              </a:graphicData>
            </a:graphic>
          </wp:inline>
        </w:drawing>
      </w:r>
    </w:p>
    <w:p w14:paraId="5E2ED541" w14:textId="69453725" w:rsidR="00A9664C" w:rsidRDefault="00A9664C" w:rsidP="00A9664C">
      <w:pPr>
        <w:spacing w:after="0"/>
        <w:rPr>
          <w:rFonts w:ascii="Arial" w:hAnsi="Arial" w:cs="Arial"/>
          <w:b/>
          <w:bCs/>
        </w:rPr>
      </w:pPr>
      <w:r w:rsidRPr="000E5AE6">
        <w:rPr>
          <w:rFonts w:ascii="Arial" w:hAnsi="Arial" w:cs="Arial"/>
          <w:b/>
          <w:bCs/>
        </w:rPr>
        <w:lastRenderedPageBreak/>
        <w:t>Figure S</w:t>
      </w:r>
      <w:r>
        <w:rPr>
          <w:rFonts w:ascii="Arial" w:hAnsi="Arial" w:cs="Arial"/>
          <w:b/>
          <w:bCs/>
        </w:rPr>
        <w:t>3</w:t>
      </w:r>
      <w:r w:rsidRPr="000E5AE6">
        <w:rPr>
          <w:rFonts w:ascii="Arial" w:hAnsi="Arial" w:cs="Arial"/>
          <w:b/>
          <w:bCs/>
        </w:rPr>
        <w:t xml:space="preserve">. </w:t>
      </w:r>
      <w:r>
        <w:rPr>
          <w:rFonts w:ascii="Arial" w:hAnsi="Arial" w:cs="Arial"/>
          <w:b/>
          <w:bCs/>
        </w:rPr>
        <w:t>Means and standard deviations (SD) of PC1 loadings across 1,000 bootstrapped resampling iterations.</w:t>
      </w:r>
    </w:p>
    <w:p w14:paraId="45B81899" w14:textId="77777777" w:rsidR="00A9664C" w:rsidRDefault="00A9664C" w:rsidP="00A9664C">
      <w:pPr>
        <w:spacing w:after="0"/>
        <w:rPr>
          <w:rFonts w:ascii="Arial" w:hAnsi="Arial" w:cs="Arial"/>
          <w:b/>
          <w:bCs/>
        </w:rPr>
      </w:pPr>
      <w:r w:rsidRPr="0040113B">
        <w:rPr>
          <w:rFonts w:ascii="Arial" w:hAnsi="Arial" w:cs="Arial"/>
          <w:b/>
          <w:bCs/>
          <w:noProof/>
        </w:rPr>
        <w:drawing>
          <wp:inline distT="0" distB="0" distL="0" distR="0" wp14:anchorId="5485BAB3" wp14:editId="29584743">
            <wp:extent cx="3648635" cy="2978548"/>
            <wp:effectExtent l="0" t="0" r="0" b="0"/>
            <wp:docPr id="852976098" name="Picture 1" descr="A graph of loading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76098" name="Picture 1" descr="A graph of loading data&#10;&#10;AI-generated content may be incorrect."/>
                    <pic:cNvPicPr/>
                  </pic:nvPicPr>
                  <pic:blipFill>
                    <a:blip r:embed="rId9"/>
                    <a:stretch>
                      <a:fillRect/>
                    </a:stretch>
                  </pic:blipFill>
                  <pic:spPr>
                    <a:xfrm>
                      <a:off x="0" y="0"/>
                      <a:ext cx="3657765" cy="2986002"/>
                    </a:xfrm>
                    <a:prstGeom prst="rect">
                      <a:avLst/>
                    </a:prstGeom>
                  </pic:spPr>
                </pic:pic>
              </a:graphicData>
            </a:graphic>
          </wp:inline>
        </w:drawing>
      </w:r>
    </w:p>
    <w:p w14:paraId="1DD8F323" w14:textId="77777777" w:rsidR="00D34810" w:rsidRDefault="00D34810" w:rsidP="00D34810">
      <w:pPr>
        <w:spacing w:after="0"/>
        <w:rPr>
          <w:rFonts w:ascii="Arial" w:hAnsi="Arial" w:cs="Arial"/>
          <w:b/>
          <w:bCs/>
        </w:rPr>
      </w:pPr>
    </w:p>
    <w:p w14:paraId="5BEAA254" w14:textId="77777777" w:rsidR="00A9664C" w:rsidRDefault="00A9664C" w:rsidP="00D34810">
      <w:pPr>
        <w:spacing w:after="0"/>
        <w:rPr>
          <w:rFonts w:ascii="Arial" w:hAnsi="Arial" w:cs="Arial"/>
          <w:b/>
          <w:bCs/>
        </w:rPr>
      </w:pPr>
    </w:p>
    <w:p w14:paraId="7FB6B51A" w14:textId="77777777" w:rsidR="00A9664C" w:rsidRDefault="00A9664C" w:rsidP="00D34810">
      <w:pPr>
        <w:spacing w:after="0"/>
        <w:rPr>
          <w:rFonts w:ascii="Arial" w:hAnsi="Arial" w:cs="Arial"/>
          <w:b/>
          <w:bCs/>
        </w:rPr>
      </w:pPr>
    </w:p>
    <w:p w14:paraId="26F4391E" w14:textId="27B23C2C" w:rsidR="00D34810" w:rsidRPr="000E5AE6" w:rsidRDefault="00D34810" w:rsidP="00D34810">
      <w:pPr>
        <w:spacing w:after="0"/>
        <w:rPr>
          <w:rFonts w:ascii="Arial" w:hAnsi="Arial" w:cs="Arial"/>
          <w:b/>
          <w:bCs/>
        </w:rPr>
      </w:pPr>
      <w:r w:rsidRPr="000E5AE6">
        <w:rPr>
          <w:rFonts w:ascii="Arial" w:hAnsi="Arial" w:cs="Arial"/>
          <w:b/>
          <w:bCs/>
        </w:rPr>
        <w:t>Figure S</w:t>
      </w:r>
      <w:r w:rsidR="00A9664C">
        <w:rPr>
          <w:rFonts w:ascii="Arial" w:hAnsi="Arial" w:cs="Arial"/>
          <w:b/>
          <w:bCs/>
        </w:rPr>
        <w:t>4</w:t>
      </w:r>
      <w:r w:rsidRPr="000E5AE6">
        <w:rPr>
          <w:rFonts w:ascii="Arial" w:hAnsi="Arial" w:cs="Arial"/>
          <w:b/>
          <w:bCs/>
        </w:rPr>
        <w:t xml:space="preserve">. Distributions of plasma biomarkers of neurodegeneration by menopause status. </w:t>
      </w:r>
    </w:p>
    <w:p w14:paraId="023FFE9B" w14:textId="77777777" w:rsidR="00D34810" w:rsidRDefault="00D34810" w:rsidP="00D34810">
      <w:pPr>
        <w:spacing w:after="0"/>
        <w:rPr>
          <w:rFonts w:ascii="Arial" w:hAnsi="Arial" w:cs="Arial"/>
        </w:rPr>
      </w:pPr>
    </w:p>
    <w:p w14:paraId="6C173774" w14:textId="77777777" w:rsidR="00D34810" w:rsidRPr="00C561FF" w:rsidRDefault="00D34810" w:rsidP="00D34810">
      <w:pPr>
        <w:spacing w:after="0"/>
        <w:rPr>
          <w:rFonts w:ascii="Arial" w:hAnsi="Arial" w:cs="Arial"/>
        </w:rPr>
      </w:pPr>
      <w:r>
        <w:rPr>
          <w:rFonts w:ascii="Arial" w:hAnsi="Arial" w:cs="Arial"/>
          <w:noProof/>
        </w:rPr>
        <w:drawing>
          <wp:inline distT="0" distB="0" distL="0" distR="0" wp14:anchorId="00B8F657" wp14:editId="52CF18C2">
            <wp:extent cx="5943600" cy="2971800"/>
            <wp:effectExtent l="0" t="0" r="0" b="0"/>
            <wp:docPr id="2043097799" name="Picture 1"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97799" name="Picture 1" descr="A group of graphs with numb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1B7515B" w14:textId="77777777" w:rsidR="00D34810" w:rsidRDefault="00D34810" w:rsidP="00D34810">
      <w:pPr>
        <w:spacing w:after="0"/>
        <w:rPr>
          <w:rFonts w:ascii="Arial" w:hAnsi="Arial" w:cs="Arial"/>
          <w:b/>
          <w:bCs/>
        </w:rPr>
      </w:pPr>
    </w:p>
    <w:p w14:paraId="0A599F51" w14:textId="77777777" w:rsidR="0040113B" w:rsidRDefault="0040113B" w:rsidP="00EB6180">
      <w:pPr>
        <w:spacing w:after="0"/>
        <w:rPr>
          <w:rFonts w:ascii="Arial" w:hAnsi="Arial" w:cs="Arial"/>
          <w:b/>
          <w:bCs/>
        </w:rPr>
      </w:pPr>
    </w:p>
    <w:p w14:paraId="3CB40699" w14:textId="77777777" w:rsidR="00FD66D9" w:rsidRDefault="00AE36ED" w:rsidP="00AE36ED">
      <w:pPr>
        <w:spacing w:after="0"/>
        <w:rPr>
          <w:rFonts w:ascii="Arial" w:hAnsi="Arial" w:cs="Arial"/>
          <w:b/>
          <w:bCs/>
        </w:rPr>
      </w:pPr>
      <w:r w:rsidRPr="000E5AE6">
        <w:rPr>
          <w:rFonts w:ascii="Arial" w:hAnsi="Arial" w:cs="Arial"/>
          <w:b/>
          <w:bCs/>
        </w:rPr>
        <w:lastRenderedPageBreak/>
        <w:t>Figure S</w:t>
      </w:r>
      <w:r w:rsidR="003B0C95">
        <w:rPr>
          <w:rFonts w:ascii="Arial" w:hAnsi="Arial" w:cs="Arial"/>
          <w:b/>
          <w:bCs/>
        </w:rPr>
        <w:t>5</w:t>
      </w:r>
      <w:r>
        <w:rPr>
          <w:rFonts w:ascii="Arial" w:hAnsi="Arial" w:cs="Arial"/>
          <w:b/>
          <w:bCs/>
        </w:rPr>
        <w:t>.</w:t>
      </w:r>
      <w:r w:rsidRPr="000E5AE6">
        <w:rPr>
          <w:rFonts w:ascii="Arial" w:hAnsi="Arial" w:cs="Arial"/>
          <w:b/>
          <w:bCs/>
        </w:rPr>
        <w:t xml:space="preserve"> </w:t>
      </w:r>
      <w:r>
        <w:rPr>
          <w:rFonts w:ascii="Arial" w:hAnsi="Arial" w:cs="Arial"/>
          <w:b/>
          <w:bCs/>
        </w:rPr>
        <w:t xml:space="preserve">Comparison of </w:t>
      </w:r>
      <w:r w:rsidR="00C561FF">
        <w:rPr>
          <w:rFonts w:ascii="Arial" w:hAnsi="Arial" w:cs="Arial"/>
          <w:b/>
          <w:bCs/>
        </w:rPr>
        <w:t xml:space="preserve">log2fold change in protein levels in postmenopausal vs. premenopausal women, in the whole </w:t>
      </w:r>
      <w:r w:rsidR="00CF0F55">
        <w:rPr>
          <w:rFonts w:ascii="Arial" w:hAnsi="Arial" w:cs="Arial"/>
          <w:b/>
          <w:bCs/>
        </w:rPr>
        <w:t xml:space="preserve">UCSB </w:t>
      </w:r>
      <w:r w:rsidR="00C561FF">
        <w:rPr>
          <w:rFonts w:ascii="Arial" w:hAnsi="Arial" w:cs="Arial"/>
          <w:b/>
          <w:bCs/>
        </w:rPr>
        <w:t>analytic sample (x-axis) and an age-restricted subset (age 47-53, y-axis).</w:t>
      </w:r>
    </w:p>
    <w:p w14:paraId="4F0BC8D5" w14:textId="77777777" w:rsidR="00FD66D9" w:rsidRDefault="00FD66D9" w:rsidP="00AE36ED">
      <w:pPr>
        <w:spacing w:after="0"/>
        <w:rPr>
          <w:rFonts w:ascii="Arial" w:hAnsi="Arial" w:cs="Arial"/>
          <w:b/>
          <w:bCs/>
        </w:rPr>
      </w:pPr>
    </w:p>
    <w:p w14:paraId="59661B74" w14:textId="63AE9C6E" w:rsidR="00AE36ED" w:rsidRDefault="00841449" w:rsidP="00AE36ED">
      <w:pPr>
        <w:spacing w:after="0"/>
        <w:rPr>
          <w:rFonts w:ascii="Arial" w:hAnsi="Arial" w:cs="Arial"/>
          <w:b/>
          <w:bCs/>
        </w:rPr>
      </w:pPr>
      <w:r>
        <w:rPr>
          <w:rFonts w:ascii="Arial" w:hAnsi="Arial" w:cs="Arial"/>
          <w:b/>
          <w:bCs/>
          <w:noProof/>
        </w:rPr>
        <w:drawing>
          <wp:inline distT="0" distB="0" distL="0" distR="0" wp14:anchorId="4E582B79" wp14:editId="2A93126F">
            <wp:extent cx="4419012" cy="3396343"/>
            <wp:effectExtent l="0" t="0" r="635" b="0"/>
            <wp:docPr id="509134948" name="Picture 1" descr="A graph with blu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34948" name="Picture 1" descr="A graph with blue and red dots&#10;&#10;AI-generated content may be incorrect."/>
                    <pic:cNvPicPr/>
                  </pic:nvPicPr>
                  <pic:blipFill rotWithShape="1">
                    <a:blip r:embed="rId11" cstate="print">
                      <a:extLst>
                        <a:ext uri="{28A0092B-C50C-407E-A947-70E740481C1C}">
                          <a14:useLocalDpi xmlns:a14="http://schemas.microsoft.com/office/drawing/2010/main" val="0"/>
                        </a:ext>
                      </a:extLst>
                    </a:blip>
                    <a:srcRect r="21934"/>
                    <a:stretch>
                      <a:fillRect/>
                    </a:stretch>
                  </pic:blipFill>
                  <pic:spPr bwMode="auto">
                    <a:xfrm>
                      <a:off x="0" y="0"/>
                      <a:ext cx="4427707" cy="3403026"/>
                    </a:xfrm>
                    <a:prstGeom prst="rect">
                      <a:avLst/>
                    </a:prstGeom>
                    <a:ln>
                      <a:noFill/>
                    </a:ln>
                    <a:extLst>
                      <a:ext uri="{53640926-AAD7-44D8-BBD7-CCE9431645EC}">
                        <a14:shadowObscured xmlns:a14="http://schemas.microsoft.com/office/drawing/2010/main"/>
                      </a:ext>
                    </a:extLst>
                  </pic:spPr>
                </pic:pic>
              </a:graphicData>
            </a:graphic>
          </wp:inline>
        </w:drawing>
      </w:r>
    </w:p>
    <w:p w14:paraId="243200F6" w14:textId="77777777" w:rsidR="00CF0F55" w:rsidRDefault="00CF0F55" w:rsidP="00CF0F55">
      <w:pPr>
        <w:spacing w:after="0"/>
        <w:rPr>
          <w:rFonts w:ascii="Arial" w:hAnsi="Arial" w:cs="Arial"/>
          <w:b/>
          <w:bCs/>
        </w:rPr>
      </w:pPr>
    </w:p>
    <w:p w14:paraId="0D3E2584" w14:textId="3E7B4152" w:rsidR="00CF0F55" w:rsidRPr="00C93DC8" w:rsidRDefault="004E4ECF" w:rsidP="00CF0F55">
      <w:pPr>
        <w:spacing w:after="0"/>
        <w:rPr>
          <w:rFonts w:ascii="Arial" w:hAnsi="Arial" w:cs="Arial"/>
          <w:b/>
          <w:bCs/>
        </w:rPr>
      </w:pPr>
      <w:r>
        <w:rPr>
          <w:rFonts w:ascii="Arial" w:hAnsi="Arial" w:cs="Arial"/>
          <w:b/>
          <w:bCs/>
          <w:noProof/>
        </w:rPr>
        <w:drawing>
          <wp:anchor distT="0" distB="0" distL="114300" distR="114300" simplePos="0" relativeHeight="251658240" behindDoc="0" locked="0" layoutInCell="1" allowOverlap="1" wp14:anchorId="264ECAFE" wp14:editId="6A6472C0">
            <wp:simplePos x="0" y="0"/>
            <wp:positionH relativeFrom="column">
              <wp:posOffset>0</wp:posOffset>
            </wp:positionH>
            <wp:positionV relativeFrom="paragraph">
              <wp:posOffset>598532</wp:posOffset>
            </wp:positionV>
            <wp:extent cx="4639945" cy="3189872"/>
            <wp:effectExtent l="0" t="0" r="0" b="0"/>
            <wp:wrapSquare wrapText="bothSides"/>
            <wp:docPr id="583956330"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56330" name="Picture 1" descr="A diagram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945" cy="3189872"/>
                    </a:xfrm>
                    <a:prstGeom prst="rect">
                      <a:avLst/>
                    </a:prstGeom>
                  </pic:spPr>
                </pic:pic>
              </a:graphicData>
            </a:graphic>
            <wp14:sizeRelH relativeFrom="page">
              <wp14:pctWidth>0</wp14:pctWidth>
            </wp14:sizeRelH>
            <wp14:sizeRelV relativeFrom="page">
              <wp14:pctHeight>0</wp14:pctHeight>
            </wp14:sizeRelV>
          </wp:anchor>
        </w:drawing>
      </w:r>
      <w:r w:rsidR="00CF0F55" w:rsidRPr="000E5AE6">
        <w:rPr>
          <w:rFonts w:ascii="Arial" w:hAnsi="Arial" w:cs="Arial"/>
          <w:b/>
          <w:bCs/>
        </w:rPr>
        <w:t>Figure S</w:t>
      </w:r>
      <w:r w:rsidR="00CF0F55">
        <w:rPr>
          <w:rFonts w:ascii="Arial" w:hAnsi="Arial" w:cs="Arial"/>
          <w:b/>
          <w:bCs/>
        </w:rPr>
        <w:t>6.</w:t>
      </w:r>
      <w:r w:rsidR="00CF0F55" w:rsidRPr="000E5AE6">
        <w:rPr>
          <w:rFonts w:ascii="Arial" w:hAnsi="Arial" w:cs="Arial"/>
          <w:b/>
          <w:bCs/>
        </w:rPr>
        <w:t xml:space="preserve"> </w:t>
      </w:r>
      <w:r w:rsidR="00CF0F55">
        <w:rPr>
          <w:rFonts w:ascii="Arial" w:hAnsi="Arial" w:cs="Arial"/>
          <w:b/>
          <w:bCs/>
        </w:rPr>
        <w:t>Comparison of log2fold change in protein levels in postmenopausal vs. premenopausal women in the UKB, in main analyses (x-axis) and sensitivity analyses (y-axis).</w:t>
      </w:r>
    </w:p>
    <w:sectPr w:rsidR="00CF0F55" w:rsidRPr="00C93DC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D78"/>
    <w:rsid w:val="000205C8"/>
    <w:rsid w:val="00030AE3"/>
    <w:rsid w:val="00034BC8"/>
    <w:rsid w:val="000B21F5"/>
    <w:rsid w:val="000E5AE6"/>
    <w:rsid w:val="001424EC"/>
    <w:rsid w:val="00174A35"/>
    <w:rsid w:val="001A0D7B"/>
    <w:rsid w:val="001E4F85"/>
    <w:rsid w:val="001F2511"/>
    <w:rsid w:val="00207109"/>
    <w:rsid w:val="00215D99"/>
    <w:rsid w:val="00266CE8"/>
    <w:rsid w:val="00287803"/>
    <w:rsid w:val="002A16B7"/>
    <w:rsid w:val="002D6C45"/>
    <w:rsid w:val="002F0E95"/>
    <w:rsid w:val="003011F3"/>
    <w:rsid w:val="0033288A"/>
    <w:rsid w:val="00397EFF"/>
    <w:rsid w:val="003A40F9"/>
    <w:rsid w:val="003B0C95"/>
    <w:rsid w:val="003E2C55"/>
    <w:rsid w:val="003F27E3"/>
    <w:rsid w:val="0040113B"/>
    <w:rsid w:val="00406345"/>
    <w:rsid w:val="00426A7E"/>
    <w:rsid w:val="00444508"/>
    <w:rsid w:val="0049055A"/>
    <w:rsid w:val="00497D24"/>
    <w:rsid w:val="004B5C52"/>
    <w:rsid w:val="004D475C"/>
    <w:rsid w:val="004E4ECF"/>
    <w:rsid w:val="0050472C"/>
    <w:rsid w:val="00521C34"/>
    <w:rsid w:val="00534D99"/>
    <w:rsid w:val="00587A76"/>
    <w:rsid w:val="00593723"/>
    <w:rsid w:val="005B52D6"/>
    <w:rsid w:val="005D234C"/>
    <w:rsid w:val="00724343"/>
    <w:rsid w:val="00725A90"/>
    <w:rsid w:val="00750523"/>
    <w:rsid w:val="007575F1"/>
    <w:rsid w:val="00794BAF"/>
    <w:rsid w:val="007A3846"/>
    <w:rsid w:val="007D777C"/>
    <w:rsid w:val="00841449"/>
    <w:rsid w:val="0085537A"/>
    <w:rsid w:val="008644B9"/>
    <w:rsid w:val="008E0530"/>
    <w:rsid w:val="00900DF2"/>
    <w:rsid w:val="00910AE0"/>
    <w:rsid w:val="00970B1C"/>
    <w:rsid w:val="009A5B26"/>
    <w:rsid w:val="009D6D50"/>
    <w:rsid w:val="00A21BF7"/>
    <w:rsid w:val="00A7461D"/>
    <w:rsid w:val="00A74886"/>
    <w:rsid w:val="00A9664C"/>
    <w:rsid w:val="00AC3518"/>
    <w:rsid w:val="00AE36ED"/>
    <w:rsid w:val="00B50624"/>
    <w:rsid w:val="00B71944"/>
    <w:rsid w:val="00B71D78"/>
    <w:rsid w:val="00C2218D"/>
    <w:rsid w:val="00C24DC6"/>
    <w:rsid w:val="00C541BE"/>
    <w:rsid w:val="00C561FF"/>
    <w:rsid w:val="00C93DC8"/>
    <w:rsid w:val="00CC3E1B"/>
    <w:rsid w:val="00CF0F55"/>
    <w:rsid w:val="00D01E31"/>
    <w:rsid w:val="00D2179A"/>
    <w:rsid w:val="00D31D25"/>
    <w:rsid w:val="00D34810"/>
    <w:rsid w:val="00D46152"/>
    <w:rsid w:val="00D93860"/>
    <w:rsid w:val="00DC5160"/>
    <w:rsid w:val="00DE155C"/>
    <w:rsid w:val="00E1079C"/>
    <w:rsid w:val="00E4340C"/>
    <w:rsid w:val="00E4720B"/>
    <w:rsid w:val="00E76AB9"/>
    <w:rsid w:val="00E858EA"/>
    <w:rsid w:val="00EA7D78"/>
    <w:rsid w:val="00EB6180"/>
    <w:rsid w:val="00F002D7"/>
    <w:rsid w:val="00F50EEF"/>
    <w:rsid w:val="00FD66D9"/>
    <w:rsid w:val="00FE2A70"/>
    <w:rsid w:val="00FF66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BD90"/>
  <w15:chartTrackingRefBased/>
  <w15:docId w15:val="{39E67AC7-C05E-B649-A661-B67131B3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D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1D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1D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1D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1D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1D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D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D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D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D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1D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1D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1D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1D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1D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D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D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D78"/>
    <w:rPr>
      <w:rFonts w:eastAsiaTheme="majorEastAsia" w:cstheme="majorBidi"/>
      <w:color w:val="272727" w:themeColor="text1" w:themeTint="D8"/>
    </w:rPr>
  </w:style>
  <w:style w:type="paragraph" w:styleId="Title">
    <w:name w:val="Title"/>
    <w:basedOn w:val="Normal"/>
    <w:next w:val="Normal"/>
    <w:link w:val="TitleChar"/>
    <w:uiPriority w:val="10"/>
    <w:qFormat/>
    <w:rsid w:val="00B71D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D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1D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D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D78"/>
    <w:pPr>
      <w:spacing w:before="160"/>
      <w:jc w:val="center"/>
    </w:pPr>
    <w:rPr>
      <w:i/>
      <w:iCs/>
      <w:color w:val="404040" w:themeColor="text1" w:themeTint="BF"/>
    </w:rPr>
  </w:style>
  <w:style w:type="character" w:customStyle="1" w:styleId="QuoteChar">
    <w:name w:val="Quote Char"/>
    <w:basedOn w:val="DefaultParagraphFont"/>
    <w:link w:val="Quote"/>
    <w:uiPriority w:val="29"/>
    <w:rsid w:val="00B71D78"/>
    <w:rPr>
      <w:i/>
      <w:iCs/>
      <w:color w:val="404040" w:themeColor="text1" w:themeTint="BF"/>
    </w:rPr>
  </w:style>
  <w:style w:type="paragraph" w:styleId="ListParagraph">
    <w:name w:val="List Paragraph"/>
    <w:basedOn w:val="Normal"/>
    <w:uiPriority w:val="34"/>
    <w:qFormat/>
    <w:rsid w:val="00B71D78"/>
    <w:pPr>
      <w:ind w:left="720"/>
      <w:contextualSpacing/>
    </w:pPr>
  </w:style>
  <w:style w:type="character" w:styleId="IntenseEmphasis">
    <w:name w:val="Intense Emphasis"/>
    <w:basedOn w:val="DefaultParagraphFont"/>
    <w:uiPriority w:val="21"/>
    <w:qFormat/>
    <w:rsid w:val="00B71D78"/>
    <w:rPr>
      <w:i/>
      <w:iCs/>
      <w:color w:val="0F4761" w:themeColor="accent1" w:themeShade="BF"/>
    </w:rPr>
  </w:style>
  <w:style w:type="paragraph" w:styleId="IntenseQuote">
    <w:name w:val="Intense Quote"/>
    <w:basedOn w:val="Normal"/>
    <w:next w:val="Normal"/>
    <w:link w:val="IntenseQuoteChar"/>
    <w:uiPriority w:val="30"/>
    <w:qFormat/>
    <w:rsid w:val="00B71D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D78"/>
    <w:rPr>
      <w:i/>
      <w:iCs/>
      <w:color w:val="0F4761" w:themeColor="accent1" w:themeShade="BF"/>
    </w:rPr>
  </w:style>
  <w:style w:type="character" w:styleId="IntenseReference">
    <w:name w:val="Intense Reference"/>
    <w:basedOn w:val="DefaultParagraphFont"/>
    <w:uiPriority w:val="32"/>
    <w:qFormat/>
    <w:rsid w:val="00B71D78"/>
    <w:rPr>
      <w:b/>
      <w:bCs/>
      <w:smallCaps/>
      <w:color w:val="0F4761" w:themeColor="accent1" w:themeShade="BF"/>
      <w:spacing w:val="5"/>
    </w:rPr>
  </w:style>
  <w:style w:type="character" w:styleId="CommentReference">
    <w:name w:val="annotation reference"/>
    <w:basedOn w:val="DefaultParagraphFont"/>
    <w:uiPriority w:val="99"/>
    <w:semiHidden/>
    <w:unhideWhenUsed/>
    <w:rsid w:val="00EA7D7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1133</Words>
  <Characters>7060</Characters>
  <Application>Microsoft Office Word</Application>
  <DocSecurity>0</DocSecurity>
  <Lines>156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Alexander</dc:creator>
  <cp:keywords/>
  <dc:description/>
  <cp:lastModifiedBy>Maddy Alexander</cp:lastModifiedBy>
  <cp:revision>71</cp:revision>
  <dcterms:created xsi:type="dcterms:W3CDTF">2025-11-09T16:38:00Z</dcterms:created>
  <dcterms:modified xsi:type="dcterms:W3CDTF">2026-01-31T02:45:00Z</dcterms:modified>
</cp:coreProperties>
</file>