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Table 1. Baseline characteristics of patients undergoing coronary computed tomography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1"/>
        <w:gridCol w:w="2403"/>
        <w:tblGridChange w:id="0">
          <w:tblGrid>
            <w:gridCol w:w="6091"/>
            <w:gridCol w:w="24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Variable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both"/>
              <w:rPr>
                <w:rFonts w:ascii="Aptos" w:cs="Aptos" w:eastAsia="Aptos" w:hAnsi="Aptos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Demographic characteristics</w:t>
            </w:r>
          </w:p>
          <w:p w:rsidR="00000000" w:rsidDel="00000000" w:rsidP="00000000" w:rsidRDefault="00000000" w:rsidRPr="00000000" w14:paraId="00000005">
            <w:pPr>
              <w:ind w:left="708" w:firstLine="0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Age (years)</w:t>
            </w:r>
          </w:p>
          <w:p w:rsidR="00000000" w:rsidDel="00000000" w:rsidP="00000000" w:rsidRDefault="00000000" w:rsidRPr="00000000" w14:paraId="00000006">
            <w:pPr>
              <w:ind w:left="708" w:firstLine="0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Male %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59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92.0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Cardiovascular risk factors</w:t>
            </w:r>
          </w:p>
          <w:p w:rsidR="00000000" w:rsidDel="00000000" w:rsidP="00000000" w:rsidRDefault="00000000" w:rsidRPr="00000000" w14:paraId="0000000B">
            <w:pPr>
              <w:ind w:left="708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Hypertension %</w:t>
              <w:br w:type="textWrapping"/>
              <w:t xml:space="preserve">Type 2 diabetes mellitus %</w:t>
              <w:br w:type="textWrapping"/>
              <w:t xml:space="preserve">Dyslipidemia at baseline %</w:t>
              <w:br w:type="textWrapping"/>
              <w:t xml:space="preserve">Current smoking %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40.0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28.0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80.0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40.0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Lipid profile at baseline</w:t>
            </w:r>
          </w:p>
          <w:p w:rsidR="00000000" w:rsidDel="00000000" w:rsidP="00000000" w:rsidRDefault="00000000" w:rsidRPr="00000000" w14:paraId="00000012">
            <w:pPr>
              <w:ind w:left="708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Total cholesterol mg/dl</w:t>
              <w:br w:type="textWrapping"/>
              <w:t xml:space="preserve">LDL cholesterol mg/dl</w:t>
              <w:br w:type="textWrapping"/>
              <w:t xml:space="preserve">HDL cholesterol mg/dl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177 (161-216)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121 (99-133)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50 (41-60)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HIV-related characteristics</w:t>
            </w:r>
          </w:p>
          <w:p w:rsidR="00000000" w:rsidDel="00000000" w:rsidP="00000000" w:rsidRDefault="00000000" w:rsidRPr="00000000" w14:paraId="00000018">
            <w:pPr>
              <w:ind w:left="708" w:firstLine="0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CD4 cell count at baseline, cells/ µL</w:t>
            </w:r>
          </w:p>
          <w:p w:rsidR="00000000" w:rsidDel="00000000" w:rsidP="00000000" w:rsidRDefault="00000000" w:rsidRPr="00000000" w14:paraId="00000019">
            <w:pPr>
              <w:ind w:left="708" w:firstLine="0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Antiretroviral therapy regimen at baseline</w:t>
            </w:r>
          </w:p>
          <w:p w:rsidR="00000000" w:rsidDel="00000000" w:rsidP="00000000" w:rsidRDefault="00000000" w:rsidRPr="00000000" w14:paraId="0000001A">
            <w:pPr>
              <w:ind w:left="1416" w:firstLine="0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INSTI-based %</w:t>
            </w:r>
          </w:p>
          <w:p w:rsidR="00000000" w:rsidDel="00000000" w:rsidP="00000000" w:rsidRDefault="00000000" w:rsidRPr="00000000" w14:paraId="0000001B">
            <w:pPr>
              <w:ind w:left="1416" w:firstLine="0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PI-based %</w:t>
            </w:r>
          </w:p>
          <w:p w:rsidR="00000000" w:rsidDel="00000000" w:rsidP="00000000" w:rsidRDefault="00000000" w:rsidRPr="00000000" w14:paraId="0000001C">
            <w:pPr>
              <w:ind w:left="1416" w:firstLine="0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463 (355-674)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64.0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20.0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Cardiovascular risk scores</w:t>
            </w:r>
          </w:p>
          <w:p w:rsidR="00000000" w:rsidDel="00000000" w:rsidP="00000000" w:rsidRDefault="00000000" w:rsidRPr="00000000" w14:paraId="00000024">
            <w:pPr>
              <w:ind w:left="708" w:firstLine="0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Framingham risk score</w:t>
            </w:r>
          </w:p>
          <w:p w:rsidR="00000000" w:rsidDel="00000000" w:rsidP="00000000" w:rsidRDefault="00000000" w:rsidRPr="00000000" w14:paraId="00000025">
            <w:pPr>
              <w:ind w:left="708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SCORE2 </w:t>
              <w:br w:type="textWrapping"/>
              <w:t xml:space="preserve">REGICOR</w:t>
              <w:br w:type="textWrapping"/>
              <w:t xml:space="preserve">D:A:D reduced  </w:t>
            </w:r>
          </w:p>
          <w:p w:rsidR="00000000" w:rsidDel="00000000" w:rsidP="00000000" w:rsidRDefault="00000000" w:rsidRPr="00000000" w14:paraId="00000026">
            <w:pPr>
              <w:ind w:left="708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D:A:D extended  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21.1 (16.2-28.6)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7.0 (4.4-9.0)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5.0 (3.0-6.0)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10.2 (6.6-15.6)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8.1 (5.8-14.7)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sz w:val="18"/>
                <w:szCs w:val="18"/>
                <w:rtl w:val="0"/>
              </w:rPr>
              <w:t xml:space="preserve">Continuous variables are expressed as median (interquartile range), and categorical variables as number (percentage). Cardiovascular risk scores are expressed as estimated percentage risk. INSTI, integrase strand transfer inhibitor; PI, protease inhibitor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Table 2: Distribution of cardiovascular risk estimates by risk score.</w:t>
      </w:r>
    </w:p>
    <w:p w:rsidR="00000000" w:rsidDel="00000000" w:rsidP="00000000" w:rsidRDefault="00000000" w:rsidRPr="00000000" w14:paraId="00000034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1500"/>
        <w:tblGridChange w:id="0">
          <w:tblGrid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Median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Framingham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28.60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REGICOR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SCORE2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08.05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D:A:D reduced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D:A:D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08.07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14.67</w:t>
            </w:r>
          </w:p>
        </w:tc>
      </w:tr>
    </w:tbl>
    <w:p w:rsidR="00000000" w:rsidDel="00000000" w:rsidP="00000000" w:rsidRDefault="00000000" w:rsidRPr="00000000" w14:paraId="0000004D">
      <w:pPr>
        <w:spacing w:after="160" w:line="259" w:lineRule="auto"/>
        <w:jc w:val="both"/>
        <w:rPr>
          <w:rFonts w:ascii="Aptos" w:cs="Aptos" w:eastAsia="Aptos" w:hAnsi="Aptos"/>
          <w:sz w:val="18"/>
          <w:szCs w:val="18"/>
        </w:rPr>
      </w:pPr>
      <w:r w:rsidDel="00000000" w:rsidR="00000000" w:rsidRPr="00000000">
        <w:rPr>
          <w:rFonts w:ascii="Aptos" w:cs="Aptos" w:eastAsia="Aptos" w:hAnsi="Aptos"/>
          <w:sz w:val="18"/>
          <w:szCs w:val="18"/>
          <w:rtl w:val="0"/>
        </w:rPr>
        <w:t xml:space="preserve">Q1:  25th percentile, lower quartile </w:t>
      </w:r>
    </w:p>
    <w:p w:rsidR="00000000" w:rsidDel="00000000" w:rsidP="00000000" w:rsidRDefault="00000000" w:rsidRPr="00000000" w14:paraId="0000004E">
      <w:pPr>
        <w:spacing w:after="160" w:line="259" w:lineRule="auto"/>
        <w:jc w:val="both"/>
        <w:rPr>
          <w:rFonts w:ascii="Aptos" w:cs="Aptos" w:eastAsia="Aptos" w:hAnsi="Aptos"/>
          <w:sz w:val="18"/>
          <w:szCs w:val="18"/>
        </w:rPr>
      </w:pPr>
      <w:r w:rsidDel="00000000" w:rsidR="00000000" w:rsidRPr="00000000">
        <w:rPr>
          <w:rFonts w:ascii="Aptos" w:cs="Aptos" w:eastAsia="Aptos" w:hAnsi="Aptos"/>
          <w:sz w:val="18"/>
          <w:szCs w:val="18"/>
          <w:rtl w:val="0"/>
        </w:rPr>
        <w:t xml:space="preserve">Q3: 75th percentile, upper quartile </w:t>
      </w:r>
    </w:p>
    <w:p w:rsidR="00000000" w:rsidDel="00000000" w:rsidP="00000000" w:rsidRDefault="00000000" w:rsidRPr="00000000" w14:paraId="0000004F">
      <w:pPr>
        <w:spacing w:after="160" w:line="259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Table 3: Comparison of cardiovascular risk scores between patients with CAC ≤100 and CAC &gt;100</w:t>
      </w:r>
    </w:p>
    <w:tbl>
      <w:tblPr>
        <w:tblStyle w:val="Table3"/>
        <w:tblW w:w="95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0"/>
        <w:gridCol w:w="1410"/>
        <w:gridCol w:w="1410"/>
        <w:gridCol w:w="1410"/>
        <w:gridCol w:w="1905"/>
        <w:gridCol w:w="1995"/>
        <w:tblGridChange w:id="0">
          <w:tblGrid>
            <w:gridCol w:w="1410"/>
            <w:gridCol w:w="1410"/>
            <w:gridCol w:w="1410"/>
            <w:gridCol w:w="1410"/>
            <w:gridCol w:w="1905"/>
            <w:gridCol w:w="1995"/>
          </w:tblGrid>
        </w:tblGridChange>
      </w:tblGrid>
      <w:tr>
        <w:trPr>
          <w:cantSplit w:val="0"/>
          <w:trHeight w:val="533.9017255204776" w:hRule="atLeast"/>
          <w:tblHeader w:val="1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Statistic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p-value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Median CAC ≤100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ind w:left="-8500" w:right="-850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Median CAC &gt;100</w:t>
            </w:r>
          </w:p>
        </w:tc>
      </w:tr>
      <w:tr>
        <w:trPr>
          <w:cantSplit w:val="0"/>
          <w:trHeight w:val="341.00210768238065" w:hRule="atLeast"/>
          <w:tblHeader w:val="1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Framingham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Welch’s t-test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0.04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33.4</w:t>
            </w:r>
          </w:p>
        </w:tc>
      </w:tr>
      <w:tr>
        <w:trPr>
          <w:cantSplit w:val="0"/>
          <w:trHeight w:val="341.00210768238065" w:hRule="atLeast"/>
          <w:tblHeader w:val="1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REGICOR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Welch’s t-test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4.0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6.0</w:t>
            </w:r>
          </w:p>
        </w:tc>
      </w:tr>
      <w:tr>
        <w:trPr>
          <w:cantSplit w:val="0"/>
          <w:trHeight w:val="341.0021076823806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SCORE2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Welch’s t-test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6.25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8.0</w:t>
            </w:r>
          </w:p>
        </w:tc>
      </w:tr>
      <w:tr>
        <w:trPr>
          <w:cantSplit w:val="0"/>
          <w:trHeight w:val="341.0021076823806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D:A:D reduced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Welch’s t-test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8.16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17.48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D:A:D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Welch’s t-test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15.56</w:t>
            </w:r>
          </w:p>
        </w:tc>
      </w:tr>
    </w:tbl>
    <w:p w:rsidR="00000000" w:rsidDel="00000000" w:rsidP="00000000" w:rsidRDefault="00000000" w:rsidRPr="00000000" w14:paraId="00000077">
      <w:pPr>
        <w:spacing w:after="160" w:line="259" w:lineRule="auto"/>
        <w:jc w:val="both"/>
        <w:rPr>
          <w:rFonts w:ascii="Aptos" w:cs="Aptos" w:eastAsia="Aptos" w:hAnsi="Aptos"/>
          <w:sz w:val="18"/>
          <w:szCs w:val="18"/>
        </w:rPr>
      </w:pPr>
      <w:r w:rsidDel="00000000" w:rsidR="00000000" w:rsidRPr="00000000">
        <w:rPr>
          <w:rFonts w:ascii="Aptos" w:cs="Aptos" w:eastAsia="Aptos" w:hAnsi="Aptos"/>
          <w:sz w:val="18"/>
          <w:szCs w:val="18"/>
          <w:rtl w:val="0"/>
        </w:rPr>
        <w:t xml:space="preserve">CAC: coronary artery calcium</w:t>
      </w:r>
    </w:p>
    <w:p w:rsidR="00000000" w:rsidDel="00000000" w:rsidP="00000000" w:rsidRDefault="00000000" w:rsidRPr="00000000" w14:paraId="00000078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60" w:line="259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Table 4: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rtl w:val="0"/>
        </w:rPr>
        <w:t xml:space="preserve">Discriminative performance of cardiovascular risk scores for predicting CAC &gt;100.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6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1500"/>
        <w:tblGridChange w:id="0">
          <w:tblGrid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SCORE2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IC 95%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Framingham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0.55 – 1.00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REGICOR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0.37 – 0.88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SCORE2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0.46 – 1.00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Reduced D:A:D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0.47 – 1.00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D:A:D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0.33 – 1.00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0.30</w:t>
            </w:r>
          </w:p>
        </w:tc>
      </w:tr>
    </w:tbl>
    <w:p w:rsidR="00000000" w:rsidDel="00000000" w:rsidP="00000000" w:rsidRDefault="00000000" w:rsidRPr="00000000" w14:paraId="0000009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CI: confidence interval </w:t>
      </w:r>
    </w:p>
    <w:p w:rsidR="00000000" w:rsidDel="00000000" w:rsidP="00000000" w:rsidRDefault="00000000" w:rsidRPr="00000000" w14:paraId="0000009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AUC: area under the curve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pto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