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626F3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The 2011 Musculoskeletal Infection Society (MSIS) criteria </w:t>
      </w:r>
    </w:p>
    <w:p w14:paraId="4C0B45DA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PJI was confirmed when at least one of the following 3 criteria were present: </w:t>
      </w:r>
    </w:p>
    <w:p w14:paraId="1B489633">
      <w:pPr>
        <w:keepNext w:val="0"/>
        <w:keepLines w:val="0"/>
        <w:widowControl/>
        <w:suppressLineNumbers w:val="0"/>
        <w:spacing w:line="360" w:lineRule="auto"/>
        <w:ind w:leftChars="10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(1) Two positive periprosthetic (tissue or fluid) cultures with matching organisms; </w:t>
      </w:r>
    </w:p>
    <w:p w14:paraId="4C0C71FF">
      <w:pPr>
        <w:keepNext w:val="0"/>
        <w:keepLines w:val="0"/>
        <w:widowControl/>
        <w:suppressLineNumbers w:val="0"/>
        <w:spacing w:line="360" w:lineRule="auto"/>
        <w:ind w:leftChars="10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(2) the presence of a sinus tract communicating with the implant; </w:t>
      </w:r>
    </w:p>
    <w:p w14:paraId="4FA6EB52">
      <w:pPr>
        <w:keepNext w:val="0"/>
        <w:keepLines w:val="0"/>
        <w:widowControl/>
        <w:suppressLineNumbers w:val="0"/>
        <w:spacing w:line="360" w:lineRule="auto"/>
        <w:ind w:leftChars="10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(3) having 3 of the following 5 minor criteria: </w:t>
      </w:r>
    </w:p>
    <w:p w14:paraId="4011791A">
      <w:pPr>
        <w:keepNext w:val="0"/>
        <w:keepLines w:val="0"/>
        <w:widowControl/>
        <w:suppressLineNumbers w:val="0"/>
        <w:spacing w:line="360" w:lineRule="auto"/>
        <w:ind w:leftChars="20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a. Clinical signs of infection, such as calor, rubor, or wound drainage with an </w:t>
      </w:r>
    </w:p>
    <w:p w14:paraId="22487E0D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elevated serum erythrocyte sedimentation rate (ESR; not applicable to acute PJI; &gt;30 </w:t>
      </w:r>
    </w:p>
    <w:p w14:paraId="26458ACA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mm/h in chronic PJI), serum C-reactive protein [CRP] level (&gt;100 mg/L in acute </w:t>
      </w:r>
    </w:p>
    <w:p w14:paraId="7FA8EE61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PJI; &gt;10 mg/L in chronic PJI). </w:t>
      </w:r>
    </w:p>
    <w:p w14:paraId="6BB0213D">
      <w:pPr>
        <w:keepNext w:val="0"/>
        <w:keepLines w:val="0"/>
        <w:widowControl/>
        <w:suppressLineNumbers w:val="0"/>
        <w:spacing w:line="360" w:lineRule="auto"/>
        <w:ind w:leftChars="20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 Increased synovial fluid white blood cell count [&gt;10,000 cells/μL in acute </w:t>
      </w:r>
    </w:p>
    <w:p w14:paraId="6A5A166C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PJI; &gt;3000 cells/μL in chronic PJI] or ++(or greater) change on leukocyte esterase test </w:t>
      </w:r>
    </w:p>
    <w:p w14:paraId="7A580C31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strip of synovial fluid. </w:t>
      </w:r>
    </w:p>
    <w:p w14:paraId="690D97F1">
      <w:pPr>
        <w:keepNext w:val="0"/>
        <w:keepLines w:val="0"/>
        <w:widowControl/>
        <w:suppressLineNumbers w:val="0"/>
        <w:spacing w:line="360" w:lineRule="auto"/>
        <w:ind w:firstLine="400" w:firstLineChars="20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 Increased synovial fluid polymorphonuclear neutrophil percentage [PMN%] </w:t>
      </w:r>
    </w:p>
    <w:p w14:paraId="72695B1B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[&gt;90% in acute PJI; &gt;80% in chronic PJI]. </w:t>
      </w:r>
    </w:p>
    <w:p w14:paraId="17774544">
      <w:pPr>
        <w:keepNext w:val="0"/>
        <w:keepLines w:val="0"/>
        <w:widowControl/>
        <w:suppressLineNumbers w:val="0"/>
        <w:spacing w:line="360" w:lineRule="auto"/>
        <w:ind w:firstLine="400" w:firstLineChars="20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d. Positive inflammation detected during histopathological examination of </w:t>
      </w:r>
    </w:p>
    <w:p w14:paraId="0FDC1224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periprosthetic tissue (&gt;5 neutrophils per high power field [HPF]). </w:t>
      </w:r>
    </w:p>
    <w:p w14:paraId="7AD640D9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e. A single positive periprosthetic (tissue or fluid) culture.</w:t>
      </w:r>
    </w:p>
    <w:p w14:paraId="2C9022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47BC9"/>
    <w:rsid w:val="4DC4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2025-09-23T05:59:00Z</dcterms:created>
  <dc:creator>H.</dc:creator>
  <cp:lastModifiedBy>H.</cp:lastModifiedBy>
  <dcterms:modified xsi:type="dcterms:W3CDTF">2025-09-23T06:02:11Z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1B283D3C0E90468F8917D1D2C0425201_11</vt:lpwstr>
  </property>
  <property fmtid="{D5CDD505-2E9C-101B-9397-08002B2CF9AE}" pid="4" name="KSOTemplateDocerSaveRecord">
    <vt:lpwstr>eyJoZGlkIjoiYTEwNWVhMmMzNmQ0OWQzNjQzMDViOTUwMDM3NGJkYzgiLCJ1c2VySWQiOiI1OTE0NDY2NzEifQ==</vt:lpwstr>
  </property>
</Properties>
</file>