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85"/>
        <w:gridCol w:w="544"/>
        <w:gridCol w:w="701"/>
        <w:gridCol w:w="546"/>
        <w:gridCol w:w="399"/>
        <w:gridCol w:w="459"/>
        <w:gridCol w:w="539"/>
        <w:gridCol w:w="787"/>
        <w:gridCol w:w="774"/>
        <w:gridCol w:w="1260"/>
        <w:gridCol w:w="561"/>
        <w:gridCol w:w="787"/>
      </w:tblGrid>
      <w:tr w14:paraId="7CD04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3"/>
            <w:tcBorders>
              <w:top w:val="single" w:color="851321" w:sz="12" w:space="0"/>
              <w:left w:val="nil"/>
              <w:bottom w:val="single" w:color="851321" w:sz="8" w:space="0"/>
              <w:right w:val="nil"/>
            </w:tcBorders>
            <w:shd w:val="clear" w:color="auto" w:fill="FFFFFF"/>
            <w:vAlign w:val="center"/>
          </w:tcPr>
          <w:p w14:paraId="5D03FB6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851321"/>
                <w:sz w:val="13"/>
                <w:szCs w:val="13"/>
              </w:rPr>
            </w:pPr>
            <w:r>
              <w:rPr>
                <w:rFonts w:hint="eastAsia" w:ascii="Arial" w:hAnsi="Arial" w:eastAsia="宋体" w:cs="Arial"/>
                <w:b/>
                <w:bCs/>
                <w:color w:val="851321"/>
                <w:kern w:val="0"/>
                <w:sz w:val="20"/>
                <w:szCs w:val="20"/>
                <w:lang w:val="en-US" w:bidi="ar"/>
              </w:rPr>
              <w:t>Table 1</w:t>
            </w:r>
            <w:r>
              <w:rPr>
                <w:rStyle w:val="6"/>
                <w:rFonts w:eastAsia="宋体"/>
                <w:lang w:val="en-US" w:bidi="ar"/>
              </w:rPr>
              <w:t xml:space="preserve"> Additional characteristics of the included trials</w:t>
            </w:r>
          </w:p>
        </w:tc>
      </w:tr>
      <w:tr w14:paraId="7D77D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5C8CAAC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3"/>
                <w:szCs w:val="13"/>
                <w:lang w:val="en-US" w:bidi="ar"/>
              </w:rPr>
              <w:t>Product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1B7FE19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3"/>
                <w:szCs w:val="13"/>
                <w:lang w:val="en-US" w:bidi="ar"/>
              </w:rPr>
              <w:t>Target</w:t>
            </w:r>
          </w:p>
        </w:tc>
        <w:tc>
          <w:tcPr>
            <w:tcW w:w="319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13FD52A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3"/>
                <w:szCs w:val="13"/>
                <w:lang w:val="en-US" w:bidi="ar"/>
              </w:rPr>
              <w:t>Types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785824A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3"/>
                <w:szCs w:val="13"/>
                <w:lang w:val="en-US" w:bidi="ar"/>
              </w:rPr>
              <w:t>Register No.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688435D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3"/>
                <w:szCs w:val="13"/>
                <w:lang w:val="en-US" w:bidi="ar"/>
              </w:rPr>
              <w:t>Study design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3313A63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3"/>
                <w:szCs w:val="13"/>
                <w:lang w:val="en-US" w:bidi="ar"/>
              </w:rPr>
              <w:t>MINOR</w:t>
            </w:r>
          </w:p>
        </w:tc>
        <w:tc>
          <w:tcPr>
            <w:tcW w:w="269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13DC960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3"/>
                <w:szCs w:val="13"/>
                <w:lang w:val="en-US" w:bidi="ar"/>
              </w:rPr>
              <w:t>Total pts</w:t>
            </w:r>
          </w:p>
        </w:tc>
        <w:tc>
          <w:tcPr>
            <w:tcW w:w="316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107347C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3"/>
                <w:szCs w:val="13"/>
                <w:lang w:val="en-US" w:bidi="ar"/>
              </w:rPr>
              <w:t>ORR</w:t>
            </w:r>
            <w:r>
              <w:rPr>
                <w:rStyle w:val="7"/>
                <w:rFonts w:hint="default"/>
                <w:sz w:val="13"/>
                <w:szCs w:val="13"/>
                <w:lang w:val="en-US" w:bidi="ar"/>
              </w:rPr>
              <w:t>，</w:t>
            </w: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3"/>
                <w:szCs w:val="13"/>
                <w:lang w:val="en-US" w:bidi="ar"/>
              </w:rPr>
              <w:t>%</w:t>
            </w:r>
          </w:p>
        </w:tc>
        <w:tc>
          <w:tcPr>
            <w:tcW w:w="462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3196807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3"/>
                <w:szCs w:val="13"/>
                <w:lang w:val="en-US" w:bidi="ar"/>
              </w:rPr>
              <w:t>Overall survival</w:t>
            </w:r>
          </w:p>
        </w:tc>
        <w:tc>
          <w:tcPr>
            <w:tcW w:w="1978" w:type="pct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75CABB1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3"/>
                <w:szCs w:val="13"/>
                <w:lang w:val="en-US" w:bidi="ar"/>
              </w:rPr>
              <w:t>With BCMA exposure</w:t>
            </w:r>
          </w:p>
        </w:tc>
      </w:tr>
      <w:tr w14:paraId="222FD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7AC27D68">
            <w:pPr>
              <w:keepNext/>
              <w:snapToGrid w:val="0"/>
              <w:jc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</w:p>
        </w:tc>
        <w:tc>
          <w:tcPr>
            <w:tcW w:w="285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1251FCE4">
            <w:pPr>
              <w:keepNext/>
              <w:snapToGrid w:val="0"/>
              <w:jc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</w:p>
        </w:tc>
        <w:tc>
          <w:tcPr>
            <w:tcW w:w="319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6E5F5EEA">
            <w:pPr>
              <w:keepNext/>
              <w:snapToGrid w:val="0"/>
              <w:jc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</w:p>
        </w:tc>
        <w:tc>
          <w:tcPr>
            <w:tcW w:w="41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5BC917AA">
            <w:pPr>
              <w:keepNext/>
              <w:snapToGrid w:val="0"/>
              <w:jc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</w:p>
        </w:tc>
        <w:tc>
          <w:tcPr>
            <w:tcW w:w="320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4C9DBAE2">
            <w:pPr>
              <w:keepNext/>
              <w:snapToGrid w:val="0"/>
              <w:jc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</w:p>
        </w:tc>
        <w:tc>
          <w:tcPr>
            <w:tcW w:w="234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5A17600B">
            <w:pPr>
              <w:keepNext/>
              <w:snapToGrid w:val="0"/>
              <w:jc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</w:p>
        </w:tc>
        <w:tc>
          <w:tcPr>
            <w:tcW w:w="269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4DCC6E12">
            <w:pPr>
              <w:keepNext/>
              <w:snapToGrid w:val="0"/>
              <w:jc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</w:p>
        </w:tc>
        <w:tc>
          <w:tcPr>
            <w:tcW w:w="316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36A78DD8">
            <w:pPr>
              <w:keepNext/>
              <w:snapToGrid w:val="0"/>
              <w:jc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</w:p>
        </w:tc>
        <w:tc>
          <w:tcPr>
            <w:tcW w:w="46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54F9611F">
            <w:pPr>
              <w:keepNext/>
              <w:snapToGrid w:val="0"/>
              <w:jc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7E0FD14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3"/>
                <w:szCs w:val="13"/>
                <w:lang w:val="en-US" w:bidi="ar"/>
              </w:rPr>
              <w:t>No. of BCMA-exposed pts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3FDD7E8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3"/>
                <w:szCs w:val="13"/>
                <w:lang w:val="en-US" w:bidi="ar"/>
              </w:rPr>
              <w:t>First BCMA exposure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2F4B7E6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3"/>
                <w:szCs w:val="13"/>
                <w:lang w:val="en-US" w:bidi="ar"/>
              </w:rPr>
              <w:t>ORR, n(%)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BE0E3"/>
            <w:vAlign w:val="center"/>
          </w:tcPr>
          <w:p w14:paraId="7E3DC15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3"/>
                <w:szCs w:val="13"/>
                <w:lang w:val="en-US" w:bidi="ar"/>
              </w:rPr>
              <w:t>PFS/OS</w:t>
            </w:r>
          </w:p>
        </w:tc>
      </w:tr>
      <w:tr w14:paraId="2A952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01477E1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Modakafusp Alfa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C47A9B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CD38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447779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immunocytokine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4C319E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NCT03215030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BC62C3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C9AAD0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4EC627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146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B8A84B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120mg: 32</w:t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br w:type="textWrapping"/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240mg: 41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C12224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120mg: 4.1mos</w:t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br w:type="textWrapping"/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240mg: 5.3mos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EB976F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66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C161A5A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CAR-T(n=21), ADC(n=32), BsAb(n=33)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6FDDE1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19(29)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43EDC4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6D04F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6D8D2B7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Teclistamab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7187FC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1EA280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F0EFD6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D1CE06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retrospective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7D9331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28A069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123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42BDE1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59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1F50A2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8.7mos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09256A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45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913F7CC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Ide-cel(n=21), ADC(n=23), both(n=1)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E163BD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22(54.8)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60305D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ide-cel exposed: 1.8mos</w:t>
            </w:r>
          </w:p>
        </w:tc>
      </w:tr>
      <w:tr w14:paraId="6A059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17E3EEA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Teclistamab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340981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01842D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DC7FAD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NCT03145181 NCT04557098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BEE8BF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97CE46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753943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40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C6AF14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DB71A1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46FDFE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40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2ECB58C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BCMA-targeted therapy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DFD8A8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21(52.5)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2B878F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4.5mos/15.5mos</w:t>
            </w:r>
          </w:p>
        </w:tc>
      </w:tr>
      <w:tr w14:paraId="18668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43631C0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Teclistamab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E1F9AB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D805EE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0C6F6F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BFCB97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retrospective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965023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3130A5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C7F957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595365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8519D9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E176D5D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BCMA-targeted therapy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3CB7BE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11(50)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05C1A3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2A63C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2F88BD35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Teclistamab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2BCF766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50FEAA6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54DB3E5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79F2F65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retrospective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78E1D2B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0A5E297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110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5969E33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62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E3DBFA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6-month PFS rate 52%, 6-month OS rate 80%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31EDE58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38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E8C0614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CAR-T(n=18), ADC(n=12), CAR-T and ADC(n=2), BsAb(n=5), ≥2 agents(n=17)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2CD1D50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20(53)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08E73EE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7AF05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4FF42FAE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3"/>
                <w:szCs w:val="13"/>
                <w:lang w:val="en-US" w:bidi="ar"/>
              </w:rPr>
              <w:t>Teclistamab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65D5FE4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5D87C77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3CFD42B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5AF4DEF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3"/>
                <w:szCs w:val="13"/>
                <w:lang w:val="en-US" w:bidi="ar"/>
              </w:rPr>
              <w:t>retrospective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7F1B637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3"/>
                <w:szCs w:val="13"/>
                <w:lang w:val="en-US" w:bidi="ar"/>
              </w:rPr>
              <w:t>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58C3474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3"/>
                <w:szCs w:val="13"/>
                <w:lang w:val="en-US" w:bidi="ar"/>
              </w:rPr>
              <w:t>22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569295F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508FBB0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35080D3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3"/>
                <w:szCs w:val="13"/>
                <w:lang w:val="en-US" w:bidi="ar"/>
              </w:rPr>
              <w:t>22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0F08806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3"/>
                <w:szCs w:val="13"/>
                <w:lang w:val="en-US" w:bidi="ar"/>
              </w:rPr>
              <w:t>CAR-T(n=15), ADC(n=2), both(n=5)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69EFDC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3"/>
                <w:szCs w:val="13"/>
                <w:lang w:val="en-US" w:bidi="ar"/>
              </w:rPr>
              <w:t>14(63)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C79E26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658FA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290F913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Teclistamab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EB0559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DD0A6A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8950C0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8FA984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retrospective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0B160D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FDD120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F08EB3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BCMA-naive: 68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435371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BCMA-naive:9.7 mos/NR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88F1C2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60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5392513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CAR-T(n=41), ADC(n=22), BsAb(n=5)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C4FEFE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32(53)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1B2DB3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2.5mos/9.1mos</w:t>
            </w:r>
          </w:p>
        </w:tc>
      </w:tr>
      <w:tr w14:paraId="192F4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30151BD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Teclistamab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4A9974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91C590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F9129A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EF7D50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retrospective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4B3E32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14</w:t>
            </w:r>
          </w:p>
        </w:tc>
        <w:tc>
          <w:tcPr>
            <w:tcW w:w="26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41D395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210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02C811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all: 67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662013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all:6-month PFS 53%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8D55FF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84</w:t>
            </w:r>
          </w:p>
        </w:tc>
        <w:tc>
          <w:tcPr>
            <w:tcW w:w="7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CD051E9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CAR-T(n=42), ADC(n=27), BsAb(n=6), ≥2 agents(n=17)</w:t>
            </w:r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EE3522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49(58.3)</w:t>
            </w:r>
          </w:p>
        </w:tc>
        <w:tc>
          <w:tcPr>
            <w:tcW w:w="45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1D37B5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6-month PFS 43%</w:t>
            </w:r>
          </w:p>
        </w:tc>
      </w:tr>
      <w:tr w14:paraId="79C49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672AB6E">
            <w:pPr>
              <w:keepNext/>
              <w:snapToGrid w:val="0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</w:p>
        </w:tc>
        <w:tc>
          <w:tcPr>
            <w:tcW w:w="28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82765D1">
            <w:pPr>
              <w:keepNext/>
              <w:snapToGrid w:val="0"/>
              <w:jc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</w:p>
        </w:tc>
        <w:tc>
          <w:tcPr>
            <w:tcW w:w="31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A79C802">
            <w:pPr>
              <w:keepNext/>
              <w:snapToGrid w:val="0"/>
              <w:jc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</w:p>
        </w:tc>
        <w:tc>
          <w:tcPr>
            <w:tcW w:w="41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CFAE0B4">
            <w:pPr>
              <w:keepNext/>
              <w:snapToGrid w:val="0"/>
              <w:jc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</w:p>
        </w:tc>
        <w:tc>
          <w:tcPr>
            <w:tcW w:w="32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F8B030E">
            <w:pPr>
              <w:keepNext/>
              <w:snapToGrid w:val="0"/>
              <w:jc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</w:p>
        </w:tc>
        <w:tc>
          <w:tcPr>
            <w:tcW w:w="23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300E343">
            <w:pPr>
              <w:keepNext/>
              <w:snapToGrid w:val="0"/>
              <w:jc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</w:p>
        </w:tc>
        <w:tc>
          <w:tcPr>
            <w:tcW w:w="26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41B5D81">
            <w:pPr>
              <w:keepNext/>
              <w:snapToGrid w:val="0"/>
              <w:jc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8DEE16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BCMA-naive: 74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978EC9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BCMA-naive:6-month PFS 63%</w:t>
            </w: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F19A9C8">
            <w:pPr>
              <w:keepNext/>
              <w:snapToGrid w:val="0"/>
              <w:jc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</w:p>
        </w:tc>
        <w:tc>
          <w:tcPr>
            <w:tcW w:w="73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69355B1">
            <w:pPr>
              <w:keepNext/>
              <w:snapToGrid w:val="0"/>
              <w:jc w:val="left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</w:p>
        </w:tc>
        <w:tc>
          <w:tcPr>
            <w:tcW w:w="32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D4B40D8">
            <w:pPr>
              <w:keepNext/>
              <w:snapToGrid w:val="0"/>
              <w:jc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</w:p>
        </w:tc>
        <w:tc>
          <w:tcPr>
            <w:tcW w:w="4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B035444">
            <w:pPr>
              <w:keepNext/>
              <w:snapToGrid w:val="0"/>
              <w:jc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</w:p>
        </w:tc>
      </w:tr>
      <w:tr w14:paraId="3C185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7046092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Teclistamab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DF97B8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705F17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A0D5E3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DE5155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retrospective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86F7F0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868BE4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106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55987D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66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6BDCE6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5.4mos/NR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AA30F5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56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C906DF9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CAR-T(n=42), ADC(n=23), ≥2 agents(n=13)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BD7BC7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33(59)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E66780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3ACFF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D7AE9C9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Teclistamab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F6784E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1629DA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F472D0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896DD6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retrospective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EB798E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4716E0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33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E97889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46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65F041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OS: 17.7 weeks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62C789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31A0B78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BCMA-targeted therapy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936EEA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7(35)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B6E8AC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0783C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64F2AA0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Elranatamab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62329A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E02746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F37F00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NCT03269136</w:t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br w:type="textWrapping"/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NCT04649359</w:t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br w:type="textWrapping"/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NCT05014412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00106C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retrospective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26CE06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5E96B1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86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6BD45F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632DA7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7F3119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86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2F6C751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CAR-T(n=36), ADC(n=58), Both(n=8)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04932C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39(45)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32D2F7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4.8mos</w:t>
            </w:r>
          </w:p>
        </w:tc>
      </w:tr>
      <w:tr w14:paraId="256B9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658EDABB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Elranatamab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346A375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69D8C9C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3CC2EA8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1CAD3A0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retrospective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3C98F73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5350C16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34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5C19B1F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53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60CD271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3962BAA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B9FBC8A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BCMA-targeted therapy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5A10B72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23(88)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4E4E1AE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2CFAB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A924966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Linvoseltamab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916A6E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50E6F8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5DA101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NCT03761108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9A8586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A5593D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0162A3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117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D5EBBA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200 mg: 71</w:t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br w:type="textWrapping"/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50 mg: 48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652B61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200mg: NR/31.4mos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E1F51F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2983584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ADC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449D90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7(70)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018A83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06A87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95D8735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RO7297089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418C57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55C051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63C89F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NCT04434469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B869D0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643FC8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93B83B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B39A21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7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D0BD0D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958112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29652AC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BCMA-targeted therapy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BEE33A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1(20)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C3F623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651A0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724EB81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Talquetamab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E6B5A8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GPRC5D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77CBC6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7542FE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NCT03399799</w:t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br w:type="textWrapping"/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NCT04634552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3BDA5A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D87D1A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E81D38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537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59D755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0.4 mg/kg:74</w:t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br w:type="textWrapping"/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0.8 mg/kg:69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4AAFEB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0.4 mg/kg:7.5mos/NR</w:t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br w:type="textWrapping"/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0.8 mg/kg:11.2mos/NR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EF9AAB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78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B16DCDC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CAR-T(n=57), ADC(n=27), BsAb(n=11)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723CE8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52(67)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3B7969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7.7mos/12-month OS rates 74%</w:t>
            </w:r>
          </w:p>
        </w:tc>
      </w:tr>
      <w:tr w14:paraId="4249D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2E5DFDF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Talquetamab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7CA327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GPRC5D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3000CB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3F5063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9FBA91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retrospective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691E98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6B8157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68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F1D408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71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040D53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4.9mos/NR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240103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63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EBB1681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CAR-T(n=43), ADC(n=6), BsAb(n=49)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A5B048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43(68.2)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0CA0C6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4.8mos/NR</w:t>
            </w:r>
          </w:p>
        </w:tc>
      </w:tr>
      <w:tr w14:paraId="440DB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575CE6F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Talquetamab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37D4BD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GPRC5D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8D471C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91E530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B64556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retrospective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32C9DF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1B5E9B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55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AD5215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BCMA-naive: 68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D6E234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BCMA-naive:0.67 mos/NR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54D79D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8474B52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CAR-T(n=18), BsAb(n=6), both(n=12)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221876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17(71)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B54ECD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 3.9 mos/NR</w:t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br w:type="textWrapping"/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 0.77 mos/NR</w:t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br w:type="textWrapping"/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Both 1.63 mos/NR</w:t>
            </w:r>
          </w:p>
        </w:tc>
      </w:tr>
      <w:tr w14:paraId="09B68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5C7F9815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Talquetamab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25FA4DB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GPRC5D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0E8481D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0C768B9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3AD71D2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retrospective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6986BC4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70F10E4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138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6ABEE0D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65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37C4609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6.4mos/NR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03B9409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71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4EFB73F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CAR-T(n=12), ADC(n=10), BsAb(n=5)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2B55D64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41(58)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170A85A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6DB3A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A82A50C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RG6234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1027E1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GPRC5D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7AC5C8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A66598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NCT04557150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38613A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9AD6FB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DA3D58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105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144C87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IV: 71</w:t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br w:type="textWrapping"/>
            </w: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SC: 60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6CC088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C6EECF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685B119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BCMA-targeted therapy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1E7DF1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10(56)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766CC2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56C90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0BB76A1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Cevostamab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2C2D3D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FcRH5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74567F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CB1996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NCT03275103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456491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D3E3D2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7BC3C6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B655F2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BCMA-naive: 61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B0150F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C8CB54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96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D125310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CAR-T(n=60), ADC(n=34), BsAb(n=40)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309352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29(30.2)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347DBD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6E02B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9289ED5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Cevostamab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662372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FcRH5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0E9E09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75A583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NCT05535244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FF677B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D5B837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AD054B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3"/>
                <w:szCs w:val="13"/>
                <w:lang w:val="en-US" w:bidi="ar"/>
              </w:rPr>
              <w:t>42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54E9F1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CAR-T:73, ADC:60, BsAb:10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439E81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C89465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42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95C7A34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CAR-T(n=11), ADC(n=10), BsAb(n=21)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BC90DC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16(38)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B238DC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1CE2C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9CDA3B4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Belantamab mafodotin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610E180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74BC336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ADC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730C1FF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3332961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retrospective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36B541C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62A9636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82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175861A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43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34A6423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3.8mos/17.2mos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6946306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4BCFBF9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CAR-T(n=12), ADC(n=1), BsAb(n=5)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211B5DA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5(28)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noWrap/>
            <w:vAlign w:val="center"/>
          </w:tcPr>
          <w:p w14:paraId="31E442C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6mos</w:t>
            </w:r>
          </w:p>
        </w:tc>
      </w:tr>
      <w:tr w14:paraId="13D01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26785D8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HRC0202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886952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E1498E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73C099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NCT04003168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54A224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810FD7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ED7AC1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2F2F37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D72B35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9mos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455B57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71E7E6C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7E4F54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5(71.4)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5A2DB9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9mos</w:t>
            </w:r>
          </w:p>
        </w:tc>
      </w:tr>
      <w:tr w14:paraId="5FABD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21CE662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cilta-cel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9BF106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1E4E7E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5A07FE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NCT04133636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95685C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755D44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2BD136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A9E93C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09779E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9.1mos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E2C79A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B4389E7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 (n=7) and ADC (n=13)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90E506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12(60)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52ECE4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9.1mos</w:t>
            </w:r>
          </w:p>
        </w:tc>
      </w:tr>
      <w:tr w14:paraId="44280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EEC1083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ide-cel and cilta-cel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14261C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AAD261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F9B3FA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1E6012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retrospective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FC7D97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0EE740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36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6E653E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D2D046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9.6mos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30ED49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36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AFD566D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BsAb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3E983B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27(75)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06DECF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9.6mos</w:t>
            </w:r>
          </w:p>
        </w:tc>
      </w:tr>
      <w:tr w14:paraId="7DB03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E14EB29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HBI0101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38E537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624F8A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365467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NCT04720313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F4D047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8B237A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80CFDD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50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5741A7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90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227575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10.6mos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A4F5D5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1BD4C57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ADC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6268F1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9(75)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04CCF0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56023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CC24334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ide-cel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3990CF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19328E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596448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NCT03361748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0CE96A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076485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4C1992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821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21E4B4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73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F3BE82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8.8mos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844BF9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123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0778F0D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BCMA-targeted therapy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5B7B53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71(58)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3B01AD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46658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CF93D6F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Equecabtagene Autoleucel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0B68A5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5E5FC3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30A27F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ChiCTR2000033946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7AD1CD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737DDE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5483B6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101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F1B0A5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96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B68D9D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078E67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92E3E45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E17AB2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9(75)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D0D684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12mos PFS rate 78.8%</w:t>
            </w:r>
          </w:p>
        </w:tc>
      </w:tr>
      <w:tr w14:paraId="1CE58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EF3DE4C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P-BCMA-ALLO1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CA3E52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69BA17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B8E8CA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NCT04960579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6B6B98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AF79E1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877FD5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E3DF20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97ADC1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9597D1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9210AE9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CAR-T(n=2), BsAb(n=2), both(n=1)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3AC7CF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3(60)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B42CE0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24ECF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C8482BE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anti-GPRC5D CAR T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29890D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GPRC5D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1F9251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E113BA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ChiCTR2100048888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62B1E8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F3F3A9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7B6D3D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37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BE9F96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A10FE5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4.5mos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8FB26D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37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60E56C8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 xml:space="preserve"> CAR-T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F240B8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31(84)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4DBF25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4.5mos</w:t>
            </w:r>
          </w:p>
        </w:tc>
      </w:tr>
      <w:tr w14:paraId="26873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1C518B3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CC-95266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151590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GPRC5D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8D13EC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E614A7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NCT06297226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57223E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6D80DC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995D30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84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3CE7D4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87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3A9DC2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14.5 mos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6705EB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38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FEEB7D9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BCMA-targeted therapy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40FD51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30(79)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E6F150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330C5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C229F77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OriCAR-017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74C508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GPRC5D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5B9282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B4617F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NCT05016778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B132B1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969C81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A2DB19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60286F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100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A00391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11.4 mos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59A603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E6B42A1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3E7E9F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5(100)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3085E09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47834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AAF6541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DM91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5CC7A5B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GPRC5D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07EC5C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A756F02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NCT05739188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63056C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77EC8D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5EC5B9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783039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86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82CA0F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3276AD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A3B58EF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1CF8896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2(67)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1B7E97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118A0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3250EAA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MCARH109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FB0553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GPRC5D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AC2076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0A3E8BF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NCT04674813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B249C8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6951F1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1D7727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1500A9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71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6B2186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150×10⁶group 7.8mos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95EAB9D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FEA8677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BCMA-targeted therapy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3357AA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9(90)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5AFBA4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1FB8B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810B0D3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CT071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35C778E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GPRC5D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D63417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3D2C1D3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NCT05838131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762AEF8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prospective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FDF287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F2095A0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17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0191C01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94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E541605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ADDBED7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7EF3638">
            <w:pPr>
              <w:keepNext/>
              <w:widowControl/>
              <w:snapToGrid w:val="0"/>
              <w:jc w:val="left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CAR-T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EFFBC6A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4(100)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3EBFF94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/</w:t>
            </w:r>
          </w:p>
        </w:tc>
      </w:tr>
      <w:tr w14:paraId="6BC94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color="851321" w:sz="12" w:space="0"/>
              <w:right w:val="nil"/>
            </w:tcBorders>
            <w:shd w:val="clear" w:color="auto" w:fill="FBE0E3"/>
            <w:noWrap/>
            <w:vAlign w:val="center"/>
          </w:tcPr>
          <w:p w14:paraId="0D896A8C">
            <w:pPr>
              <w:keepNext/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3"/>
                <w:szCs w:val="13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3"/>
                <w:szCs w:val="13"/>
                <w:lang w:val="en-US" w:bidi="ar"/>
              </w:rPr>
              <w:t>No.= number. Pts= patients. ORR = overall response rate. PFS = progression-free survival. OS = overall survival. CAR = chimeric antigen receptor. BsAb = bispecific antibodies. ADC = antibody-drug conjugates. Mos=months. SC=subcutaneous. IV=intravenous.</w:t>
            </w:r>
          </w:p>
        </w:tc>
      </w:tr>
    </w:tbl>
    <w:p w14:paraId="23808030">
      <w:pPr>
        <w:spacing w:line="480" w:lineRule="auto"/>
        <w:rPr>
          <w:rFonts w:ascii="Arial" w:hAnsi="Arial" w:eastAsia="宋体" w:cs="Arial"/>
          <w:color w:val="08090C"/>
          <w:kern w:val="0"/>
          <w:sz w:val="16"/>
          <w:szCs w:val="16"/>
          <w:lang w:val="en-US" w:bidi="ar"/>
        </w:rPr>
      </w:pPr>
      <w:r>
        <w:rPr>
          <w:rFonts w:hint="eastAsia" w:ascii="Arial" w:hAnsi="Arial" w:cs="Arial"/>
          <w:b/>
          <w:bCs/>
        </w:rPr>
        <w:t>Table 1</w:t>
      </w:r>
      <w:r>
        <w:rPr>
          <w:rFonts w:ascii="Arial" w:hAnsi="Arial" w:cs="Arial"/>
          <w:b/>
          <w:bCs/>
        </w:rPr>
        <w:t xml:space="preserve"> Additional characteristics of the included trials</w:t>
      </w:r>
    </w:p>
    <w:tbl>
      <w:tblPr>
        <w:tblStyle w:val="4"/>
        <w:tblW w:w="8768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549"/>
        <w:gridCol w:w="1512"/>
        <w:gridCol w:w="870"/>
        <w:gridCol w:w="1797"/>
        <w:gridCol w:w="1040"/>
      </w:tblGrid>
      <w:tr w14:paraId="266F169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768" w:type="dxa"/>
            <w:gridSpan w:val="5"/>
            <w:tcBorders>
              <w:top w:val="single" w:color="851321" w:sz="12" w:space="0"/>
              <w:left w:val="nil"/>
              <w:bottom w:val="single" w:color="851321" w:sz="6" w:space="0"/>
              <w:right w:val="nil"/>
            </w:tcBorders>
            <w:shd w:val="clear" w:color="auto" w:fill="FFFFFF"/>
            <w:vAlign w:val="center"/>
          </w:tcPr>
          <w:p w14:paraId="13C27780">
            <w:pPr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851321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color w:val="851321"/>
                <w:kern w:val="0"/>
                <w:sz w:val="20"/>
                <w:szCs w:val="20"/>
                <w:lang w:bidi="ar"/>
              </w:rPr>
              <w:t>Table 2</w:t>
            </w:r>
            <w:r>
              <w:rPr>
                <w:rFonts w:ascii="Arial" w:hAnsi="Arial" w:eastAsia="宋体" w:cs="Arial"/>
                <w:b/>
                <w:bCs/>
                <w:color w:val="851321"/>
                <w:kern w:val="0"/>
                <w:sz w:val="20"/>
                <w:szCs w:val="20"/>
                <w:lang w:bidi="ar"/>
              </w:rPr>
              <w:t xml:space="preserve"> Univariate meta-regression analysis to explore the factors that affect the overall response rate</w:t>
            </w:r>
          </w:p>
        </w:tc>
      </w:tr>
      <w:tr w14:paraId="0A7C996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549" w:type="dxa"/>
            <w:tcBorders>
              <w:top w:val="single" w:color="851321" w:sz="6" w:space="0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EC31F7D">
            <w:pPr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bidi="ar"/>
              </w:rPr>
              <w:t>Variables</w:t>
            </w:r>
          </w:p>
        </w:tc>
        <w:tc>
          <w:tcPr>
            <w:tcW w:w="1512" w:type="dxa"/>
            <w:tcBorders>
              <w:top w:val="single" w:color="851321" w:sz="6" w:space="0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E9BB674">
            <w:pPr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bidi="ar"/>
              </w:rPr>
              <w:t>Coefficient</w:t>
            </w:r>
          </w:p>
        </w:tc>
        <w:tc>
          <w:tcPr>
            <w:tcW w:w="870" w:type="dxa"/>
            <w:tcBorders>
              <w:top w:val="single" w:color="851321" w:sz="6" w:space="0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6B37B3F">
            <w:pPr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bidi="ar"/>
              </w:rPr>
              <w:t>SE</w:t>
            </w:r>
          </w:p>
        </w:tc>
        <w:tc>
          <w:tcPr>
            <w:tcW w:w="1797" w:type="dxa"/>
            <w:tcBorders>
              <w:top w:val="single" w:color="851321" w:sz="6" w:space="0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E8C0A83">
            <w:pPr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bidi="ar"/>
              </w:rPr>
              <w:t>95% CI</w:t>
            </w:r>
          </w:p>
        </w:tc>
        <w:tc>
          <w:tcPr>
            <w:tcW w:w="1040" w:type="dxa"/>
            <w:tcBorders>
              <w:top w:val="single" w:color="851321" w:sz="6" w:space="0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D7C0946">
            <w:pPr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bidi="ar"/>
              </w:rPr>
              <w:t>P</w:t>
            </w:r>
          </w:p>
        </w:tc>
      </w:tr>
      <w:tr w14:paraId="57BDB50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91699A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commercial CAR-T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3117835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0.444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03D493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0.253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A2FAE0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(0.949-2.562)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2335E8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0.08</w:t>
            </w:r>
          </w:p>
        </w:tc>
      </w:tr>
      <w:tr w14:paraId="4DE3D47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3D7E8C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GPRC5D CAR-T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D08E19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1.517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8C367E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0.332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B74C62F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(2.378-8.746)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9E3A955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6"/>
                <w:szCs w:val="16"/>
                <w:lang w:val="en-US" w:bidi="ar"/>
              </w:rPr>
              <w:t>&lt;0.001</w:t>
            </w:r>
          </w:p>
        </w:tc>
      </w:tr>
      <w:tr w14:paraId="7BBACC6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85A574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BCMA CAR-T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CD349A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0.747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0BCBBF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0.489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383028F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(0.809-5.509)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4062B6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0.127</w:t>
            </w:r>
          </w:p>
        </w:tc>
      </w:tr>
      <w:tr w14:paraId="0662BC5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841678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kern w:val="0"/>
                <w:sz w:val="16"/>
                <w:szCs w:val="16"/>
                <w:lang w:val="en-US" w:bidi="ar"/>
              </w:rPr>
              <w:t>Cevostamab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02DC90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-0.802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785548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 xml:space="preserve">0.278 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109849B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(0.260-0.773)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53110EA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6"/>
                <w:szCs w:val="16"/>
                <w:lang w:val="en-US" w:bidi="ar"/>
              </w:rPr>
              <w:t>0.004</w:t>
            </w:r>
          </w:p>
        </w:tc>
      </w:tr>
      <w:tr w14:paraId="1FA39A8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4E065E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Talquetamab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FB2BC1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0.486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6E5ADE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0.224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44CFC3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(1.048-2.522)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875860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b/>
                <w:bCs/>
                <w:color w:val="08090C"/>
                <w:kern w:val="0"/>
                <w:sz w:val="16"/>
                <w:szCs w:val="16"/>
                <w:lang w:val="en-US" w:bidi="ar"/>
              </w:rPr>
              <w:t>0.03</w:t>
            </w:r>
          </w:p>
        </w:tc>
      </w:tr>
      <w:tr w14:paraId="46EBB27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26BFAAB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Extramedullary disease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37C52DA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-0.021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383622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0.013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258DCF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(0.954-1.005)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621BA0F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0.114</w:t>
            </w:r>
          </w:p>
        </w:tc>
      </w:tr>
      <w:tr w14:paraId="313CF14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B2AFB2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High-risk cytogenetic profile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1AF1617B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0.002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935778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0.046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336AF8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(0.916-1.096)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3F8F78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0.965</w:t>
            </w:r>
          </w:p>
        </w:tc>
      </w:tr>
      <w:tr w14:paraId="32A7BCE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A01E92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R-ISS stage III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65AFA6E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-0.044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B45FF5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0.073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7617AFA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(0.830-1.103)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1B7C905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0.543</w:t>
            </w:r>
          </w:p>
        </w:tc>
      </w:tr>
      <w:tr w14:paraId="218787F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807B08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Median age (years)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A0C227B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-0.088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E9390B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0.073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4E229F2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(0.794-1.057)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213FA41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0.228</w:t>
            </w:r>
          </w:p>
        </w:tc>
      </w:tr>
      <w:tr w14:paraId="42E490D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777AE4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Median prior lines of therapy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5659F5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-0.258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69E229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0.223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0BA118C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(0.499-1.195)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E4046B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0.246</w:t>
            </w:r>
          </w:p>
        </w:tc>
      </w:tr>
      <w:tr w14:paraId="789E1F1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595B68A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Penta refractory MM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6B88A09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-0.021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73851C7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0.023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54A0EA6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(0.936-1.023)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BE0E3"/>
            <w:vAlign w:val="center"/>
          </w:tcPr>
          <w:p w14:paraId="3C4D32AE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0.343</w:t>
            </w:r>
          </w:p>
        </w:tc>
      </w:tr>
      <w:tr w14:paraId="4C1A817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768" w:type="dxa"/>
            <w:gridSpan w:val="5"/>
            <w:tcBorders>
              <w:top w:val="nil"/>
              <w:left w:val="nil"/>
              <w:bottom w:val="single" w:color="851321" w:sz="12" w:space="0"/>
              <w:right w:val="nil"/>
            </w:tcBorders>
            <w:shd w:val="clear" w:color="auto" w:fill="FBE0E3"/>
            <w:vAlign w:val="center"/>
          </w:tcPr>
          <w:p w14:paraId="651AB18E">
            <w:pPr>
              <w:widowControl/>
              <w:snapToGrid w:val="0"/>
              <w:jc w:val="center"/>
              <w:textAlignment w:val="center"/>
              <w:rPr>
                <w:rFonts w:ascii="Arial" w:hAnsi="Arial" w:eastAsia="宋体" w:cs="Arial"/>
                <w:color w:val="08090C"/>
                <w:sz w:val="16"/>
                <w:szCs w:val="16"/>
                <w:lang w:val="en-US"/>
              </w:rPr>
            </w:pP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 xml:space="preserve">CAR= chimeric antigen receptor. </w:t>
            </w: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bidi="ar"/>
              </w:rPr>
              <w:t>R-ISS</w:t>
            </w: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 xml:space="preserve"> = </w:t>
            </w: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bidi="ar"/>
              </w:rPr>
              <w:t>The Revised International Staging System.</w:t>
            </w: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 xml:space="preserve"> MM = multiple myeloma. </w:t>
            </w: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bidi="ar"/>
              </w:rPr>
              <w:t>SE</w:t>
            </w: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 xml:space="preserve">=standard error. </w:t>
            </w: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bidi="ar"/>
              </w:rPr>
              <w:t>CI</w:t>
            </w:r>
            <w:r>
              <w:rPr>
                <w:rFonts w:ascii="Arial" w:hAnsi="Arial" w:eastAsia="宋体" w:cs="Arial"/>
                <w:color w:val="08090C"/>
                <w:kern w:val="0"/>
                <w:sz w:val="16"/>
                <w:szCs w:val="16"/>
                <w:lang w:val="en-US" w:bidi="ar"/>
              </w:rPr>
              <w:t>=confidence interval.</w:t>
            </w:r>
          </w:p>
        </w:tc>
      </w:tr>
    </w:tbl>
    <w:p w14:paraId="7ED4D7E3">
      <w:pPr>
        <w:spacing w:line="480" w:lineRule="auto"/>
      </w:pPr>
      <w:r>
        <w:rPr>
          <w:rFonts w:hint="eastAsia" w:ascii="Arial" w:hAnsi="Arial" w:cs="Arial"/>
          <w:b/>
          <w:bCs/>
          <w:szCs w:val="21"/>
        </w:rPr>
        <w:t>Table 2</w:t>
      </w:r>
      <w:r>
        <w:rPr>
          <w:rFonts w:ascii="Arial" w:hAnsi="Arial" w:cs="Arial"/>
          <w:b/>
          <w:bCs/>
          <w:szCs w:val="21"/>
        </w:rPr>
        <w:t>: Univariate meta-regression analysis to explore the factors that affect the overall response rate.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D110D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91B67">
                          <w:pPr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591B67">
                    <w:pPr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E6E4F"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D6017"/>
    <w:rsid w:val="431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GB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Arial" w:hAnsi="Arial" w:cs="Arial"/>
      <w:b/>
      <w:bCs/>
      <w:color w:val="851321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b/>
      <w:bCs/>
      <w:color w:val="08090C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2026-01-31T13:35:00Z</dcterms:created>
  <dc:creator>夕阳下的欢韵i</dc:creator>
  <cp:lastModifiedBy>夕阳下的欢韵i</cp:lastModifiedBy>
  <dcterms:modified xsi:type="dcterms:W3CDTF">2026-01-31T13:36:08Z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12D9F376AC81410BB0627257309BD247_11</vt:lpwstr>
  </property>
  <property fmtid="{D5CDD505-2E9C-101B-9397-08002B2CF9AE}" pid="4" name="KSOTemplateDocerSaveRecord">
    <vt:lpwstr>eyJoZGlkIjoiOTQ3YTVmNDljODhlZjQ4ZmE5YTIxMGE4ODM4MmFkY2IiLCJ1c2VySWQiOiIzOTQ0ODE0MjAifQ==</vt:lpwstr>
  </property>
</Properties>
</file>