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CDD33" w14:textId="77777777" w:rsidR="000540DF" w:rsidRDefault="000540DF" w:rsidP="000540DF">
      <w:pPr>
        <w:jc w:val="both"/>
        <w:rPr>
          <w:rFonts w:ascii="Times New Roman" w:hAnsi="Times New Roman" w:cs="Times New Roman"/>
          <w:lang w:val="en-US"/>
        </w:rPr>
      </w:pPr>
      <w:r>
        <w:rPr>
          <w:rFonts w:ascii="Times New Roman" w:hAnsi="Times New Roman" w:cs="Times New Roman"/>
          <w:lang w:val="en-US"/>
        </w:rPr>
        <w:t>Table 1 – Description of the individual level variables measuring outcomes, treatment and control variables used in the entropy balancing procedure</w:t>
      </w:r>
    </w:p>
    <w:p w14:paraId="0CFEF334" w14:textId="77777777" w:rsidR="000540DF" w:rsidRDefault="000540DF" w:rsidP="000540DF">
      <w:pPr>
        <w:jc w:val="both"/>
        <w:rPr>
          <w:rFonts w:ascii="Aptos" w:hAnsi="Aptos"/>
          <w:lang w:val="en-US"/>
        </w:rPr>
      </w:pPr>
    </w:p>
    <w:tbl>
      <w:tblPr>
        <w:tblStyle w:val="TableGrid"/>
        <w:tblW w:w="0" w:type="auto"/>
        <w:tblInd w:w="-3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3034"/>
        <w:gridCol w:w="3017"/>
        <w:gridCol w:w="2989"/>
      </w:tblGrid>
      <w:tr w:rsidR="000540DF" w14:paraId="4ED80B4D" w14:textId="77777777">
        <w:trPr>
          <w:trHeight w:val="300"/>
        </w:trPr>
        <w:tc>
          <w:tcPr>
            <w:tcW w:w="3645" w:type="dxa"/>
            <w:tcBorders>
              <w:top w:val="single" w:sz="6" w:space="0" w:color="auto"/>
              <w:left w:val="single" w:sz="6" w:space="0" w:color="auto"/>
              <w:bottom w:val="single" w:sz="4" w:space="0" w:color="000000" w:themeColor="text1"/>
              <w:right w:val="single" w:sz="4" w:space="0" w:color="000000" w:themeColor="text1"/>
            </w:tcBorders>
            <w:tcMar>
              <w:top w:w="0" w:type="dxa"/>
              <w:left w:w="105" w:type="dxa"/>
              <w:bottom w:w="0" w:type="dxa"/>
              <w:right w:w="105" w:type="dxa"/>
            </w:tcMar>
            <w:hideMark/>
          </w:tcPr>
          <w:p w14:paraId="2BC4C72B" w14:textId="77777777" w:rsidR="000540DF" w:rsidRDefault="000540DF">
            <w:pPr>
              <w:spacing w:after="200"/>
              <w:jc w:val="cente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lang w:val="en-GB"/>
              </w:rPr>
              <w:t>Variable</w:t>
            </w:r>
          </w:p>
        </w:tc>
        <w:tc>
          <w:tcPr>
            <w:tcW w:w="3585" w:type="dxa"/>
            <w:tcBorders>
              <w:top w:val="single" w:sz="6"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hideMark/>
          </w:tcPr>
          <w:p w14:paraId="371975B8" w14:textId="77777777" w:rsidR="000540DF" w:rsidRDefault="000540DF">
            <w:pPr>
              <w:spacing w:after="200"/>
              <w:jc w:val="cente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lang w:val="en-GB"/>
              </w:rPr>
              <w:t>Description</w:t>
            </w:r>
          </w:p>
        </w:tc>
        <w:tc>
          <w:tcPr>
            <w:tcW w:w="3570" w:type="dxa"/>
            <w:tcBorders>
              <w:top w:val="single" w:sz="6" w:space="0" w:color="auto"/>
              <w:left w:val="single" w:sz="4" w:space="0" w:color="000000" w:themeColor="text1"/>
              <w:bottom w:val="single" w:sz="4" w:space="0" w:color="000000" w:themeColor="text1"/>
              <w:right w:val="single" w:sz="6" w:space="0" w:color="auto"/>
            </w:tcBorders>
            <w:tcMar>
              <w:top w:w="0" w:type="dxa"/>
              <w:left w:w="105" w:type="dxa"/>
              <w:bottom w:w="0" w:type="dxa"/>
              <w:right w:w="105" w:type="dxa"/>
            </w:tcMar>
            <w:hideMark/>
          </w:tcPr>
          <w:p w14:paraId="66C5D70D" w14:textId="77777777" w:rsidR="000540DF" w:rsidRDefault="000540DF">
            <w:pPr>
              <w:spacing w:after="200"/>
              <w:jc w:val="cente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lang w:val="en-GB"/>
              </w:rPr>
              <w:t>Source</w:t>
            </w:r>
          </w:p>
        </w:tc>
      </w:tr>
      <w:tr w:rsidR="000540DF" w14:paraId="30F1FAC9" w14:textId="77777777">
        <w:trPr>
          <w:trHeight w:val="300"/>
        </w:trPr>
        <w:tc>
          <w:tcPr>
            <w:tcW w:w="10800" w:type="dxa"/>
            <w:gridSpan w:val="3"/>
            <w:tcBorders>
              <w:top w:val="single" w:sz="4" w:space="0" w:color="000000" w:themeColor="text1"/>
              <w:left w:val="single" w:sz="6" w:space="0" w:color="auto"/>
              <w:bottom w:val="single" w:sz="4" w:space="0" w:color="000000" w:themeColor="text1"/>
              <w:right w:val="single" w:sz="6" w:space="0" w:color="auto"/>
            </w:tcBorders>
            <w:shd w:val="clear" w:color="auto" w:fill="E8E8E8" w:themeFill="background2"/>
            <w:tcMar>
              <w:top w:w="0" w:type="dxa"/>
              <w:left w:w="105" w:type="dxa"/>
              <w:bottom w:w="0" w:type="dxa"/>
              <w:right w:w="105" w:type="dxa"/>
            </w:tcMar>
            <w:hideMark/>
          </w:tcPr>
          <w:p w14:paraId="5136734C" w14:textId="77777777" w:rsidR="000540DF" w:rsidRDefault="000540DF">
            <w:pPr>
              <w:spacing w:after="200"/>
              <w:jc w:val="center"/>
              <w:rPr>
                <w:rFonts w:ascii="Times New Roman" w:eastAsia="Times New Roman" w:hAnsi="Times New Roman" w:cs="Times New Roman"/>
                <w:color w:val="000000" w:themeColor="text1"/>
                <w:sz w:val="22"/>
                <w:szCs w:val="22"/>
              </w:rPr>
            </w:pPr>
            <w:r>
              <w:rPr>
                <w:rFonts w:ascii="Times New Roman" w:eastAsia="Times New Roman" w:hAnsi="Times New Roman" w:cs="Times New Roman"/>
                <w:b/>
                <w:bCs/>
                <w:color w:val="000000" w:themeColor="text1"/>
                <w:sz w:val="22"/>
                <w:szCs w:val="22"/>
                <w:lang w:val="en-GB"/>
              </w:rPr>
              <w:t>OUTCOMES</w:t>
            </w:r>
          </w:p>
        </w:tc>
      </w:tr>
      <w:tr w:rsidR="000540DF" w14:paraId="22CCA433"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FFFFFF" w:themeFill="background1"/>
            <w:tcMar>
              <w:top w:w="0" w:type="dxa"/>
              <w:left w:w="105" w:type="dxa"/>
              <w:bottom w:w="0" w:type="dxa"/>
              <w:right w:w="105" w:type="dxa"/>
            </w:tcMar>
          </w:tcPr>
          <w:p w14:paraId="4E2EB222"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70749645"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Reading achievement in Grade 10</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5" w:type="dxa"/>
              <w:bottom w:w="0" w:type="dxa"/>
              <w:right w:w="105" w:type="dxa"/>
            </w:tcMar>
          </w:tcPr>
          <w:p w14:paraId="43B5BFB1" w14:textId="77777777" w:rsidR="000540DF" w:rsidRDefault="000540DF">
            <w:pPr>
              <w:spacing w:after="200"/>
              <w:rPr>
                <w:rFonts w:ascii="Times New Roman" w:eastAsia="Times New Roman" w:hAnsi="Times New Roman" w:cs="Times New Roman"/>
                <w:color w:val="000000" w:themeColor="text1"/>
                <w:sz w:val="20"/>
                <w:szCs w:val="20"/>
                <w:lang w:val="en-GB"/>
              </w:rPr>
            </w:pPr>
          </w:p>
          <w:p w14:paraId="2E87AF0F"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Standardized test scores in the INVALSI Italian language assessment</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FFFFFF" w:themeFill="background1"/>
            <w:tcMar>
              <w:top w:w="0" w:type="dxa"/>
              <w:left w:w="105" w:type="dxa"/>
              <w:bottom w:w="0" w:type="dxa"/>
              <w:right w:w="105" w:type="dxa"/>
            </w:tcMar>
          </w:tcPr>
          <w:p w14:paraId="2653B069"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73A37D70"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621034F6"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10) 2017/2018</w:t>
            </w:r>
          </w:p>
        </w:tc>
      </w:tr>
      <w:tr w:rsidR="000540DF" w14:paraId="1C32A448"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FFFFFF" w:themeFill="background1"/>
            <w:tcMar>
              <w:top w:w="0" w:type="dxa"/>
              <w:left w:w="105" w:type="dxa"/>
              <w:bottom w:w="0" w:type="dxa"/>
              <w:right w:w="105" w:type="dxa"/>
            </w:tcMar>
          </w:tcPr>
          <w:p w14:paraId="1FC40269"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3D9D2D5E"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Math achievement in Grade 10</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5" w:type="dxa"/>
              <w:bottom w:w="0" w:type="dxa"/>
              <w:right w:w="105" w:type="dxa"/>
            </w:tcMar>
          </w:tcPr>
          <w:p w14:paraId="51E243F7" w14:textId="77777777" w:rsidR="000540DF" w:rsidRDefault="000540DF">
            <w:pPr>
              <w:spacing w:after="200"/>
              <w:rPr>
                <w:rFonts w:ascii="Times New Roman" w:eastAsia="Times New Roman" w:hAnsi="Times New Roman" w:cs="Times New Roman"/>
                <w:color w:val="000000" w:themeColor="text1"/>
                <w:sz w:val="20"/>
                <w:szCs w:val="20"/>
                <w:lang w:val="en-GB"/>
              </w:rPr>
            </w:pPr>
          </w:p>
          <w:p w14:paraId="70564C3F"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Standardized test scores in the INVALSI mathematics assessment</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FFFFFF" w:themeFill="background1"/>
            <w:tcMar>
              <w:top w:w="0" w:type="dxa"/>
              <w:left w:w="105" w:type="dxa"/>
              <w:bottom w:w="0" w:type="dxa"/>
              <w:right w:w="105" w:type="dxa"/>
            </w:tcMar>
          </w:tcPr>
          <w:p w14:paraId="39B7EDD8"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602C531B"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1F7D1245"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10) 2017/2018</w:t>
            </w:r>
          </w:p>
        </w:tc>
      </w:tr>
      <w:tr w:rsidR="000540DF" w14:paraId="51ADAA0D" w14:textId="77777777">
        <w:trPr>
          <w:trHeight w:val="300"/>
        </w:trPr>
        <w:tc>
          <w:tcPr>
            <w:tcW w:w="10800" w:type="dxa"/>
            <w:gridSpan w:val="3"/>
            <w:tcBorders>
              <w:top w:val="single" w:sz="4" w:space="0" w:color="000000" w:themeColor="text1"/>
              <w:left w:val="single" w:sz="6" w:space="0" w:color="auto"/>
              <w:bottom w:val="single" w:sz="4" w:space="0" w:color="000000" w:themeColor="text1"/>
              <w:right w:val="single" w:sz="6" w:space="0" w:color="auto"/>
            </w:tcBorders>
            <w:shd w:val="clear" w:color="auto" w:fill="E8E8E8" w:themeFill="background2"/>
            <w:tcMar>
              <w:top w:w="0" w:type="dxa"/>
              <w:left w:w="105" w:type="dxa"/>
              <w:bottom w:w="0" w:type="dxa"/>
              <w:right w:w="105" w:type="dxa"/>
            </w:tcMar>
            <w:hideMark/>
          </w:tcPr>
          <w:p w14:paraId="5DD50F02" w14:textId="77777777" w:rsidR="000540DF" w:rsidRDefault="000540DF">
            <w:pPr>
              <w:tabs>
                <w:tab w:val="left" w:pos="1116"/>
              </w:tabs>
              <w:spacing w:after="200"/>
              <w:jc w:val="center"/>
              <w:rPr>
                <w:rFonts w:ascii="Times New Roman" w:eastAsia="Times New Roman" w:hAnsi="Times New Roman" w:cs="Times New Roman"/>
                <w:color w:val="000000" w:themeColor="text1"/>
                <w:sz w:val="22"/>
                <w:szCs w:val="22"/>
              </w:rPr>
            </w:pPr>
            <w:r>
              <w:rPr>
                <w:rFonts w:ascii="Times New Roman" w:eastAsia="Times New Roman" w:hAnsi="Times New Roman" w:cs="Times New Roman"/>
                <w:b/>
                <w:bCs/>
                <w:color w:val="000000" w:themeColor="text1"/>
                <w:sz w:val="22"/>
                <w:szCs w:val="22"/>
                <w:lang w:val="en-GB"/>
              </w:rPr>
              <w:t>TREATMENT</w:t>
            </w:r>
          </w:p>
        </w:tc>
      </w:tr>
      <w:tr w:rsidR="000540DF" w14:paraId="0495FFEC"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FFFFFF" w:themeFill="background1"/>
            <w:tcMar>
              <w:top w:w="0" w:type="dxa"/>
              <w:left w:w="105" w:type="dxa"/>
              <w:bottom w:w="0" w:type="dxa"/>
              <w:right w:w="105" w:type="dxa"/>
            </w:tcMar>
          </w:tcPr>
          <w:p w14:paraId="0E6184E6"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4E342CAB"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Educational track placement</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0" w:type="dxa"/>
              <w:left w:w="105" w:type="dxa"/>
              <w:bottom w:w="0" w:type="dxa"/>
              <w:right w:w="105" w:type="dxa"/>
            </w:tcMar>
          </w:tcPr>
          <w:p w14:paraId="42A2700A"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6CB11A41"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Dichotomous variable distinguishing among lyceum and technical tracks</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FFFFFF" w:themeFill="background1"/>
            <w:tcMar>
              <w:top w:w="0" w:type="dxa"/>
              <w:left w:w="105" w:type="dxa"/>
              <w:bottom w:w="0" w:type="dxa"/>
              <w:right w:w="105" w:type="dxa"/>
            </w:tcMar>
          </w:tcPr>
          <w:p w14:paraId="61491BA8"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4CB6F989"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228FE020"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10) 2017/2018</w:t>
            </w:r>
          </w:p>
        </w:tc>
      </w:tr>
      <w:tr w:rsidR="000540DF" w14:paraId="38161666" w14:textId="77777777">
        <w:trPr>
          <w:trHeight w:val="300"/>
        </w:trPr>
        <w:tc>
          <w:tcPr>
            <w:tcW w:w="10800" w:type="dxa"/>
            <w:gridSpan w:val="3"/>
            <w:tcBorders>
              <w:top w:val="single" w:sz="4" w:space="0" w:color="000000" w:themeColor="text1"/>
              <w:left w:val="single" w:sz="6" w:space="0" w:color="auto"/>
              <w:bottom w:val="single" w:sz="4" w:space="0" w:color="000000" w:themeColor="text1"/>
              <w:right w:val="single" w:sz="6" w:space="0" w:color="auto"/>
            </w:tcBorders>
            <w:shd w:val="clear" w:color="auto" w:fill="E8E8E8" w:themeFill="background2"/>
            <w:tcMar>
              <w:top w:w="0" w:type="dxa"/>
              <w:left w:w="105" w:type="dxa"/>
              <w:bottom w:w="0" w:type="dxa"/>
              <w:right w:w="105" w:type="dxa"/>
            </w:tcMar>
            <w:hideMark/>
          </w:tcPr>
          <w:p w14:paraId="0987C17A" w14:textId="77777777" w:rsidR="000540DF" w:rsidRDefault="000540DF">
            <w:pPr>
              <w:tabs>
                <w:tab w:val="left" w:pos="1116"/>
              </w:tabs>
              <w:spacing w:after="200"/>
              <w:jc w:val="center"/>
              <w:rPr>
                <w:rFonts w:ascii="Times New Roman" w:eastAsia="Times New Roman" w:hAnsi="Times New Roman" w:cs="Times New Roman"/>
                <w:color w:val="000000" w:themeColor="text1"/>
                <w:sz w:val="22"/>
                <w:szCs w:val="22"/>
              </w:rPr>
            </w:pPr>
            <w:r>
              <w:rPr>
                <w:rFonts w:ascii="Times New Roman" w:eastAsia="Times New Roman" w:hAnsi="Times New Roman" w:cs="Times New Roman"/>
                <w:b/>
                <w:bCs/>
                <w:color w:val="000000" w:themeColor="text1"/>
                <w:sz w:val="22"/>
                <w:szCs w:val="22"/>
                <w:lang w:val="en-GB"/>
              </w:rPr>
              <w:t>STUDENT COVARIATES</w:t>
            </w:r>
          </w:p>
        </w:tc>
      </w:tr>
      <w:tr w:rsidR="000540DF" w14:paraId="202BC331"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2661FEB"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62E3648B"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Reading achievement in Grade 8</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8951119"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19BDB571"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Standardized test scores in the INVALSI Italian language assessment</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1DE65CDC"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29852F3A"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75718C99"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8) 2015/2016</w:t>
            </w:r>
          </w:p>
        </w:tc>
      </w:tr>
      <w:tr w:rsidR="000540DF" w14:paraId="0B78C9EC"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9EC0126"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7DF4DA2E"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Math achievement in Grade 8</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35630C93" w14:textId="77777777" w:rsidR="000540DF" w:rsidRDefault="000540DF">
            <w:pPr>
              <w:spacing w:after="200"/>
              <w:rPr>
                <w:rFonts w:ascii="Times New Roman" w:eastAsia="Times New Roman" w:hAnsi="Times New Roman" w:cs="Times New Roman"/>
                <w:color w:val="000000" w:themeColor="text1"/>
                <w:sz w:val="20"/>
                <w:szCs w:val="20"/>
                <w:lang w:val="en-GB"/>
              </w:rPr>
            </w:pPr>
          </w:p>
          <w:p w14:paraId="33E6329A"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Standardized test scores in the INVALSI mathematics assessment</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21301790"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4D04AC14"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474A6105"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8) 2015/2016</w:t>
            </w:r>
          </w:p>
        </w:tc>
      </w:tr>
      <w:tr w:rsidR="000540DF" w14:paraId="64DEEA73"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33E712B1"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42C4CD5E"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Reading achievement in Grade 5</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3076A6A" w14:textId="77777777" w:rsidR="000540DF" w:rsidRDefault="000540DF">
            <w:pPr>
              <w:spacing w:after="200"/>
              <w:rPr>
                <w:rFonts w:ascii="Times New Roman" w:eastAsia="Times New Roman" w:hAnsi="Times New Roman" w:cs="Times New Roman"/>
                <w:color w:val="000000" w:themeColor="text1"/>
                <w:sz w:val="20"/>
                <w:szCs w:val="20"/>
                <w:lang w:val="en-GB"/>
              </w:rPr>
            </w:pPr>
          </w:p>
          <w:p w14:paraId="1E8A2121"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Standardized test scores in the INVALSI Italian language assessment</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3425A071"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2288E465"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78AECC42"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5A420CE8"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56D51BF6"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489E9292"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Math achievement in Grade 5</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0669BB97"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214E4D73"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Standardized test scores in the INVALSI mathematics assessment</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53FDF417"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508A02DA"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599C3FA2"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1F9C6C90"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32F5FF11"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22470066"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18E71F00"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 xml:space="preserve">Student ESCS </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759D0396"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239F815D"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lastRenderedPageBreak/>
              <w:t>Continuous index constructed by combining information on parental education, parental occupational status, and the educational and cultural resources available at home.</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3932879B"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62890F56"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3F1E41C4"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06CDC8C9"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5EA73B4B"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EFD83DD"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6EB88DEC"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3929925E"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Migration background</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0AE0EEE7" w14:textId="77777777" w:rsidR="000540DF" w:rsidRDefault="000540DF">
            <w:pPr>
              <w:spacing w:after="200"/>
              <w:rPr>
                <w:rFonts w:ascii="Times New Roman" w:eastAsia="Times New Roman" w:hAnsi="Times New Roman" w:cs="Times New Roman"/>
                <w:color w:val="000000" w:themeColor="text1"/>
                <w:sz w:val="20"/>
                <w:szCs w:val="20"/>
                <w:lang w:val="en-GB"/>
              </w:rPr>
            </w:pPr>
          </w:p>
          <w:p w14:paraId="7239C3B8"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US"/>
              </w:rPr>
              <w:t>Derived indicator that combines information on the student’s and parents’ countries of birth. Students are classified as native, second-generation immigrant, or first-generation immigrant.</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2D1665B4"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p>
          <w:p w14:paraId="4F48679B"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p>
          <w:p w14:paraId="27BB8E82"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6156EBF7"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2EE9C9C2"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509AA0E9" w14:textId="77777777" w:rsidR="000540DF" w:rsidRDefault="000540DF">
            <w:pPr>
              <w:spacing w:after="200"/>
              <w:rPr>
                <w:rFonts w:ascii="Times New Roman" w:eastAsia="Times New Roman" w:hAnsi="Times New Roman" w:cs="Times New Roman"/>
                <w:color w:val="000000" w:themeColor="text1"/>
                <w:sz w:val="20"/>
                <w:szCs w:val="20"/>
              </w:rPr>
            </w:pPr>
          </w:p>
          <w:p w14:paraId="571BDD5D"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Student sex</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63082701"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4ACD329F"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US"/>
              </w:rPr>
              <w:t>Dichotomous variable distinguishing between male and female students.</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3D1BCEC2"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6ED7CFE0"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684EB7B0"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Derived from Grade 5 and Grade 8 information (2012/2013 – 2015/2016)</w:t>
            </w:r>
          </w:p>
        </w:tc>
      </w:tr>
      <w:tr w:rsidR="000540DF" w14:paraId="26D9AB9D"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59EDE3C1"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16473982"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Geographical area of residence in Grade 8</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575F443"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5928857B"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US"/>
              </w:rPr>
              <w:t>Defined using the standard Italian macro-regional classification, distinguishing between North-West, North-East, Centre, South, and Islands.</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0295A30B"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419C8AED"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2D8A8D34"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3757CBF9"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8) 2015/2016</w:t>
            </w:r>
          </w:p>
          <w:p w14:paraId="3E38DF42"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p>
        </w:tc>
      </w:tr>
      <w:tr w:rsidR="000540DF" w14:paraId="00A45716"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07996833"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233F2EEA"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Geographical area of residence in Grade 5</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9F79E4D" w14:textId="77777777" w:rsidR="000540DF" w:rsidRDefault="000540DF">
            <w:pPr>
              <w:spacing w:after="200"/>
              <w:rPr>
                <w:rFonts w:ascii="Times New Roman" w:eastAsia="Times New Roman" w:hAnsi="Times New Roman" w:cs="Times New Roman"/>
                <w:color w:val="000000" w:themeColor="text1"/>
                <w:sz w:val="20"/>
                <w:szCs w:val="20"/>
                <w:lang w:val="en-GB"/>
              </w:rPr>
            </w:pPr>
          </w:p>
          <w:p w14:paraId="3B80BAE7"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US"/>
              </w:rPr>
              <w:t>Defined using the standard Italian macro-regional classification, distinguishing between North-West, North-East, Centre, South, and Islands.</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548EFBF8" w14:textId="77777777" w:rsidR="000540DF" w:rsidRDefault="000540DF">
            <w:pPr>
              <w:tabs>
                <w:tab w:val="left" w:pos="1116"/>
              </w:tabs>
              <w:spacing w:after="200"/>
              <w:rPr>
                <w:rFonts w:ascii="Times New Roman" w:eastAsia="Times New Roman" w:hAnsi="Times New Roman" w:cs="Times New Roman"/>
                <w:color w:val="000000" w:themeColor="text1"/>
                <w:sz w:val="20"/>
                <w:szCs w:val="20"/>
                <w:lang w:val="en-GB"/>
              </w:rPr>
            </w:pPr>
          </w:p>
          <w:p w14:paraId="0C6540F3"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23795450"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00060CB4"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3BAD8830"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0B4E5ED3"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 xml:space="preserve">Reading appreciation in </w:t>
            </w:r>
            <w:proofErr w:type="gramStart"/>
            <w:r>
              <w:rPr>
                <w:rFonts w:ascii="Times New Roman" w:eastAsia="Times New Roman" w:hAnsi="Times New Roman" w:cs="Times New Roman"/>
                <w:color w:val="000000" w:themeColor="text1"/>
                <w:sz w:val="20"/>
                <w:szCs w:val="20"/>
                <w:lang w:val="en-GB"/>
              </w:rPr>
              <w:t>Grade  5</w:t>
            </w:r>
            <w:proofErr w:type="gramEnd"/>
            <w:r>
              <w:rPr>
                <w:rFonts w:ascii="Times New Roman" w:eastAsia="Times New Roman" w:hAnsi="Times New Roman" w:cs="Times New Roman"/>
                <w:color w:val="000000" w:themeColor="text1"/>
                <w:sz w:val="20"/>
                <w:szCs w:val="20"/>
                <w:lang w:val="en-GB"/>
              </w:rPr>
              <w:t xml:space="preserve"> </w:t>
            </w:r>
            <w:r>
              <w:rPr>
                <w:rFonts w:ascii="Times New Roman" w:eastAsia="Times New Roman" w:hAnsi="Times New Roman" w:cs="Times New Roman"/>
                <w:b/>
                <w:bCs/>
                <w:color w:val="000000" w:themeColor="text1"/>
                <w:sz w:val="20"/>
                <w:szCs w:val="20"/>
                <w:vertAlign w:val="superscript"/>
                <w:lang w:val="en-GB"/>
              </w:rPr>
              <w:t>1</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58988B3C"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6F225AAE"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US"/>
              </w:rPr>
              <w:t>Standardized index measuring students’ enjoyment of reading activities.</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13FDB5E8"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07383FF4"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13FA2FBC"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4E2904DA"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0321FADC"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49A17681"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Mathematics appreciation in Grade 5</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524C1D48"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4D0C226E"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US"/>
              </w:rPr>
              <w:t>Standardized index measuring interest and positive attitudes toward mathematics.</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6591B68B"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2214D182"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13B627FE"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79A05A03"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6AC0746"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609FC75E"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lastRenderedPageBreak/>
              <w:t>Academic diligence in Grade 5</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6CB0512A"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4326A74D" w14:textId="77777777" w:rsidR="000540DF" w:rsidRDefault="000540DF">
            <w:pPr>
              <w:spacing w:after="200"/>
              <w:jc w:val="center"/>
              <w:rPr>
                <w:rFonts w:ascii="Times New Roman" w:eastAsia="Times New Roman" w:hAnsi="Times New Roman" w:cs="Times New Roman"/>
                <w:color w:val="000000" w:themeColor="text1"/>
                <w:sz w:val="20"/>
                <w:szCs w:val="20"/>
                <w:lang w:val="en-US"/>
              </w:rPr>
            </w:pPr>
            <w:r>
              <w:rPr>
                <w:rFonts w:ascii="Times New Roman" w:eastAsia="Times New Roman" w:hAnsi="Times New Roman" w:cs="Times New Roman"/>
                <w:color w:val="000000" w:themeColor="text1"/>
                <w:sz w:val="20"/>
                <w:szCs w:val="20"/>
                <w:lang w:val="en-US"/>
              </w:rPr>
              <w:lastRenderedPageBreak/>
              <w:t>Standardized indicator measuring students’ effort, persistence, and engagement in school tasks.</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3CED164E"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6E7D864D"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lastRenderedPageBreak/>
              <w:t>INVALSI Student Questionnaire</w:t>
            </w:r>
          </w:p>
          <w:p w14:paraId="60961B40"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2DB5BFAD"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7AA1749"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734BF819"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External motivation in Grade 5</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479DA35" w14:textId="77777777" w:rsidR="000540DF" w:rsidRDefault="000540DF">
            <w:pPr>
              <w:spacing w:after="200"/>
              <w:rPr>
                <w:rFonts w:ascii="Times New Roman" w:eastAsia="Times New Roman" w:hAnsi="Times New Roman" w:cs="Times New Roman"/>
                <w:color w:val="000000" w:themeColor="text1"/>
                <w:sz w:val="20"/>
                <w:szCs w:val="20"/>
                <w:lang w:val="en-GB"/>
              </w:rPr>
            </w:pPr>
          </w:p>
          <w:p w14:paraId="11B4F84D"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US"/>
              </w:rPr>
              <w:t>Standardized index capturing the extent to which students are motivated by external rewards or recognition.</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66A65BAA"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171783B8"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7C24E017"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6B61503A" w14:textId="77777777">
        <w:trPr>
          <w:trHeight w:val="300"/>
        </w:trPr>
        <w:tc>
          <w:tcPr>
            <w:tcW w:w="3645" w:type="dxa"/>
            <w:tcBorders>
              <w:top w:val="single" w:sz="4" w:space="0" w:color="000000" w:themeColor="text1"/>
              <w:left w:val="single" w:sz="6"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30872A4A"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4C6E1593"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Test anxiety in Grade 5</w:t>
            </w:r>
          </w:p>
        </w:tc>
        <w:tc>
          <w:tcPr>
            <w:tcW w:w="3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363E8730"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p>
          <w:p w14:paraId="17D50DAA"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US"/>
              </w:rPr>
              <w:t>Standardized index measuring stress and worry related to assessment situations.</w:t>
            </w:r>
          </w:p>
        </w:tc>
        <w:tc>
          <w:tcPr>
            <w:tcW w:w="3570"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6379E256"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55ECE431"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7BFB1BAA"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5) 2012/2013</w:t>
            </w:r>
          </w:p>
        </w:tc>
      </w:tr>
      <w:tr w:rsidR="000540DF" w14:paraId="7327B1A4" w14:textId="77777777">
        <w:trPr>
          <w:trHeight w:val="300"/>
        </w:trPr>
        <w:tc>
          <w:tcPr>
            <w:tcW w:w="3645" w:type="dxa"/>
            <w:tcBorders>
              <w:top w:val="single" w:sz="4" w:space="0" w:color="000000" w:themeColor="text1"/>
              <w:left w:val="single" w:sz="6" w:space="0" w:color="auto"/>
              <w:bottom w:val="single" w:sz="6" w:space="0" w:color="auto"/>
              <w:right w:val="single" w:sz="4" w:space="0" w:color="000000" w:themeColor="text1"/>
            </w:tcBorders>
            <w:tcMar>
              <w:top w:w="0" w:type="dxa"/>
              <w:left w:w="105" w:type="dxa"/>
              <w:bottom w:w="0" w:type="dxa"/>
              <w:right w:w="105" w:type="dxa"/>
            </w:tcMar>
          </w:tcPr>
          <w:p w14:paraId="0F4FAA7F" w14:textId="77777777" w:rsidR="000540DF" w:rsidRDefault="000540DF">
            <w:pPr>
              <w:spacing w:after="200"/>
              <w:jc w:val="center"/>
              <w:rPr>
                <w:rFonts w:ascii="Times New Roman" w:eastAsia="Times New Roman" w:hAnsi="Times New Roman" w:cs="Times New Roman"/>
                <w:color w:val="000000" w:themeColor="text1"/>
                <w:sz w:val="20"/>
                <w:szCs w:val="20"/>
              </w:rPr>
            </w:pPr>
          </w:p>
          <w:p w14:paraId="7E4C937D" w14:textId="77777777" w:rsidR="000540DF" w:rsidRDefault="000540DF">
            <w:pPr>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Student status in Grade 8</w:t>
            </w:r>
          </w:p>
        </w:tc>
        <w:tc>
          <w:tcPr>
            <w:tcW w:w="3585" w:type="dxa"/>
            <w:tcBorders>
              <w:top w:val="single" w:sz="4" w:space="0" w:color="000000" w:themeColor="text1"/>
              <w:left w:val="single" w:sz="4" w:space="0" w:color="000000" w:themeColor="text1"/>
              <w:bottom w:val="single" w:sz="6" w:space="0" w:color="000000" w:themeColor="text1"/>
              <w:right w:val="single" w:sz="4" w:space="0" w:color="000000" w:themeColor="text1"/>
            </w:tcBorders>
            <w:tcMar>
              <w:top w:w="0" w:type="dxa"/>
              <w:left w:w="105" w:type="dxa"/>
              <w:bottom w:w="0" w:type="dxa"/>
              <w:right w:w="105" w:type="dxa"/>
            </w:tcMar>
          </w:tcPr>
          <w:p w14:paraId="5AC31BF1" w14:textId="77777777" w:rsidR="000540DF" w:rsidRDefault="000540DF">
            <w:pPr>
              <w:spacing w:after="200"/>
              <w:rPr>
                <w:rFonts w:ascii="Times New Roman" w:eastAsia="Times New Roman" w:hAnsi="Times New Roman" w:cs="Times New Roman"/>
                <w:color w:val="000000" w:themeColor="text1"/>
                <w:sz w:val="20"/>
                <w:szCs w:val="20"/>
                <w:lang w:val="en-GB"/>
              </w:rPr>
            </w:pPr>
          </w:p>
          <w:p w14:paraId="0A13DE5F" w14:textId="77777777" w:rsidR="000540DF" w:rsidRDefault="000540DF">
            <w:pPr>
              <w:spacing w:after="200"/>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US"/>
              </w:rPr>
              <w:t>Categorical variable measuring students’ progression through the school system, distinguishing between students who are on time for their grade and those who are delayed or have experienced grade repetition.</w:t>
            </w:r>
          </w:p>
        </w:tc>
        <w:tc>
          <w:tcPr>
            <w:tcW w:w="3570" w:type="dxa"/>
            <w:tcBorders>
              <w:top w:val="single" w:sz="4" w:space="0" w:color="000000" w:themeColor="text1"/>
              <w:left w:val="single" w:sz="4" w:space="0" w:color="000000" w:themeColor="text1"/>
              <w:bottom w:val="single" w:sz="6" w:space="0" w:color="auto"/>
              <w:right w:val="single" w:sz="6" w:space="0" w:color="auto"/>
            </w:tcBorders>
            <w:tcMar>
              <w:top w:w="0" w:type="dxa"/>
              <w:left w:w="105" w:type="dxa"/>
              <w:bottom w:w="0" w:type="dxa"/>
              <w:right w:w="105" w:type="dxa"/>
            </w:tcMar>
          </w:tcPr>
          <w:p w14:paraId="3746929E"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29738267"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lang w:val="en-GB"/>
              </w:rPr>
            </w:pPr>
          </w:p>
          <w:p w14:paraId="4F5E7C70"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INVALSI Student Questionnaire</w:t>
            </w:r>
          </w:p>
          <w:p w14:paraId="76D8B86A" w14:textId="77777777" w:rsidR="000540DF" w:rsidRDefault="000540DF">
            <w:pPr>
              <w:tabs>
                <w:tab w:val="left" w:pos="1116"/>
              </w:tabs>
              <w:spacing w:after="200"/>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(Grade 8) 2015/2016</w:t>
            </w:r>
          </w:p>
        </w:tc>
      </w:tr>
    </w:tbl>
    <w:p w14:paraId="54D6D996" w14:textId="77777777" w:rsidR="000540DF" w:rsidRDefault="000540DF" w:rsidP="000540DF">
      <w:pPr>
        <w:jc w:val="both"/>
        <w:rPr>
          <w:rFonts w:ascii="Aptos" w:hAnsi="Aptos"/>
          <w:lang w:val="en-US"/>
        </w:rPr>
      </w:pPr>
    </w:p>
    <w:p w14:paraId="516636D1" w14:textId="77777777" w:rsidR="000540DF" w:rsidRDefault="000540DF" w:rsidP="000540DF">
      <w:pPr>
        <w:jc w:val="both"/>
        <w:rPr>
          <w:rFonts w:ascii="Aptos" w:hAnsi="Aptos"/>
          <w:lang w:val="en-US"/>
        </w:rPr>
      </w:pPr>
    </w:p>
    <w:p w14:paraId="5951DC45" w14:textId="77777777" w:rsidR="000540DF" w:rsidRDefault="000540DF" w:rsidP="000540DF">
      <w:pPr>
        <w:jc w:val="both"/>
        <w:rPr>
          <w:rFonts w:ascii="Aptos" w:hAnsi="Aptos"/>
          <w:lang w:val="en-US"/>
        </w:rPr>
      </w:pPr>
    </w:p>
    <w:p w14:paraId="347C35EF" w14:textId="77777777" w:rsidR="000540DF" w:rsidRDefault="000540DF" w:rsidP="000540DF">
      <w:pPr>
        <w:jc w:val="both"/>
        <w:rPr>
          <w:rFonts w:ascii="Aptos" w:hAnsi="Aptos"/>
          <w:lang w:val="en-US"/>
        </w:rPr>
      </w:pPr>
    </w:p>
    <w:p w14:paraId="1C2DD6C3" w14:textId="77777777" w:rsidR="000540DF" w:rsidRDefault="000540DF" w:rsidP="000540DF">
      <w:pPr>
        <w:jc w:val="both"/>
        <w:rPr>
          <w:rFonts w:ascii="Aptos" w:hAnsi="Aptos"/>
          <w:lang w:val="en-US"/>
        </w:rPr>
      </w:pPr>
    </w:p>
    <w:p w14:paraId="2A104F9E" w14:textId="77777777" w:rsidR="000540DF" w:rsidRDefault="000540DF" w:rsidP="000540DF">
      <w:pPr>
        <w:jc w:val="both"/>
        <w:rPr>
          <w:rFonts w:ascii="Aptos" w:hAnsi="Aptos"/>
          <w:lang w:val="en-US"/>
        </w:rPr>
      </w:pPr>
    </w:p>
    <w:p w14:paraId="63AE9D0A" w14:textId="77777777" w:rsidR="000540DF" w:rsidRDefault="000540DF" w:rsidP="000540DF">
      <w:pPr>
        <w:jc w:val="both"/>
        <w:rPr>
          <w:rFonts w:ascii="Aptos" w:hAnsi="Aptos"/>
          <w:lang w:val="en-US"/>
        </w:rPr>
      </w:pPr>
    </w:p>
    <w:p w14:paraId="2594AE83" w14:textId="77777777" w:rsidR="000540DF" w:rsidRDefault="000540DF" w:rsidP="000540DF">
      <w:pPr>
        <w:jc w:val="both"/>
        <w:rPr>
          <w:rFonts w:ascii="Aptos" w:hAnsi="Aptos"/>
          <w:lang w:val="en-US"/>
        </w:rPr>
      </w:pPr>
    </w:p>
    <w:p w14:paraId="53F7AFDB" w14:textId="77777777" w:rsidR="000540DF" w:rsidRDefault="000540DF" w:rsidP="000540DF">
      <w:pPr>
        <w:jc w:val="both"/>
        <w:rPr>
          <w:rFonts w:ascii="Aptos" w:hAnsi="Aptos"/>
          <w:lang w:val="en-US"/>
        </w:rPr>
      </w:pPr>
    </w:p>
    <w:p w14:paraId="60223D59" w14:textId="77777777" w:rsidR="000540DF" w:rsidRDefault="000540DF" w:rsidP="000540DF">
      <w:pPr>
        <w:jc w:val="both"/>
        <w:rPr>
          <w:rFonts w:ascii="Aptos" w:hAnsi="Aptos"/>
          <w:lang w:val="en-US"/>
        </w:rPr>
      </w:pPr>
    </w:p>
    <w:p w14:paraId="1C98628A" w14:textId="77777777" w:rsidR="000540DF" w:rsidRDefault="000540DF" w:rsidP="000540DF">
      <w:pPr>
        <w:jc w:val="both"/>
        <w:rPr>
          <w:rFonts w:ascii="Aptos" w:hAnsi="Aptos"/>
          <w:lang w:val="en-US"/>
        </w:rPr>
      </w:pPr>
    </w:p>
    <w:p w14:paraId="1D090E7E" w14:textId="77777777" w:rsidR="000540DF" w:rsidRDefault="000540DF" w:rsidP="000540DF">
      <w:pPr>
        <w:jc w:val="both"/>
        <w:rPr>
          <w:rFonts w:ascii="Aptos" w:hAnsi="Aptos"/>
          <w:lang w:val="en-US"/>
        </w:rPr>
      </w:pPr>
    </w:p>
    <w:p w14:paraId="7F7DC0C0" w14:textId="77777777" w:rsidR="000540DF" w:rsidRDefault="000540DF" w:rsidP="000540DF">
      <w:pPr>
        <w:jc w:val="both"/>
        <w:rPr>
          <w:rFonts w:ascii="Aptos" w:hAnsi="Aptos"/>
          <w:lang w:val="en-US"/>
        </w:rPr>
      </w:pPr>
    </w:p>
    <w:p w14:paraId="165882CF" w14:textId="77777777" w:rsidR="000540DF" w:rsidRDefault="000540DF" w:rsidP="000540DF">
      <w:pPr>
        <w:jc w:val="both"/>
        <w:rPr>
          <w:rFonts w:ascii="Aptos" w:hAnsi="Aptos"/>
          <w:lang w:val="en-US"/>
        </w:rPr>
      </w:pPr>
    </w:p>
    <w:p w14:paraId="5C9EF8D1" w14:textId="77777777" w:rsidR="000540DF" w:rsidRDefault="000540DF" w:rsidP="000540DF">
      <w:pPr>
        <w:jc w:val="both"/>
        <w:rPr>
          <w:rFonts w:ascii="Times New Roman" w:hAnsi="Times New Roman" w:cs="Times New Roman"/>
          <w:lang w:val="en-US"/>
        </w:rPr>
      </w:pPr>
      <w:r>
        <w:rPr>
          <w:rFonts w:ascii="Times New Roman" w:hAnsi="Times New Roman" w:cs="Times New Roman"/>
          <w:lang w:val="en-US"/>
        </w:rPr>
        <w:lastRenderedPageBreak/>
        <w:t>Table 2 – Description of school-level mediator variables</w:t>
      </w:r>
    </w:p>
    <w:p w14:paraId="59BC5DEA" w14:textId="77777777" w:rsidR="000540DF" w:rsidRDefault="000540DF" w:rsidP="000540DF">
      <w:pPr>
        <w:rPr>
          <w:lang w:val="en-US"/>
        </w:rPr>
      </w:pPr>
    </w:p>
    <w:tbl>
      <w:tblPr>
        <w:tblStyle w:val="TableGrid"/>
        <w:tblW w:w="0" w:type="auto"/>
        <w:tblInd w:w="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363"/>
        <w:gridCol w:w="2294"/>
        <w:gridCol w:w="2077"/>
        <w:gridCol w:w="2276"/>
      </w:tblGrid>
      <w:tr w:rsidR="000540DF" w14:paraId="390BEECF" w14:textId="77777777">
        <w:trPr>
          <w:trHeight w:val="300"/>
        </w:trPr>
        <w:tc>
          <w:tcPr>
            <w:tcW w:w="2505" w:type="dxa"/>
            <w:tcBorders>
              <w:top w:val="single" w:sz="6" w:space="0" w:color="auto"/>
              <w:left w:val="single" w:sz="6" w:space="0" w:color="auto"/>
              <w:bottom w:val="single" w:sz="4" w:space="0" w:color="000000" w:themeColor="text1"/>
              <w:right w:val="single" w:sz="4" w:space="0" w:color="000000" w:themeColor="text1"/>
            </w:tcBorders>
            <w:tcMar>
              <w:top w:w="0" w:type="dxa"/>
              <w:left w:w="105" w:type="dxa"/>
              <w:bottom w:w="0" w:type="dxa"/>
              <w:right w:w="105" w:type="dxa"/>
            </w:tcMar>
            <w:hideMark/>
          </w:tcPr>
          <w:p w14:paraId="2A6BBABE" w14:textId="77777777" w:rsidR="000540DF" w:rsidRDefault="000540DF">
            <w:pPr>
              <w:spacing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lang w:val="en-GB"/>
              </w:rPr>
              <w:t>Variable</w:t>
            </w:r>
          </w:p>
        </w:tc>
        <w:tc>
          <w:tcPr>
            <w:tcW w:w="2464" w:type="dxa"/>
            <w:tcBorders>
              <w:top w:val="single" w:sz="6"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hideMark/>
          </w:tcPr>
          <w:p w14:paraId="01E7D19C" w14:textId="77777777" w:rsidR="000540DF" w:rsidRDefault="000540DF">
            <w:pPr>
              <w:spacing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lang w:val="en-GB"/>
              </w:rPr>
              <w:t>Description</w:t>
            </w:r>
          </w:p>
        </w:tc>
        <w:tc>
          <w:tcPr>
            <w:tcW w:w="2206" w:type="dxa"/>
            <w:tcBorders>
              <w:top w:val="single" w:sz="6"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hideMark/>
          </w:tcPr>
          <w:p w14:paraId="35610532" w14:textId="77777777" w:rsidR="000540DF" w:rsidRDefault="000540DF">
            <w:pPr>
              <w:spacing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lang w:val="en-GB"/>
              </w:rPr>
              <w:t>Cronbach’s Alpha</w:t>
            </w:r>
          </w:p>
        </w:tc>
        <w:tc>
          <w:tcPr>
            <w:tcW w:w="2454" w:type="dxa"/>
            <w:tcBorders>
              <w:top w:val="single" w:sz="6" w:space="0" w:color="auto"/>
              <w:left w:val="single" w:sz="4" w:space="0" w:color="000000" w:themeColor="text1"/>
              <w:bottom w:val="single" w:sz="4" w:space="0" w:color="000000" w:themeColor="text1"/>
              <w:right w:val="single" w:sz="6" w:space="0" w:color="auto"/>
            </w:tcBorders>
            <w:tcMar>
              <w:top w:w="0" w:type="dxa"/>
              <w:left w:w="105" w:type="dxa"/>
              <w:bottom w:w="0" w:type="dxa"/>
              <w:right w:w="105" w:type="dxa"/>
            </w:tcMar>
            <w:hideMark/>
          </w:tcPr>
          <w:p w14:paraId="6611197E" w14:textId="77777777" w:rsidR="000540DF" w:rsidRDefault="000540DF">
            <w:pPr>
              <w:spacing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lang w:val="en-GB"/>
              </w:rPr>
              <w:t>Source</w:t>
            </w:r>
          </w:p>
        </w:tc>
      </w:tr>
      <w:tr w:rsidR="000540DF" w14:paraId="0526D461"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DBE5F1"/>
            <w:tcMar>
              <w:top w:w="0" w:type="dxa"/>
              <w:left w:w="105" w:type="dxa"/>
              <w:bottom w:w="0" w:type="dxa"/>
              <w:right w:w="105" w:type="dxa"/>
            </w:tcMar>
          </w:tcPr>
          <w:p w14:paraId="19D55497"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281AF315"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2CEC3862"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7D3BD393"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Challenging behavioural climate</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7B30B5A5"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16B575E7"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school behavioural climate.</w:t>
            </w:r>
          </w:p>
          <w:p w14:paraId="4A78D53E"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The scale measures the extent to which teaching and learning are hindered by student behavioural problems, such as absenteeism and lateness, skipping classes, lack of respect towards teachers and peers, bullying, alcohol or drug use, inattentiveness and low engagement.</w:t>
            </w:r>
          </w:p>
          <w:p w14:paraId="18997974"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52D5070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17B274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C9EAE2C"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6E8CD6F3" w14:textId="77777777" w:rsidR="000540DF" w:rsidRDefault="000540DF">
            <w:pPr>
              <w:spacing w:line="240" w:lineRule="auto"/>
              <w:rPr>
                <w:rFonts w:ascii="Times New Roman" w:eastAsia="Times New Roman" w:hAnsi="Times New Roman" w:cs="Times New Roman"/>
                <w:color w:val="000000" w:themeColor="text1"/>
                <w:sz w:val="20"/>
                <w:szCs w:val="20"/>
                <w:lang w:val="en-GB"/>
              </w:rPr>
            </w:pPr>
          </w:p>
          <w:p w14:paraId="2C1F29FB"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0.83</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429A45D8"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33764A22"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5C06CBF2"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0BCAFBB4"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PISA School Questionnaire 2018</w:t>
            </w:r>
          </w:p>
        </w:tc>
      </w:tr>
      <w:tr w:rsidR="000540DF" w14:paraId="5E77D4B8"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DBE5F1"/>
            <w:tcMar>
              <w:top w:w="0" w:type="dxa"/>
              <w:left w:w="105" w:type="dxa"/>
              <w:bottom w:w="0" w:type="dxa"/>
              <w:right w:w="105" w:type="dxa"/>
            </w:tcMar>
          </w:tcPr>
          <w:p w14:paraId="3DAE3241"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5ECAB71C"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21DFA2A9"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Positive disciplinary climate</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B70000B"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32BE66E3"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disciplinary climate in lessons of the test language, based on students’ reports on the frequency of noise and disorder, students not listening, slow lesson start times and difficulties in working in an orderly manner.</w:t>
            </w:r>
          </w:p>
          <w:p w14:paraId="4D7DD17B"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6EDA2C4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2E2974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09D1A09D"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A0B4E26"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0.86</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2EC1DA9A"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DEC14C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4E5A6B4"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PISA Student Questionnaire 2018</w:t>
            </w:r>
          </w:p>
          <w:p w14:paraId="393918C3"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i/>
                <w:iCs/>
                <w:color w:val="000000" w:themeColor="text1"/>
                <w:sz w:val="20"/>
                <w:szCs w:val="20"/>
                <w:lang w:val="en-GB"/>
              </w:rPr>
              <w:t>Aggregated at school level</w:t>
            </w:r>
          </w:p>
        </w:tc>
      </w:tr>
      <w:tr w:rsidR="000540DF" w14:paraId="5D697131"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DBE5F1"/>
            <w:tcMar>
              <w:top w:w="0" w:type="dxa"/>
              <w:left w:w="105" w:type="dxa"/>
              <w:bottom w:w="0" w:type="dxa"/>
              <w:right w:w="105" w:type="dxa"/>
            </w:tcMar>
          </w:tcPr>
          <w:p w14:paraId="3628758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93292D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34381C2C"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679D8432"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Positive sense of belonging</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20E5658E"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1B75C7F0"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students’ sense of belonging at school.</w:t>
            </w:r>
          </w:p>
          <w:p w14:paraId="10840361"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The scale captures the extent to which students feel part of the school, accepted by peers and able to make friends, or conversely feel lonely, excluded or uncomfortable.</w:t>
            </w:r>
          </w:p>
          <w:p w14:paraId="338254C4"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29FAA358"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0F592D08"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6B213903"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4950F43"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0.78</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15778231"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4CA473A"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F1B4319"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3EA1DC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785335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PISA Student Questionnaire 2018</w:t>
            </w:r>
          </w:p>
          <w:p w14:paraId="2C0F2E21"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i/>
                <w:iCs/>
                <w:color w:val="000000" w:themeColor="text1"/>
                <w:sz w:val="20"/>
                <w:szCs w:val="20"/>
                <w:lang w:val="en-GB"/>
              </w:rPr>
              <w:t>Aggregated at school level</w:t>
            </w:r>
          </w:p>
        </w:tc>
      </w:tr>
      <w:tr w:rsidR="000540DF" w14:paraId="28792C8E"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EAF1DD"/>
            <w:tcMar>
              <w:top w:w="0" w:type="dxa"/>
              <w:left w:w="105" w:type="dxa"/>
              <w:bottom w:w="0" w:type="dxa"/>
              <w:right w:w="105" w:type="dxa"/>
            </w:tcMar>
          </w:tcPr>
          <w:p w14:paraId="31285066"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2A12C99"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C38D7BA"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BB8D503"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Low teacher support</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CD090C9"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084F2772"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perceived teacher support in lessons of the test language.</w:t>
            </w:r>
          </w:p>
          <w:p w14:paraId="5FA8EB45"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It includes aspects such as teachers’ interest in each student’s learning, willingness to help when difficulties arise, and ability to explain until everyone understands.</w:t>
            </w:r>
          </w:p>
          <w:p w14:paraId="6E56B25F"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0F05CD7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6CA817E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07A92826"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F75F4C5"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0.87</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6B3C27E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DD35F9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3108321A"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276D31C"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PISA Student Questionnaire 2018</w:t>
            </w:r>
          </w:p>
          <w:p w14:paraId="438D8D79"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i/>
                <w:iCs/>
                <w:color w:val="000000" w:themeColor="text1"/>
                <w:sz w:val="20"/>
                <w:szCs w:val="20"/>
                <w:lang w:val="en-GB"/>
              </w:rPr>
              <w:t>Aggregated at school level</w:t>
            </w:r>
          </w:p>
        </w:tc>
      </w:tr>
      <w:tr w:rsidR="000540DF" w14:paraId="4A40A423"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EAF1DD"/>
            <w:tcMar>
              <w:top w:w="0" w:type="dxa"/>
              <w:left w:w="105" w:type="dxa"/>
              <w:bottom w:w="0" w:type="dxa"/>
              <w:right w:w="105" w:type="dxa"/>
            </w:tcMar>
          </w:tcPr>
          <w:p w14:paraId="4BAF160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6EC1D13"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B242D4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35E9F2A8"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Effective classroom management</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6B0EE63A"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35A33F0C"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classroom management and instructional clarity.</w:t>
            </w:r>
          </w:p>
          <w:p w14:paraId="52B6927D"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 xml:space="preserve">It measures how frequently teachers set clear goals, check students’ understanding, summarise previous lessons and </w:t>
            </w:r>
            <w:r>
              <w:rPr>
                <w:rFonts w:ascii="Times New Roman" w:eastAsia="Times New Roman" w:hAnsi="Times New Roman" w:cs="Times New Roman"/>
                <w:color w:val="000000" w:themeColor="text1"/>
                <w:sz w:val="18"/>
                <w:szCs w:val="18"/>
                <w:lang w:val="en-GB"/>
              </w:rPr>
              <w:lastRenderedPageBreak/>
              <w:t>communicate learning objectives.</w:t>
            </w:r>
          </w:p>
          <w:p w14:paraId="411EAB2A"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5099375C"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0ED9AB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656281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24CD59E"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0.73</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18ABF16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757EE0F"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354646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79DA58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PISA Student Questionnaire 2018</w:t>
            </w:r>
          </w:p>
          <w:p w14:paraId="75E41683"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i/>
                <w:iCs/>
                <w:color w:val="000000" w:themeColor="text1"/>
                <w:sz w:val="20"/>
                <w:szCs w:val="20"/>
                <w:lang w:val="en-GB"/>
              </w:rPr>
              <w:t>Aggregated at school level</w:t>
            </w:r>
          </w:p>
        </w:tc>
      </w:tr>
      <w:tr w:rsidR="000540DF" w14:paraId="7485C7EF"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EAF1DD"/>
            <w:tcMar>
              <w:top w:w="0" w:type="dxa"/>
              <w:left w:w="105" w:type="dxa"/>
              <w:bottom w:w="0" w:type="dxa"/>
              <w:right w:w="105" w:type="dxa"/>
            </w:tcMar>
          </w:tcPr>
          <w:p w14:paraId="2CE5B8F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03F6BFCB"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C288838"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9FE8C09"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Instructional adaptivity</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254EF7E2"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61885EEF"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adaptive instruction, reflecting teachers’ ability to adapt teaching to class learning needs and prior knowledge, provide individual support, and modify lesson structure when many students experience difficulties.</w:t>
            </w:r>
          </w:p>
          <w:p w14:paraId="47AEDBC1"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A31484B"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6FAF1C2A"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BD87CE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B3D921A"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0.72</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741AA88A"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3DC09FB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1BBBA0C"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PISA Student Questionnaire 2018</w:t>
            </w:r>
          </w:p>
          <w:p w14:paraId="39DD294A"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i/>
                <w:iCs/>
                <w:color w:val="000000" w:themeColor="text1"/>
                <w:sz w:val="20"/>
                <w:szCs w:val="20"/>
                <w:lang w:val="en-GB"/>
              </w:rPr>
              <w:t>Aggregated at school level</w:t>
            </w:r>
          </w:p>
        </w:tc>
      </w:tr>
      <w:tr w:rsidR="000540DF" w14:paraId="561E411E"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EAF1DD"/>
            <w:tcMar>
              <w:top w:w="0" w:type="dxa"/>
              <w:left w:w="105" w:type="dxa"/>
              <w:bottom w:w="0" w:type="dxa"/>
              <w:right w:w="105" w:type="dxa"/>
            </w:tcMar>
          </w:tcPr>
          <w:p w14:paraId="4B5403AD"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11DD46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06A0AA6"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F2741C5"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Positive student-teacher relations</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012F6A3"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328C9D6A"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the quality of teacher–student relations.</w:t>
            </w:r>
          </w:p>
          <w:p w14:paraId="577FA8F3"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The scale measures whether students feel understood, listened to and encouraged by teachers, and whether they perceive that teachers trust their academic abilities.</w:t>
            </w:r>
          </w:p>
          <w:p w14:paraId="57814A04"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601703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039E17D"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78C628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3FABF6DC"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0.84</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432A2366"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29CD2DA"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551C406"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CD9D0F3"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PISA Student Questionnaire 2018</w:t>
            </w:r>
          </w:p>
          <w:p w14:paraId="4B31F203"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i/>
                <w:iCs/>
                <w:color w:val="000000" w:themeColor="text1"/>
                <w:sz w:val="20"/>
                <w:szCs w:val="20"/>
                <w:lang w:val="en-GB"/>
              </w:rPr>
              <w:t>Aggregated at school level</w:t>
            </w:r>
          </w:p>
        </w:tc>
      </w:tr>
      <w:tr w:rsidR="000540DF" w14:paraId="2B3E9D65"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EAF1DD"/>
            <w:tcMar>
              <w:top w:w="0" w:type="dxa"/>
              <w:left w:w="105" w:type="dxa"/>
              <w:bottom w:w="0" w:type="dxa"/>
              <w:right w:w="105" w:type="dxa"/>
            </w:tcMar>
          </w:tcPr>
          <w:p w14:paraId="61B5088B"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7915A4D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E62D9D3"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Teacher enthusiasm</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14B5330"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01C3229F"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teacher enthusiasm in recent lessons.</w:t>
            </w:r>
          </w:p>
          <w:p w14:paraId="3613DA7F"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It captures teachers’ enjoyment of teaching, interest in the subject and ability to transmit enthusiasm to students.</w:t>
            </w:r>
          </w:p>
          <w:p w14:paraId="32B1FE7A"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717C4B9C"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86D8FD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E3401CD"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C35CF05"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0.86</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5753B979"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1FF3BD0" w14:textId="77777777" w:rsidR="000540DF" w:rsidRDefault="000540DF">
            <w:pPr>
              <w:spacing w:line="240" w:lineRule="auto"/>
              <w:rPr>
                <w:rFonts w:ascii="Times New Roman" w:eastAsia="Times New Roman" w:hAnsi="Times New Roman" w:cs="Times New Roman"/>
                <w:color w:val="000000" w:themeColor="text1"/>
                <w:sz w:val="20"/>
                <w:szCs w:val="20"/>
                <w:lang w:val="en-GB"/>
              </w:rPr>
            </w:pPr>
          </w:p>
          <w:p w14:paraId="77A660C4"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PISA Student Questionnaire 2018</w:t>
            </w:r>
          </w:p>
          <w:p w14:paraId="44DB46F9"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i/>
                <w:iCs/>
                <w:color w:val="000000" w:themeColor="text1"/>
                <w:sz w:val="20"/>
                <w:szCs w:val="20"/>
                <w:lang w:val="en-GB"/>
              </w:rPr>
              <w:t>Aggregated at school level</w:t>
            </w:r>
          </w:p>
        </w:tc>
      </w:tr>
      <w:tr w:rsidR="000540DF" w14:paraId="42537432"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EAF1DD"/>
            <w:tcMar>
              <w:top w:w="0" w:type="dxa"/>
              <w:left w:w="105" w:type="dxa"/>
              <w:bottom w:w="0" w:type="dxa"/>
              <w:right w:w="105" w:type="dxa"/>
            </w:tcMar>
          </w:tcPr>
          <w:p w14:paraId="1C28E47D"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67D25D1C"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0C4AE2E0"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FEE6DD6"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Teacher unresponsiveness</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68F88900"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21ACB22C"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Dichotomous indicator of teacher non-responsiveness, constructed by combining items on feedback provided to students.</w:t>
            </w:r>
          </w:p>
          <w:p w14:paraId="793C0E68"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 xml:space="preserve">It identifies contexts in which teachers provide limited information to students on how to </w:t>
            </w:r>
            <w:proofErr w:type="gramStart"/>
            <w:r>
              <w:rPr>
                <w:rFonts w:ascii="Times New Roman" w:eastAsia="Times New Roman" w:hAnsi="Times New Roman" w:cs="Times New Roman"/>
                <w:color w:val="000000" w:themeColor="text1"/>
                <w:sz w:val="18"/>
                <w:szCs w:val="18"/>
                <w:lang w:val="en-GB"/>
              </w:rPr>
              <w:t>improve</w:t>
            </w:r>
            <w:proofErr w:type="gramEnd"/>
            <w:r>
              <w:rPr>
                <w:rFonts w:ascii="Times New Roman" w:eastAsia="Times New Roman" w:hAnsi="Times New Roman" w:cs="Times New Roman"/>
                <w:color w:val="000000" w:themeColor="text1"/>
                <w:sz w:val="18"/>
                <w:szCs w:val="18"/>
                <w:lang w:val="en-GB"/>
              </w:rPr>
              <w:t xml:space="preserve"> or which aspects of work require attention.</w:t>
            </w:r>
          </w:p>
          <w:p w14:paraId="1001B67A"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2CC22231"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EA66A4C"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148BDCD"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EA6334C"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0.79</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690AAB9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964EC6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0FCD5E78"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4ADE68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E71A714"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color w:val="000000" w:themeColor="text1"/>
                <w:sz w:val="20"/>
                <w:szCs w:val="20"/>
                <w:lang w:val="en-GB"/>
              </w:rPr>
              <w:t>PISA Student Questionnaire 2018</w:t>
            </w:r>
          </w:p>
          <w:p w14:paraId="59238288"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r>
              <w:rPr>
                <w:rFonts w:ascii="Times New Roman" w:eastAsia="Times New Roman" w:hAnsi="Times New Roman" w:cs="Times New Roman"/>
                <w:i/>
                <w:iCs/>
                <w:color w:val="000000" w:themeColor="text1"/>
                <w:sz w:val="20"/>
                <w:szCs w:val="20"/>
                <w:lang w:val="en-GB"/>
              </w:rPr>
              <w:t>Aggregated at school level</w:t>
            </w:r>
          </w:p>
        </w:tc>
      </w:tr>
      <w:tr w:rsidR="000540DF" w14:paraId="77D67E97"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F2DBDB"/>
            <w:tcMar>
              <w:top w:w="0" w:type="dxa"/>
              <w:left w:w="105" w:type="dxa"/>
              <w:bottom w:w="0" w:type="dxa"/>
              <w:right w:w="105" w:type="dxa"/>
            </w:tcMar>
          </w:tcPr>
          <w:p w14:paraId="169D855F"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341253DF"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3E285AF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D3798F8"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Material resources</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8F41BA3"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57D5293C"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school material and infrastructural resources.</w:t>
            </w:r>
          </w:p>
          <w:p w14:paraId="279BC7A7"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The scale measures the extent to which shortages of instructional materials, ICT resources, libraries, laboratories and physical infrastructure hinder teaching activities.</w:t>
            </w:r>
          </w:p>
          <w:p w14:paraId="1E4717E1"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286BCDC9"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AC2509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B9A9004"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393B728"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0.83</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24E63ADF"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2F6D3F79"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0D28E338"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74A1A226"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PISA School Questionnaire 2018</w:t>
            </w:r>
          </w:p>
        </w:tc>
      </w:tr>
      <w:tr w:rsidR="000540DF" w14:paraId="260FF5B4"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F2DBDB"/>
            <w:tcMar>
              <w:top w:w="0" w:type="dxa"/>
              <w:left w:w="105" w:type="dxa"/>
              <w:bottom w:w="0" w:type="dxa"/>
              <w:right w:w="105" w:type="dxa"/>
            </w:tcMar>
          </w:tcPr>
          <w:p w14:paraId="7AC3718B"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36E7EA17"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7A0C5349"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Student-teacher ratio</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5E41D0B"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5B3AFCD8"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 xml:space="preserve">Student–teacher ratio, calculated using the total number of enrolled students and the number of full-time </w:t>
            </w:r>
            <w:r>
              <w:rPr>
                <w:rFonts w:ascii="Times New Roman" w:eastAsia="Times New Roman" w:hAnsi="Times New Roman" w:cs="Times New Roman"/>
                <w:color w:val="000000" w:themeColor="text1"/>
                <w:sz w:val="18"/>
                <w:szCs w:val="18"/>
                <w:lang w:val="en-GB"/>
              </w:rPr>
              <w:lastRenderedPageBreak/>
              <w:t>and part-time teachers reported by the school.</w:t>
            </w:r>
          </w:p>
          <w:p w14:paraId="0102E01C"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0" w:type="dxa"/>
              <w:left w:w="105" w:type="dxa"/>
              <w:bottom w:w="0" w:type="dxa"/>
              <w:right w:w="105" w:type="dxa"/>
            </w:tcMar>
          </w:tcPr>
          <w:p w14:paraId="665C4C64"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7DEB7756"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D4E0FD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6C2464E"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PISA School Questionnaire 2018</w:t>
            </w:r>
          </w:p>
        </w:tc>
      </w:tr>
      <w:tr w:rsidR="000540DF" w14:paraId="4599E282"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F2DBDB"/>
            <w:tcMar>
              <w:top w:w="0" w:type="dxa"/>
              <w:left w:w="105" w:type="dxa"/>
              <w:bottom w:w="0" w:type="dxa"/>
              <w:right w:w="105" w:type="dxa"/>
            </w:tcMar>
          </w:tcPr>
          <w:p w14:paraId="4D51CC49"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5616FAD0"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4AA0E5CA"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199C4343"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Quality assurance</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ACD22C1"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4ABB0F8B"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quality assurance and school improvement practices.</w:t>
            </w:r>
          </w:p>
          <w:p w14:paraId="055021A4"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It includes the presence of internal and external evaluations, performance standards, formalised curricular objectives, systematic data collection and structured feedback to students and teachers.</w:t>
            </w:r>
          </w:p>
          <w:p w14:paraId="6E273165"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709EDEF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19DC532B"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346F5D55"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2F5C4F03"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0.65</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034FE45C"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2AF84EBA"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12F0FCFB"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4225F7A2"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PISA School Questionnaire 2018</w:t>
            </w:r>
          </w:p>
        </w:tc>
      </w:tr>
      <w:tr w:rsidR="000540DF" w14:paraId="64A23CEF"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F2DBDB"/>
            <w:tcMar>
              <w:top w:w="0" w:type="dxa"/>
              <w:left w:w="105" w:type="dxa"/>
              <w:bottom w:w="0" w:type="dxa"/>
              <w:right w:w="105" w:type="dxa"/>
            </w:tcMar>
          </w:tcPr>
          <w:p w14:paraId="3B937B34"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23EA5BE6"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70D45082"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School cultural activities</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1C216FC8"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49CA1C81"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the availability of cultural and extra-curricular activities at school, such as related to music or theatre, school newspapers, sports, volunteering and collaborations with local cultural institutions.</w:t>
            </w:r>
          </w:p>
          <w:p w14:paraId="69B45A53"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46FA1DB6" w14:textId="77777777" w:rsidR="000540DF" w:rsidRDefault="000540DF">
            <w:pPr>
              <w:spacing w:line="240" w:lineRule="auto"/>
              <w:rPr>
                <w:rFonts w:ascii="Times New Roman" w:eastAsia="Times New Roman" w:hAnsi="Times New Roman" w:cs="Times New Roman"/>
                <w:color w:val="000000" w:themeColor="text1"/>
                <w:sz w:val="20"/>
                <w:szCs w:val="20"/>
                <w:lang w:val="en-GB"/>
              </w:rPr>
            </w:pPr>
          </w:p>
          <w:p w14:paraId="045296C1" w14:textId="77777777" w:rsidR="000540DF" w:rsidRDefault="000540DF">
            <w:pPr>
              <w:spacing w:line="240" w:lineRule="auto"/>
              <w:rPr>
                <w:rFonts w:ascii="Times New Roman" w:eastAsia="Times New Roman" w:hAnsi="Times New Roman" w:cs="Times New Roman"/>
                <w:color w:val="000000" w:themeColor="text1"/>
                <w:sz w:val="20"/>
                <w:szCs w:val="20"/>
                <w:lang w:val="en-GB"/>
              </w:rPr>
            </w:pPr>
          </w:p>
          <w:p w14:paraId="6F6E1019"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6C6C92CE"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0.61</w:t>
            </w: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1C48CF44"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304422DE"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40FA7D35"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PISA School Questionnaire 2018</w:t>
            </w:r>
          </w:p>
        </w:tc>
      </w:tr>
      <w:tr w:rsidR="000540DF" w14:paraId="4AE3C3B2" w14:textId="77777777">
        <w:trPr>
          <w:trHeight w:val="300"/>
        </w:trPr>
        <w:tc>
          <w:tcPr>
            <w:tcW w:w="2505"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F2DBDB"/>
            <w:tcMar>
              <w:top w:w="0" w:type="dxa"/>
              <w:left w:w="105" w:type="dxa"/>
              <w:bottom w:w="0" w:type="dxa"/>
              <w:right w:w="105" w:type="dxa"/>
            </w:tcMar>
          </w:tcPr>
          <w:p w14:paraId="3F087F21"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4401FAD1"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1AFFF7FF"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Ability grouping</w:t>
            </w:r>
          </w:p>
        </w:tc>
        <w:tc>
          <w:tcPr>
            <w:tcW w:w="2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68D9C3D5"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053AA630"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index of ability grouping policies, indicating whether and to what extent the school organises classes or groups homogeneous by ability level, for all or some subjects.</w:t>
            </w:r>
          </w:p>
          <w:p w14:paraId="360630D1"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5" w:type="dxa"/>
              <w:bottom w:w="0" w:type="dxa"/>
              <w:right w:w="105" w:type="dxa"/>
            </w:tcMar>
          </w:tcPr>
          <w:p w14:paraId="268B904D"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532BB3A9"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E98447E"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2887768"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0.12</w:t>
            </w:r>
          </w:p>
          <w:p w14:paraId="08599E43" w14:textId="77777777" w:rsidR="000540DF" w:rsidRDefault="000540DF">
            <w:pPr>
              <w:spacing w:line="240" w:lineRule="auto"/>
              <w:rPr>
                <w:rFonts w:ascii="Times New Roman" w:eastAsia="Times New Roman" w:hAnsi="Times New Roman" w:cs="Times New Roman"/>
                <w:color w:val="000000" w:themeColor="text1"/>
                <w:sz w:val="20"/>
                <w:szCs w:val="20"/>
              </w:rPr>
            </w:pPr>
          </w:p>
        </w:tc>
        <w:tc>
          <w:tcPr>
            <w:tcW w:w="2454" w:type="dxa"/>
            <w:tcBorders>
              <w:top w:val="single" w:sz="4" w:space="0" w:color="000000" w:themeColor="text1"/>
              <w:left w:val="single" w:sz="4" w:space="0" w:color="000000" w:themeColor="text1"/>
              <w:bottom w:val="single" w:sz="4" w:space="0" w:color="000000" w:themeColor="text1"/>
              <w:right w:val="single" w:sz="6" w:space="0" w:color="000000" w:themeColor="text1"/>
            </w:tcBorders>
            <w:tcMar>
              <w:top w:w="0" w:type="dxa"/>
              <w:left w:w="105" w:type="dxa"/>
              <w:bottom w:w="0" w:type="dxa"/>
              <w:right w:w="105" w:type="dxa"/>
            </w:tcMar>
          </w:tcPr>
          <w:p w14:paraId="71191CC5"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6B71A6C0"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02171741"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PISA School Questionnaire 2018</w:t>
            </w:r>
          </w:p>
        </w:tc>
      </w:tr>
      <w:tr w:rsidR="000540DF" w14:paraId="398E4936" w14:textId="77777777">
        <w:trPr>
          <w:trHeight w:val="300"/>
        </w:trPr>
        <w:tc>
          <w:tcPr>
            <w:tcW w:w="2505" w:type="dxa"/>
            <w:tcBorders>
              <w:top w:val="single" w:sz="4" w:space="0" w:color="000000" w:themeColor="text1"/>
              <w:left w:val="single" w:sz="6" w:space="0" w:color="auto"/>
              <w:bottom w:val="single" w:sz="6" w:space="0" w:color="auto"/>
              <w:right w:val="single" w:sz="4" w:space="0" w:color="000000" w:themeColor="text1"/>
            </w:tcBorders>
            <w:shd w:val="clear" w:color="auto" w:fill="F2DBDB"/>
            <w:tcMar>
              <w:top w:w="0" w:type="dxa"/>
              <w:left w:w="105" w:type="dxa"/>
              <w:bottom w:w="0" w:type="dxa"/>
              <w:right w:w="105" w:type="dxa"/>
            </w:tcMar>
          </w:tcPr>
          <w:p w14:paraId="1ED76E84"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49B7892E" w14:textId="77777777" w:rsidR="000540DF" w:rsidRDefault="000540DF">
            <w:pPr>
              <w:spacing w:line="240" w:lineRule="auto"/>
              <w:jc w:val="center"/>
              <w:rPr>
                <w:rFonts w:ascii="Times New Roman" w:eastAsia="Times New Roman" w:hAnsi="Times New Roman" w:cs="Times New Roman"/>
                <w:color w:val="000000" w:themeColor="text1"/>
                <w:sz w:val="20"/>
                <w:szCs w:val="20"/>
              </w:rPr>
            </w:pPr>
          </w:p>
          <w:p w14:paraId="211691A4"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Reading extra-hours</w:t>
            </w:r>
          </w:p>
        </w:tc>
        <w:tc>
          <w:tcPr>
            <w:tcW w:w="2464" w:type="dxa"/>
            <w:tcBorders>
              <w:top w:val="single" w:sz="4" w:space="0" w:color="000000" w:themeColor="text1"/>
              <w:left w:val="single" w:sz="4" w:space="0" w:color="000000" w:themeColor="text1"/>
              <w:bottom w:val="single" w:sz="6" w:space="0" w:color="000000" w:themeColor="text1"/>
              <w:right w:val="single" w:sz="4" w:space="0" w:color="000000" w:themeColor="text1"/>
            </w:tcBorders>
            <w:tcMar>
              <w:top w:w="0" w:type="dxa"/>
              <w:left w:w="105" w:type="dxa"/>
              <w:bottom w:w="0" w:type="dxa"/>
              <w:right w:w="105" w:type="dxa"/>
            </w:tcMar>
          </w:tcPr>
          <w:p w14:paraId="79DDF194"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p w14:paraId="5289B306"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r>
              <w:rPr>
                <w:rFonts w:ascii="Times New Roman" w:eastAsia="Times New Roman" w:hAnsi="Times New Roman" w:cs="Times New Roman"/>
                <w:color w:val="000000" w:themeColor="text1"/>
                <w:sz w:val="18"/>
                <w:szCs w:val="18"/>
                <w:lang w:val="en-GB"/>
              </w:rPr>
              <w:t>Standardised indicator of the availability of additional lessons in the test language outside regular school hours, offered by the school.</w:t>
            </w:r>
          </w:p>
          <w:p w14:paraId="07A5DB8E" w14:textId="77777777" w:rsidR="000540DF" w:rsidRDefault="000540DF">
            <w:pPr>
              <w:spacing w:line="240" w:lineRule="auto"/>
              <w:jc w:val="both"/>
              <w:rPr>
                <w:rFonts w:ascii="Times New Roman" w:eastAsia="Times New Roman" w:hAnsi="Times New Roman" w:cs="Times New Roman"/>
                <w:color w:val="000000" w:themeColor="text1"/>
                <w:sz w:val="18"/>
                <w:szCs w:val="18"/>
                <w:lang w:val="en-GB"/>
              </w:rPr>
            </w:pPr>
          </w:p>
        </w:tc>
        <w:tc>
          <w:tcPr>
            <w:tcW w:w="2206" w:type="dxa"/>
            <w:tcBorders>
              <w:top w:val="single" w:sz="4" w:space="0" w:color="000000" w:themeColor="text1"/>
              <w:left w:val="single" w:sz="4" w:space="0" w:color="000000" w:themeColor="text1"/>
              <w:bottom w:val="single" w:sz="6" w:space="0" w:color="000000" w:themeColor="text1"/>
              <w:right w:val="single" w:sz="4" w:space="0" w:color="000000" w:themeColor="text1"/>
            </w:tcBorders>
            <w:shd w:val="clear" w:color="auto" w:fill="F2F2F2" w:themeFill="background1" w:themeFillShade="F2"/>
            <w:tcMar>
              <w:top w:w="0" w:type="dxa"/>
              <w:left w:w="105" w:type="dxa"/>
              <w:bottom w:w="0" w:type="dxa"/>
              <w:right w:w="105" w:type="dxa"/>
            </w:tcMar>
          </w:tcPr>
          <w:p w14:paraId="00E4790F"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tc>
        <w:tc>
          <w:tcPr>
            <w:tcW w:w="2454" w:type="dxa"/>
            <w:tcBorders>
              <w:top w:val="single" w:sz="4" w:space="0" w:color="000000" w:themeColor="text1"/>
              <w:left w:val="single" w:sz="4" w:space="0" w:color="000000" w:themeColor="text1"/>
              <w:bottom w:val="single" w:sz="6" w:space="0" w:color="auto"/>
              <w:right w:val="single" w:sz="6" w:space="0" w:color="auto"/>
            </w:tcBorders>
            <w:tcMar>
              <w:top w:w="0" w:type="dxa"/>
              <w:left w:w="105" w:type="dxa"/>
              <w:bottom w:w="0" w:type="dxa"/>
              <w:right w:w="105" w:type="dxa"/>
            </w:tcMar>
          </w:tcPr>
          <w:p w14:paraId="5804D6D7"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4CB2DE42" w14:textId="77777777" w:rsidR="000540DF" w:rsidRDefault="000540DF">
            <w:pPr>
              <w:spacing w:line="240" w:lineRule="auto"/>
              <w:jc w:val="center"/>
              <w:rPr>
                <w:rFonts w:ascii="Times New Roman" w:eastAsia="Times New Roman" w:hAnsi="Times New Roman" w:cs="Times New Roman"/>
                <w:color w:val="000000" w:themeColor="text1"/>
                <w:sz w:val="20"/>
                <w:szCs w:val="20"/>
                <w:lang w:val="en-GB"/>
              </w:rPr>
            </w:pPr>
          </w:p>
          <w:p w14:paraId="05055B5A" w14:textId="77777777" w:rsidR="000540DF" w:rsidRDefault="000540DF">
            <w:pPr>
              <w:spacing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lang w:val="en-GB"/>
              </w:rPr>
              <w:t>PISA School Questionnaire 2018</w:t>
            </w:r>
          </w:p>
        </w:tc>
      </w:tr>
    </w:tbl>
    <w:p w14:paraId="229B7B54" w14:textId="77777777" w:rsidR="000540DF" w:rsidRDefault="000540DF" w:rsidP="000540DF">
      <w:pPr>
        <w:rPr>
          <w:lang w:val="en-US"/>
        </w:rPr>
      </w:pPr>
    </w:p>
    <w:p w14:paraId="41D70FC5" w14:textId="77777777" w:rsidR="000540DF" w:rsidRDefault="000540DF" w:rsidP="000540DF">
      <w:pPr>
        <w:rPr>
          <w:lang w:val="en-US"/>
        </w:rPr>
      </w:pPr>
    </w:p>
    <w:p w14:paraId="7284D2A1" w14:textId="77777777" w:rsidR="000540DF" w:rsidRDefault="000540DF" w:rsidP="000540DF">
      <w:pPr>
        <w:rPr>
          <w:lang w:val="en-US"/>
        </w:rPr>
      </w:pPr>
    </w:p>
    <w:p w14:paraId="6C915110" w14:textId="77777777" w:rsidR="000540DF" w:rsidRDefault="000540DF" w:rsidP="000540DF">
      <w:pPr>
        <w:rPr>
          <w:lang w:val="en-US"/>
        </w:rPr>
      </w:pPr>
    </w:p>
    <w:p w14:paraId="1DDFC648" w14:textId="77777777" w:rsidR="000540DF" w:rsidRDefault="000540DF" w:rsidP="000540DF">
      <w:pPr>
        <w:rPr>
          <w:lang w:val="en-US"/>
        </w:rPr>
      </w:pPr>
    </w:p>
    <w:p w14:paraId="2CC66830" w14:textId="77777777" w:rsidR="000540DF" w:rsidRDefault="000540DF" w:rsidP="000540DF">
      <w:pPr>
        <w:rPr>
          <w:lang w:val="en-US"/>
        </w:rPr>
      </w:pPr>
    </w:p>
    <w:p w14:paraId="5297BD79" w14:textId="77777777" w:rsidR="000540DF" w:rsidRDefault="000540DF" w:rsidP="000540DF">
      <w:pPr>
        <w:rPr>
          <w:lang w:val="en-US"/>
        </w:rPr>
      </w:pPr>
    </w:p>
    <w:p w14:paraId="224CA21A" w14:textId="77777777" w:rsidR="000540DF" w:rsidRDefault="000540DF" w:rsidP="000540DF">
      <w:pPr>
        <w:rPr>
          <w:lang w:val="en-US"/>
        </w:rPr>
      </w:pPr>
    </w:p>
    <w:p w14:paraId="70F37C6F" w14:textId="77777777" w:rsidR="000540DF" w:rsidRDefault="000540DF" w:rsidP="000540DF">
      <w:pPr>
        <w:rPr>
          <w:lang w:val="en-US"/>
        </w:rPr>
      </w:pPr>
    </w:p>
    <w:p w14:paraId="47F9A8FB" w14:textId="77777777" w:rsidR="000540DF" w:rsidRDefault="000540DF" w:rsidP="000540DF">
      <w:pPr>
        <w:rPr>
          <w:lang w:val="en-US"/>
        </w:rPr>
      </w:pPr>
    </w:p>
    <w:p w14:paraId="4FD48C5C" w14:textId="77777777" w:rsidR="000540DF" w:rsidRDefault="000540DF" w:rsidP="000540DF">
      <w:pPr>
        <w:rPr>
          <w:lang w:val="en-US"/>
        </w:rPr>
      </w:pPr>
    </w:p>
    <w:p w14:paraId="281983D5" w14:textId="77777777" w:rsidR="000540DF" w:rsidRDefault="000540DF" w:rsidP="000540DF">
      <w:pPr>
        <w:rPr>
          <w:lang w:val="en-US"/>
        </w:rPr>
      </w:pPr>
    </w:p>
    <w:p w14:paraId="75E3571F" w14:textId="77777777" w:rsidR="000540DF" w:rsidRDefault="000540DF" w:rsidP="000540DF">
      <w:pPr>
        <w:rPr>
          <w:lang w:val="en-US"/>
        </w:rPr>
      </w:pPr>
    </w:p>
    <w:p w14:paraId="2D922AD0" w14:textId="77777777" w:rsidR="000540DF" w:rsidRDefault="000540DF" w:rsidP="000540DF">
      <w:pPr>
        <w:rPr>
          <w:lang w:val="en-US"/>
        </w:rPr>
      </w:pPr>
    </w:p>
    <w:p w14:paraId="5B812C6D" w14:textId="77777777" w:rsidR="000540DF" w:rsidRDefault="000540DF" w:rsidP="000540DF">
      <w:pPr>
        <w:rPr>
          <w:lang w:val="en-US"/>
        </w:rPr>
      </w:pPr>
    </w:p>
    <w:p w14:paraId="05923AA7" w14:textId="77777777" w:rsidR="000540DF" w:rsidRDefault="000540DF" w:rsidP="000540DF">
      <w:pPr>
        <w:rPr>
          <w:lang w:val="en-US"/>
        </w:rPr>
      </w:pPr>
    </w:p>
    <w:p w14:paraId="6792180B"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0DF"/>
    <w:rsid w:val="000540DF"/>
    <w:rsid w:val="000659C5"/>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39726"/>
  <w15:chartTrackingRefBased/>
  <w15:docId w15:val="{B732013C-413A-41C3-86F1-90BE30075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0DF"/>
    <w:pPr>
      <w:spacing w:line="276" w:lineRule="auto"/>
    </w:pPr>
    <w:rPr>
      <w:lang w:val="it-IT"/>
    </w:rPr>
  </w:style>
  <w:style w:type="paragraph" w:styleId="Heading1">
    <w:name w:val="heading 1"/>
    <w:basedOn w:val="Normal"/>
    <w:next w:val="Normal"/>
    <w:link w:val="Heading1Char"/>
    <w:uiPriority w:val="9"/>
    <w:qFormat/>
    <w:rsid w:val="000540D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0540D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0540DF"/>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0540DF"/>
    <w:pPr>
      <w:keepNext/>
      <w:keepLines/>
      <w:spacing w:before="80" w:after="40" w:line="278" w:lineRule="auto"/>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0540DF"/>
    <w:pPr>
      <w:keepNext/>
      <w:keepLines/>
      <w:spacing w:before="80" w:after="40" w:line="278" w:lineRule="auto"/>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0540DF"/>
    <w:pPr>
      <w:keepNext/>
      <w:keepLines/>
      <w:spacing w:before="40" w:after="0" w:line="278" w:lineRule="auto"/>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0540DF"/>
    <w:pPr>
      <w:keepNext/>
      <w:keepLines/>
      <w:spacing w:before="40" w:after="0" w:line="278" w:lineRule="auto"/>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0540DF"/>
    <w:pPr>
      <w:keepNext/>
      <w:keepLines/>
      <w:spacing w:after="0" w:line="278" w:lineRule="auto"/>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0540DF"/>
    <w:pPr>
      <w:keepNext/>
      <w:keepLines/>
      <w:spacing w:after="0" w:line="278" w:lineRule="auto"/>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0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40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40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40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40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40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40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40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40DF"/>
    <w:rPr>
      <w:rFonts w:eastAsiaTheme="majorEastAsia" w:cstheme="majorBidi"/>
      <w:color w:val="272727" w:themeColor="text1" w:themeTint="D8"/>
    </w:rPr>
  </w:style>
  <w:style w:type="paragraph" w:styleId="Title">
    <w:name w:val="Title"/>
    <w:basedOn w:val="Normal"/>
    <w:next w:val="Normal"/>
    <w:link w:val="TitleChar"/>
    <w:uiPriority w:val="10"/>
    <w:qFormat/>
    <w:rsid w:val="000540DF"/>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0540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40DF"/>
    <w:pPr>
      <w:numPr>
        <w:ilvl w:val="1"/>
      </w:numPr>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0540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40DF"/>
    <w:pPr>
      <w:spacing w:before="160" w:line="278" w:lineRule="auto"/>
      <w:jc w:val="center"/>
    </w:pPr>
    <w:rPr>
      <w:i/>
      <w:iCs/>
      <w:color w:val="404040" w:themeColor="text1" w:themeTint="BF"/>
      <w:lang w:val="en-IN"/>
    </w:rPr>
  </w:style>
  <w:style w:type="character" w:customStyle="1" w:styleId="QuoteChar">
    <w:name w:val="Quote Char"/>
    <w:basedOn w:val="DefaultParagraphFont"/>
    <w:link w:val="Quote"/>
    <w:uiPriority w:val="29"/>
    <w:rsid w:val="000540DF"/>
    <w:rPr>
      <w:i/>
      <w:iCs/>
      <w:color w:val="404040" w:themeColor="text1" w:themeTint="BF"/>
    </w:rPr>
  </w:style>
  <w:style w:type="paragraph" w:styleId="ListParagraph">
    <w:name w:val="List Paragraph"/>
    <w:basedOn w:val="Normal"/>
    <w:uiPriority w:val="34"/>
    <w:qFormat/>
    <w:rsid w:val="000540DF"/>
    <w:pPr>
      <w:spacing w:line="278" w:lineRule="auto"/>
      <w:ind w:left="720"/>
      <w:contextualSpacing/>
    </w:pPr>
    <w:rPr>
      <w:lang w:val="en-IN"/>
    </w:rPr>
  </w:style>
  <w:style w:type="character" w:styleId="IntenseEmphasis">
    <w:name w:val="Intense Emphasis"/>
    <w:basedOn w:val="DefaultParagraphFont"/>
    <w:uiPriority w:val="21"/>
    <w:qFormat/>
    <w:rsid w:val="000540DF"/>
    <w:rPr>
      <w:i/>
      <w:iCs/>
      <w:color w:val="0F4761" w:themeColor="accent1" w:themeShade="BF"/>
    </w:rPr>
  </w:style>
  <w:style w:type="paragraph" w:styleId="IntenseQuote">
    <w:name w:val="Intense Quote"/>
    <w:basedOn w:val="Normal"/>
    <w:next w:val="Normal"/>
    <w:link w:val="IntenseQuoteChar"/>
    <w:uiPriority w:val="30"/>
    <w:qFormat/>
    <w:rsid w:val="000540D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0540DF"/>
    <w:rPr>
      <w:i/>
      <w:iCs/>
      <w:color w:val="0F4761" w:themeColor="accent1" w:themeShade="BF"/>
    </w:rPr>
  </w:style>
  <w:style w:type="character" w:styleId="IntenseReference">
    <w:name w:val="Intense Reference"/>
    <w:basedOn w:val="DefaultParagraphFont"/>
    <w:uiPriority w:val="32"/>
    <w:qFormat/>
    <w:rsid w:val="000540DF"/>
    <w:rPr>
      <w:b/>
      <w:bCs/>
      <w:smallCaps/>
      <w:color w:val="0F4761" w:themeColor="accent1" w:themeShade="BF"/>
      <w:spacing w:val="5"/>
    </w:rPr>
  </w:style>
  <w:style w:type="table" w:styleId="TableGrid">
    <w:name w:val="Table Grid"/>
    <w:basedOn w:val="TableNormal"/>
    <w:uiPriority w:val="59"/>
    <w:rsid w:val="000540DF"/>
    <w:pPr>
      <w:spacing w:after="0" w:line="240" w:lineRule="auto"/>
    </w:pPr>
    <w:rPr>
      <w:lang w:val="it-IT"/>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1120</Words>
  <Characters>7269</Characters>
  <Application>Microsoft Office Word</Application>
  <DocSecurity>0</DocSecurity>
  <Lines>96</Lines>
  <Paragraphs>20</Paragraphs>
  <ScaleCrop>false</ScaleCrop>
  <Company/>
  <LinksUpToDate>false</LinksUpToDate>
  <CharactersWithSpaces>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2026-02-11T10:07:00Z</dcterms:created>
  <dcterms:modified xsi:type="dcterms:W3CDTF">2026-02-11T10:07:00Z</dcterms:modified>
</cp:coreProperties>
</file>